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BA78F" w14:textId="77777777"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bookmarkStart w:id="0" w:name="_GoBack"/>
      <w:bookmarkEnd w:id="0"/>
    </w:p>
    <w:p w14:paraId="72124BFA" w14:textId="77777777"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08D92E3B" w14:textId="77777777"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43F52EAB" w14:textId="77777777"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4FB6E780" w14:textId="77777777"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0F150FC7" w14:textId="77777777"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22B11977" w14:textId="04C3F115" w:rsidR="00F13AE9" w:rsidRP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r w:rsidRPr="00F13AE9">
        <w:rPr>
          <w:rFonts w:cstheme="minorHAnsi"/>
          <w:b/>
          <w:color w:val="0070C0"/>
          <w:sz w:val="32"/>
          <w:szCs w:val="32"/>
        </w:rPr>
        <w:t>PLAN RAZVOJA GRADA ZAGREBA ZA RAZDOBLJE</w:t>
      </w:r>
    </w:p>
    <w:p w14:paraId="3C421037" w14:textId="248BB6E7" w:rsidR="002D5144"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r w:rsidRPr="00F13AE9">
        <w:rPr>
          <w:rFonts w:cstheme="minorHAnsi"/>
          <w:b/>
          <w:color w:val="0070C0"/>
          <w:sz w:val="32"/>
          <w:szCs w:val="32"/>
        </w:rPr>
        <w:t xml:space="preserve"> 2021. - 2027.</w:t>
      </w:r>
    </w:p>
    <w:p w14:paraId="758AAB25" w14:textId="28AA4DFA"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287E2745" w14:textId="04329483"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2378279B" w14:textId="4324B69C"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727E58BC" w14:textId="2243769B"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1129CF3C" w14:textId="71968B6F"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37700F78" w14:textId="4AA63F7E"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66DE9638" w14:textId="6EC163C9"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0C1E0FC8" w14:textId="52C76214"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460A6ACA" w14:textId="2DDB3CF7"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4EBE9C62" w14:textId="05505873"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765DE05B" w14:textId="7405B39E"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19C89BF4" w14:textId="7D435064"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1A6FFB4D" w14:textId="2862A1C1"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6AE42AD3" w14:textId="77159863"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128415F6" w14:textId="176BC226"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1C03E31B" w14:textId="40B4B354"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6F507AA6" w14:textId="1B5E5163"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0C64F432" w14:textId="1A675F64"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0AC331C2" w14:textId="6568BE13"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7E50B956" w14:textId="46317E09"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73BCE673" w14:textId="289DE5E6"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4C898338" w14:textId="1040F309"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26B86C06" w14:textId="4F563566"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394B5FB3" w14:textId="4A9ECA2F"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48BF5B5E" w14:textId="7014D074" w:rsid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32"/>
          <w:szCs w:val="32"/>
        </w:rPr>
      </w:pPr>
    </w:p>
    <w:p w14:paraId="51AC39AB" w14:textId="5EA92ADA" w:rsidR="00F13AE9" w:rsidRPr="00F13AE9" w:rsidRDefault="00F13AE9" w:rsidP="00F13AE9">
      <w:pPr>
        <w:tabs>
          <w:tab w:val="right" w:leader="dot" w:pos="9072"/>
        </w:tabs>
        <w:autoSpaceDE w:val="0"/>
        <w:autoSpaceDN w:val="0"/>
        <w:adjustRightInd w:val="0"/>
        <w:spacing w:after="0" w:line="240" w:lineRule="auto"/>
        <w:ind w:firstLine="425"/>
        <w:jc w:val="center"/>
        <w:rPr>
          <w:rFonts w:cstheme="minorHAnsi"/>
          <w:b/>
          <w:color w:val="0070C0"/>
          <w:sz w:val="24"/>
          <w:szCs w:val="24"/>
        </w:rPr>
      </w:pPr>
    </w:p>
    <w:p w14:paraId="44A90098" w14:textId="77777777" w:rsidR="00F13AE9" w:rsidRPr="00F13AE9" w:rsidRDefault="00F13AE9" w:rsidP="0054047D">
      <w:pPr>
        <w:tabs>
          <w:tab w:val="right" w:leader="dot" w:pos="9072"/>
        </w:tabs>
        <w:autoSpaceDE w:val="0"/>
        <w:autoSpaceDN w:val="0"/>
        <w:adjustRightInd w:val="0"/>
        <w:spacing w:after="0" w:line="240" w:lineRule="auto"/>
        <w:ind w:firstLine="425"/>
        <w:jc w:val="center"/>
        <w:rPr>
          <w:rFonts w:cstheme="minorHAnsi"/>
          <w:bCs/>
          <w:color w:val="0070C0"/>
          <w:sz w:val="24"/>
          <w:szCs w:val="24"/>
        </w:rPr>
      </w:pPr>
      <w:r w:rsidRPr="00F13AE9">
        <w:rPr>
          <w:rFonts w:cstheme="minorHAnsi"/>
          <w:bCs/>
          <w:color w:val="0070C0"/>
          <w:sz w:val="24"/>
          <w:szCs w:val="24"/>
        </w:rPr>
        <w:t xml:space="preserve">Razvojna agencija Zagreb za koordinaciju i poticanje regionalnog razvoja, </w:t>
      </w:r>
    </w:p>
    <w:p w14:paraId="37214DB5" w14:textId="77777777" w:rsidR="0054047D" w:rsidRDefault="0054047D" w:rsidP="0054047D">
      <w:pPr>
        <w:tabs>
          <w:tab w:val="right" w:leader="dot" w:pos="9072"/>
        </w:tabs>
        <w:autoSpaceDE w:val="0"/>
        <w:autoSpaceDN w:val="0"/>
        <w:adjustRightInd w:val="0"/>
        <w:spacing w:after="0" w:line="240" w:lineRule="auto"/>
        <w:ind w:firstLine="425"/>
        <w:jc w:val="center"/>
        <w:rPr>
          <w:rFonts w:cstheme="minorHAnsi"/>
          <w:bCs/>
          <w:color w:val="0070C0"/>
          <w:sz w:val="24"/>
          <w:szCs w:val="24"/>
        </w:rPr>
      </w:pPr>
    </w:p>
    <w:p w14:paraId="1ADDE3BC" w14:textId="6CDBECF3" w:rsidR="00F13AE9" w:rsidRDefault="00F13AE9" w:rsidP="0054047D">
      <w:pPr>
        <w:tabs>
          <w:tab w:val="right" w:leader="dot" w:pos="9072"/>
        </w:tabs>
        <w:autoSpaceDE w:val="0"/>
        <w:autoSpaceDN w:val="0"/>
        <w:adjustRightInd w:val="0"/>
        <w:spacing w:after="0" w:line="240" w:lineRule="auto"/>
        <w:ind w:firstLine="425"/>
        <w:jc w:val="center"/>
        <w:rPr>
          <w:rFonts w:cstheme="minorHAnsi"/>
          <w:bCs/>
          <w:color w:val="0070C0"/>
          <w:sz w:val="24"/>
          <w:szCs w:val="24"/>
        </w:rPr>
      </w:pPr>
      <w:r w:rsidRPr="00F13AE9">
        <w:rPr>
          <w:rFonts w:cstheme="minorHAnsi"/>
          <w:bCs/>
          <w:color w:val="0070C0"/>
          <w:sz w:val="24"/>
          <w:szCs w:val="24"/>
        </w:rPr>
        <w:t>Zagreb, veljača 2022.</w:t>
      </w:r>
    </w:p>
    <w:p w14:paraId="4C1E2AC0" w14:textId="77777777" w:rsidR="0054047D" w:rsidRPr="00F13AE9" w:rsidRDefault="0054047D" w:rsidP="0054047D">
      <w:pPr>
        <w:tabs>
          <w:tab w:val="right" w:leader="dot" w:pos="9072"/>
        </w:tabs>
        <w:autoSpaceDE w:val="0"/>
        <w:autoSpaceDN w:val="0"/>
        <w:adjustRightInd w:val="0"/>
        <w:spacing w:after="0" w:line="240" w:lineRule="auto"/>
        <w:ind w:firstLine="425"/>
        <w:jc w:val="center"/>
        <w:rPr>
          <w:rFonts w:cstheme="minorHAnsi"/>
          <w:bCs/>
          <w:color w:val="0070C0"/>
          <w:sz w:val="24"/>
          <w:szCs w:val="24"/>
        </w:rPr>
      </w:pPr>
    </w:p>
    <w:p w14:paraId="2AB77BBA" w14:textId="77777777" w:rsidR="007773DF" w:rsidRDefault="007773DF" w:rsidP="00C17261">
      <w:pPr>
        <w:tabs>
          <w:tab w:val="right" w:leader="dot" w:pos="9072"/>
        </w:tabs>
        <w:autoSpaceDE w:val="0"/>
        <w:autoSpaceDN w:val="0"/>
        <w:adjustRightInd w:val="0"/>
        <w:spacing w:after="0" w:line="240" w:lineRule="auto"/>
        <w:ind w:firstLine="425"/>
        <w:rPr>
          <w:rFonts w:cs="Calibri,Bold"/>
          <w:b/>
          <w:sz w:val="24"/>
          <w:szCs w:val="24"/>
        </w:rPr>
      </w:pPr>
    </w:p>
    <w:sdt>
      <w:sdtPr>
        <w:id w:val="-1839608215"/>
        <w:docPartObj>
          <w:docPartGallery w:val="Table of Contents"/>
          <w:docPartUnique/>
        </w:docPartObj>
      </w:sdtPr>
      <w:sdtEndPr>
        <w:rPr>
          <w:b/>
          <w:bCs/>
        </w:rPr>
      </w:sdtEndPr>
      <w:sdtContent>
        <w:p w14:paraId="0804717A" w14:textId="0D7ECB0B" w:rsidR="006A5709" w:rsidRDefault="006A5709" w:rsidP="009A7448">
          <w:pPr>
            <w:tabs>
              <w:tab w:val="right" w:leader="dot" w:pos="9072"/>
            </w:tabs>
            <w:autoSpaceDE w:val="0"/>
            <w:autoSpaceDN w:val="0"/>
            <w:adjustRightInd w:val="0"/>
            <w:spacing w:after="0" w:line="240" w:lineRule="auto"/>
            <w:ind w:firstLine="425"/>
          </w:pPr>
          <w:r>
            <w:t>Sadržaj</w:t>
          </w:r>
        </w:p>
        <w:p w14:paraId="544021B0" w14:textId="77777777" w:rsidR="0091231D" w:rsidRDefault="0091231D" w:rsidP="009A7448">
          <w:pPr>
            <w:tabs>
              <w:tab w:val="right" w:leader="dot" w:pos="9072"/>
            </w:tabs>
            <w:autoSpaceDE w:val="0"/>
            <w:autoSpaceDN w:val="0"/>
            <w:adjustRightInd w:val="0"/>
            <w:spacing w:after="0" w:line="240" w:lineRule="auto"/>
            <w:ind w:firstLine="425"/>
          </w:pPr>
        </w:p>
        <w:p w14:paraId="0151C2F3" w14:textId="0BED2601" w:rsidR="001378AF" w:rsidRDefault="006A5709">
          <w:pPr>
            <w:pStyle w:val="Sadraj1"/>
            <w:rPr>
              <w:rFonts w:eastAsiaTheme="minorEastAsia"/>
              <w:noProof/>
              <w:lang w:eastAsia="hr-HR"/>
            </w:rPr>
          </w:pPr>
          <w:r>
            <w:fldChar w:fldCharType="begin"/>
          </w:r>
          <w:r>
            <w:instrText xml:space="preserve"> TOC \o "1-3" \h \z \u </w:instrText>
          </w:r>
          <w:r>
            <w:fldChar w:fldCharType="separate"/>
          </w:r>
          <w:hyperlink w:anchor="_Toc97123772" w:history="1">
            <w:r w:rsidR="001378AF" w:rsidRPr="007F0949">
              <w:rPr>
                <w:rStyle w:val="Hiperveza"/>
                <w:noProof/>
              </w:rPr>
              <w:t>ANALIZA STANJA</w:t>
            </w:r>
            <w:r w:rsidR="001378AF">
              <w:rPr>
                <w:noProof/>
                <w:webHidden/>
              </w:rPr>
              <w:tab/>
            </w:r>
            <w:r w:rsidR="001378AF">
              <w:rPr>
                <w:noProof/>
                <w:webHidden/>
              </w:rPr>
              <w:fldChar w:fldCharType="begin"/>
            </w:r>
            <w:r w:rsidR="001378AF">
              <w:rPr>
                <w:noProof/>
                <w:webHidden/>
              </w:rPr>
              <w:instrText xml:space="preserve"> PAGEREF _Toc97123772 \h </w:instrText>
            </w:r>
            <w:r w:rsidR="001378AF">
              <w:rPr>
                <w:noProof/>
                <w:webHidden/>
              </w:rPr>
            </w:r>
            <w:r w:rsidR="001378AF">
              <w:rPr>
                <w:noProof/>
                <w:webHidden/>
              </w:rPr>
              <w:fldChar w:fldCharType="separate"/>
            </w:r>
            <w:r w:rsidR="001378AF">
              <w:rPr>
                <w:noProof/>
                <w:webHidden/>
              </w:rPr>
              <w:t>1</w:t>
            </w:r>
            <w:r w:rsidR="001378AF">
              <w:rPr>
                <w:noProof/>
                <w:webHidden/>
              </w:rPr>
              <w:fldChar w:fldCharType="end"/>
            </w:r>
          </w:hyperlink>
        </w:p>
        <w:p w14:paraId="38B08373" w14:textId="6E910259" w:rsidR="001378AF" w:rsidRDefault="00751C19">
          <w:pPr>
            <w:pStyle w:val="Sadraj1"/>
            <w:rPr>
              <w:rFonts w:eastAsiaTheme="minorEastAsia"/>
              <w:noProof/>
              <w:lang w:eastAsia="hr-HR"/>
            </w:rPr>
          </w:pPr>
          <w:hyperlink w:anchor="_Toc97123773" w:history="1">
            <w:r w:rsidR="001378AF" w:rsidRPr="007F0949">
              <w:rPr>
                <w:rStyle w:val="Hiperveza"/>
                <w:noProof/>
              </w:rPr>
              <w:t>1. OSNOVNI PODACI O GRADU</w:t>
            </w:r>
            <w:r w:rsidR="001378AF">
              <w:rPr>
                <w:noProof/>
                <w:webHidden/>
              </w:rPr>
              <w:tab/>
            </w:r>
            <w:r w:rsidR="001378AF">
              <w:rPr>
                <w:noProof/>
                <w:webHidden/>
              </w:rPr>
              <w:fldChar w:fldCharType="begin"/>
            </w:r>
            <w:r w:rsidR="001378AF">
              <w:rPr>
                <w:noProof/>
                <w:webHidden/>
              </w:rPr>
              <w:instrText xml:space="preserve"> PAGEREF _Toc97123773 \h </w:instrText>
            </w:r>
            <w:r w:rsidR="001378AF">
              <w:rPr>
                <w:noProof/>
                <w:webHidden/>
              </w:rPr>
            </w:r>
            <w:r w:rsidR="001378AF">
              <w:rPr>
                <w:noProof/>
                <w:webHidden/>
              </w:rPr>
              <w:fldChar w:fldCharType="separate"/>
            </w:r>
            <w:r w:rsidR="001378AF">
              <w:rPr>
                <w:noProof/>
                <w:webHidden/>
              </w:rPr>
              <w:t>1</w:t>
            </w:r>
            <w:r w:rsidR="001378AF">
              <w:rPr>
                <w:noProof/>
                <w:webHidden/>
              </w:rPr>
              <w:fldChar w:fldCharType="end"/>
            </w:r>
          </w:hyperlink>
        </w:p>
        <w:p w14:paraId="66AF9BD5" w14:textId="3D35533F" w:rsidR="001378AF" w:rsidRDefault="00751C19">
          <w:pPr>
            <w:pStyle w:val="Sadraj1"/>
            <w:rPr>
              <w:rFonts w:eastAsiaTheme="minorEastAsia"/>
              <w:noProof/>
              <w:lang w:eastAsia="hr-HR"/>
            </w:rPr>
          </w:pPr>
          <w:hyperlink w:anchor="_Toc97123774" w:history="1">
            <w:r w:rsidR="001378AF" w:rsidRPr="007F0949">
              <w:rPr>
                <w:rStyle w:val="Hiperveza"/>
                <w:noProof/>
              </w:rPr>
              <w:t>1.1. GEOGRAFSKA, KULTURNA I PRIRODNA OBILJEŽJA GRADA ZAGREBA</w:t>
            </w:r>
            <w:r w:rsidR="001378AF">
              <w:rPr>
                <w:noProof/>
                <w:webHidden/>
              </w:rPr>
              <w:tab/>
            </w:r>
            <w:r w:rsidR="001378AF">
              <w:rPr>
                <w:noProof/>
                <w:webHidden/>
              </w:rPr>
              <w:fldChar w:fldCharType="begin"/>
            </w:r>
            <w:r w:rsidR="001378AF">
              <w:rPr>
                <w:noProof/>
                <w:webHidden/>
              </w:rPr>
              <w:instrText xml:space="preserve"> PAGEREF _Toc97123774 \h </w:instrText>
            </w:r>
            <w:r w:rsidR="001378AF">
              <w:rPr>
                <w:noProof/>
                <w:webHidden/>
              </w:rPr>
            </w:r>
            <w:r w:rsidR="001378AF">
              <w:rPr>
                <w:noProof/>
                <w:webHidden/>
              </w:rPr>
              <w:fldChar w:fldCharType="separate"/>
            </w:r>
            <w:r w:rsidR="001378AF">
              <w:rPr>
                <w:noProof/>
                <w:webHidden/>
              </w:rPr>
              <w:t>1</w:t>
            </w:r>
            <w:r w:rsidR="001378AF">
              <w:rPr>
                <w:noProof/>
                <w:webHidden/>
              </w:rPr>
              <w:fldChar w:fldCharType="end"/>
            </w:r>
          </w:hyperlink>
        </w:p>
        <w:p w14:paraId="79FA2380" w14:textId="6B44E95B" w:rsidR="001378AF" w:rsidRDefault="00751C19">
          <w:pPr>
            <w:pStyle w:val="Sadraj1"/>
            <w:rPr>
              <w:rFonts w:eastAsiaTheme="minorEastAsia"/>
              <w:noProof/>
              <w:lang w:eastAsia="hr-HR"/>
            </w:rPr>
          </w:pPr>
          <w:hyperlink w:anchor="_Toc97123775" w:history="1">
            <w:r w:rsidR="001378AF" w:rsidRPr="007F0949">
              <w:rPr>
                <w:rStyle w:val="Hiperveza"/>
                <w:noProof/>
              </w:rPr>
              <w:t>1.1.1. Geoprometni položaj i osnovna obilježja Grada Zagreba</w:t>
            </w:r>
            <w:r w:rsidR="001378AF">
              <w:rPr>
                <w:noProof/>
                <w:webHidden/>
              </w:rPr>
              <w:tab/>
            </w:r>
            <w:r w:rsidR="001378AF">
              <w:rPr>
                <w:noProof/>
                <w:webHidden/>
              </w:rPr>
              <w:fldChar w:fldCharType="begin"/>
            </w:r>
            <w:r w:rsidR="001378AF">
              <w:rPr>
                <w:noProof/>
                <w:webHidden/>
              </w:rPr>
              <w:instrText xml:space="preserve"> PAGEREF _Toc97123775 \h </w:instrText>
            </w:r>
            <w:r w:rsidR="001378AF">
              <w:rPr>
                <w:noProof/>
                <w:webHidden/>
              </w:rPr>
            </w:r>
            <w:r w:rsidR="001378AF">
              <w:rPr>
                <w:noProof/>
                <w:webHidden/>
              </w:rPr>
              <w:fldChar w:fldCharType="separate"/>
            </w:r>
            <w:r w:rsidR="001378AF">
              <w:rPr>
                <w:noProof/>
                <w:webHidden/>
              </w:rPr>
              <w:t>1</w:t>
            </w:r>
            <w:r w:rsidR="001378AF">
              <w:rPr>
                <w:noProof/>
                <w:webHidden/>
              </w:rPr>
              <w:fldChar w:fldCharType="end"/>
            </w:r>
          </w:hyperlink>
        </w:p>
        <w:p w14:paraId="0C30DFA3" w14:textId="52977C1D" w:rsidR="001378AF" w:rsidRDefault="00751C19">
          <w:pPr>
            <w:pStyle w:val="Sadraj1"/>
            <w:rPr>
              <w:rFonts w:eastAsiaTheme="minorEastAsia"/>
              <w:noProof/>
              <w:lang w:eastAsia="hr-HR"/>
            </w:rPr>
          </w:pPr>
          <w:hyperlink w:anchor="_Toc97123776" w:history="1">
            <w:r w:rsidR="001378AF" w:rsidRPr="007F0949">
              <w:rPr>
                <w:rStyle w:val="Hiperveza"/>
                <w:noProof/>
              </w:rPr>
              <w:t>1.1.2. Prirodno - geografska obilježja</w:t>
            </w:r>
            <w:r w:rsidR="001378AF">
              <w:rPr>
                <w:noProof/>
                <w:webHidden/>
              </w:rPr>
              <w:tab/>
            </w:r>
            <w:r w:rsidR="001378AF">
              <w:rPr>
                <w:noProof/>
                <w:webHidden/>
              </w:rPr>
              <w:fldChar w:fldCharType="begin"/>
            </w:r>
            <w:r w:rsidR="001378AF">
              <w:rPr>
                <w:noProof/>
                <w:webHidden/>
              </w:rPr>
              <w:instrText xml:space="preserve"> PAGEREF _Toc97123776 \h </w:instrText>
            </w:r>
            <w:r w:rsidR="001378AF">
              <w:rPr>
                <w:noProof/>
                <w:webHidden/>
              </w:rPr>
            </w:r>
            <w:r w:rsidR="001378AF">
              <w:rPr>
                <w:noProof/>
                <w:webHidden/>
              </w:rPr>
              <w:fldChar w:fldCharType="separate"/>
            </w:r>
            <w:r w:rsidR="001378AF">
              <w:rPr>
                <w:noProof/>
                <w:webHidden/>
              </w:rPr>
              <w:t>2</w:t>
            </w:r>
            <w:r w:rsidR="001378AF">
              <w:rPr>
                <w:noProof/>
                <w:webHidden/>
              </w:rPr>
              <w:fldChar w:fldCharType="end"/>
            </w:r>
          </w:hyperlink>
        </w:p>
        <w:p w14:paraId="4A0026B0" w14:textId="3115BF66" w:rsidR="001378AF" w:rsidRDefault="00751C19">
          <w:pPr>
            <w:pStyle w:val="Sadraj1"/>
            <w:rPr>
              <w:rFonts w:eastAsiaTheme="minorEastAsia"/>
              <w:noProof/>
              <w:lang w:eastAsia="hr-HR"/>
            </w:rPr>
          </w:pPr>
          <w:hyperlink w:anchor="_Toc97123777" w:history="1">
            <w:r w:rsidR="001378AF" w:rsidRPr="007F0949">
              <w:rPr>
                <w:rStyle w:val="Hiperveza"/>
                <w:noProof/>
              </w:rPr>
              <w:t>1.1.3. Kulturna baština</w:t>
            </w:r>
            <w:r w:rsidR="001378AF">
              <w:rPr>
                <w:noProof/>
                <w:webHidden/>
              </w:rPr>
              <w:tab/>
            </w:r>
            <w:r w:rsidR="001378AF">
              <w:rPr>
                <w:noProof/>
                <w:webHidden/>
              </w:rPr>
              <w:fldChar w:fldCharType="begin"/>
            </w:r>
            <w:r w:rsidR="001378AF">
              <w:rPr>
                <w:noProof/>
                <w:webHidden/>
              </w:rPr>
              <w:instrText xml:space="preserve"> PAGEREF _Toc97123777 \h </w:instrText>
            </w:r>
            <w:r w:rsidR="001378AF">
              <w:rPr>
                <w:noProof/>
                <w:webHidden/>
              </w:rPr>
            </w:r>
            <w:r w:rsidR="001378AF">
              <w:rPr>
                <w:noProof/>
                <w:webHidden/>
              </w:rPr>
              <w:fldChar w:fldCharType="separate"/>
            </w:r>
            <w:r w:rsidR="001378AF">
              <w:rPr>
                <w:noProof/>
                <w:webHidden/>
              </w:rPr>
              <w:t>7</w:t>
            </w:r>
            <w:r w:rsidR="001378AF">
              <w:rPr>
                <w:noProof/>
                <w:webHidden/>
              </w:rPr>
              <w:fldChar w:fldCharType="end"/>
            </w:r>
          </w:hyperlink>
        </w:p>
        <w:p w14:paraId="02D909CE" w14:textId="2CAB56BC" w:rsidR="001378AF" w:rsidRDefault="00751C19">
          <w:pPr>
            <w:pStyle w:val="Sadraj1"/>
            <w:rPr>
              <w:rFonts w:eastAsiaTheme="minorEastAsia"/>
              <w:noProof/>
              <w:lang w:eastAsia="hr-HR"/>
            </w:rPr>
          </w:pPr>
          <w:hyperlink w:anchor="_Toc97123778" w:history="1">
            <w:r w:rsidR="001378AF" w:rsidRPr="007F0949">
              <w:rPr>
                <w:rStyle w:val="Hiperveza"/>
                <w:noProof/>
              </w:rPr>
              <w:t>1.1.4. Krajobraz</w:t>
            </w:r>
            <w:r w:rsidR="001378AF">
              <w:rPr>
                <w:noProof/>
                <w:webHidden/>
              </w:rPr>
              <w:tab/>
            </w:r>
            <w:r w:rsidR="001378AF">
              <w:rPr>
                <w:noProof/>
                <w:webHidden/>
              </w:rPr>
              <w:fldChar w:fldCharType="begin"/>
            </w:r>
            <w:r w:rsidR="001378AF">
              <w:rPr>
                <w:noProof/>
                <w:webHidden/>
              </w:rPr>
              <w:instrText xml:space="preserve"> PAGEREF _Toc97123778 \h </w:instrText>
            </w:r>
            <w:r w:rsidR="001378AF">
              <w:rPr>
                <w:noProof/>
                <w:webHidden/>
              </w:rPr>
            </w:r>
            <w:r w:rsidR="001378AF">
              <w:rPr>
                <w:noProof/>
                <w:webHidden/>
              </w:rPr>
              <w:fldChar w:fldCharType="separate"/>
            </w:r>
            <w:r w:rsidR="001378AF">
              <w:rPr>
                <w:noProof/>
                <w:webHidden/>
              </w:rPr>
              <w:t>9</w:t>
            </w:r>
            <w:r w:rsidR="001378AF">
              <w:rPr>
                <w:noProof/>
                <w:webHidden/>
              </w:rPr>
              <w:fldChar w:fldCharType="end"/>
            </w:r>
          </w:hyperlink>
        </w:p>
        <w:p w14:paraId="5B59CB79" w14:textId="705816FB" w:rsidR="001378AF" w:rsidRDefault="00751C19">
          <w:pPr>
            <w:pStyle w:val="Sadraj1"/>
            <w:rPr>
              <w:rFonts w:eastAsiaTheme="minorEastAsia"/>
              <w:noProof/>
              <w:lang w:eastAsia="hr-HR"/>
            </w:rPr>
          </w:pPr>
          <w:hyperlink w:anchor="_Toc97123779" w:history="1">
            <w:r w:rsidR="001378AF" w:rsidRPr="007F0949">
              <w:rPr>
                <w:rStyle w:val="Hiperveza"/>
                <w:noProof/>
              </w:rPr>
              <w:t>1.1.5. Identitetski potencijali</w:t>
            </w:r>
            <w:r w:rsidR="001378AF">
              <w:rPr>
                <w:noProof/>
                <w:webHidden/>
              </w:rPr>
              <w:tab/>
            </w:r>
            <w:r w:rsidR="001378AF">
              <w:rPr>
                <w:noProof/>
                <w:webHidden/>
              </w:rPr>
              <w:fldChar w:fldCharType="begin"/>
            </w:r>
            <w:r w:rsidR="001378AF">
              <w:rPr>
                <w:noProof/>
                <w:webHidden/>
              </w:rPr>
              <w:instrText xml:space="preserve"> PAGEREF _Toc97123779 \h </w:instrText>
            </w:r>
            <w:r w:rsidR="001378AF">
              <w:rPr>
                <w:noProof/>
                <w:webHidden/>
              </w:rPr>
            </w:r>
            <w:r w:rsidR="001378AF">
              <w:rPr>
                <w:noProof/>
                <w:webHidden/>
              </w:rPr>
              <w:fldChar w:fldCharType="separate"/>
            </w:r>
            <w:r w:rsidR="001378AF">
              <w:rPr>
                <w:noProof/>
                <w:webHidden/>
              </w:rPr>
              <w:t>9</w:t>
            </w:r>
            <w:r w:rsidR="001378AF">
              <w:rPr>
                <w:noProof/>
                <w:webHidden/>
              </w:rPr>
              <w:fldChar w:fldCharType="end"/>
            </w:r>
          </w:hyperlink>
        </w:p>
        <w:p w14:paraId="1EDFBE2C" w14:textId="04A27850" w:rsidR="001378AF" w:rsidRDefault="00751C19">
          <w:pPr>
            <w:pStyle w:val="Sadraj1"/>
            <w:rPr>
              <w:rFonts w:eastAsiaTheme="minorEastAsia"/>
              <w:noProof/>
              <w:lang w:eastAsia="hr-HR"/>
            </w:rPr>
          </w:pPr>
          <w:hyperlink w:anchor="_Toc97123780" w:history="1">
            <w:r w:rsidR="001378AF" w:rsidRPr="007F0949">
              <w:rPr>
                <w:rStyle w:val="Hiperveza"/>
                <w:noProof/>
              </w:rPr>
              <w:t>1.2. DEMOGRAFSKA OBILJEŽJA</w:t>
            </w:r>
            <w:r w:rsidR="001378AF">
              <w:rPr>
                <w:noProof/>
                <w:webHidden/>
              </w:rPr>
              <w:tab/>
            </w:r>
            <w:r w:rsidR="001378AF">
              <w:rPr>
                <w:noProof/>
                <w:webHidden/>
              </w:rPr>
              <w:fldChar w:fldCharType="begin"/>
            </w:r>
            <w:r w:rsidR="001378AF">
              <w:rPr>
                <w:noProof/>
                <w:webHidden/>
              </w:rPr>
              <w:instrText xml:space="preserve"> PAGEREF _Toc97123780 \h </w:instrText>
            </w:r>
            <w:r w:rsidR="001378AF">
              <w:rPr>
                <w:noProof/>
                <w:webHidden/>
              </w:rPr>
            </w:r>
            <w:r w:rsidR="001378AF">
              <w:rPr>
                <w:noProof/>
                <w:webHidden/>
              </w:rPr>
              <w:fldChar w:fldCharType="separate"/>
            </w:r>
            <w:r w:rsidR="001378AF">
              <w:rPr>
                <w:noProof/>
                <w:webHidden/>
              </w:rPr>
              <w:t>10</w:t>
            </w:r>
            <w:r w:rsidR="001378AF">
              <w:rPr>
                <w:noProof/>
                <w:webHidden/>
              </w:rPr>
              <w:fldChar w:fldCharType="end"/>
            </w:r>
          </w:hyperlink>
        </w:p>
        <w:p w14:paraId="088F66F8" w14:textId="22AF73A2" w:rsidR="001378AF" w:rsidRDefault="00751C19">
          <w:pPr>
            <w:pStyle w:val="Sadraj1"/>
            <w:rPr>
              <w:rFonts w:eastAsiaTheme="minorEastAsia"/>
              <w:noProof/>
              <w:lang w:eastAsia="hr-HR"/>
            </w:rPr>
          </w:pPr>
          <w:hyperlink w:anchor="_Toc97123781" w:history="1">
            <w:r w:rsidR="001378AF" w:rsidRPr="007F0949">
              <w:rPr>
                <w:rStyle w:val="Hiperveza"/>
                <w:noProof/>
              </w:rPr>
              <w:t>1.2.1. Broj stanovnika</w:t>
            </w:r>
            <w:r w:rsidR="001378AF">
              <w:rPr>
                <w:noProof/>
                <w:webHidden/>
              </w:rPr>
              <w:tab/>
            </w:r>
            <w:r w:rsidR="001378AF">
              <w:rPr>
                <w:noProof/>
                <w:webHidden/>
              </w:rPr>
              <w:fldChar w:fldCharType="begin"/>
            </w:r>
            <w:r w:rsidR="001378AF">
              <w:rPr>
                <w:noProof/>
                <w:webHidden/>
              </w:rPr>
              <w:instrText xml:space="preserve"> PAGEREF _Toc97123781 \h </w:instrText>
            </w:r>
            <w:r w:rsidR="001378AF">
              <w:rPr>
                <w:noProof/>
                <w:webHidden/>
              </w:rPr>
            </w:r>
            <w:r w:rsidR="001378AF">
              <w:rPr>
                <w:noProof/>
                <w:webHidden/>
              </w:rPr>
              <w:fldChar w:fldCharType="separate"/>
            </w:r>
            <w:r w:rsidR="001378AF">
              <w:rPr>
                <w:noProof/>
                <w:webHidden/>
              </w:rPr>
              <w:t>10</w:t>
            </w:r>
            <w:r w:rsidR="001378AF">
              <w:rPr>
                <w:noProof/>
                <w:webHidden/>
              </w:rPr>
              <w:fldChar w:fldCharType="end"/>
            </w:r>
          </w:hyperlink>
        </w:p>
        <w:p w14:paraId="006DE86D" w14:textId="2672C0A8" w:rsidR="001378AF" w:rsidRDefault="00751C19">
          <w:pPr>
            <w:pStyle w:val="Sadraj1"/>
            <w:rPr>
              <w:rFonts w:eastAsiaTheme="minorEastAsia"/>
              <w:noProof/>
              <w:lang w:eastAsia="hr-HR"/>
            </w:rPr>
          </w:pPr>
          <w:hyperlink w:anchor="_Toc97123782" w:history="1">
            <w:r w:rsidR="001378AF" w:rsidRPr="007F0949">
              <w:rPr>
                <w:rStyle w:val="Hiperveza"/>
                <w:noProof/>
              </w:rPr>
              <w:t>1.2.2. Dobna struktura</w:t>
            </w:r>
            <w:r w:rsidR="001378AF">
              <w:rPr>
                <w:noProof/>
                <w:webHidden/>
              </w:rPr>
              <w:tab/>
            </w:r>
            <w:r w:rsidR="001378AF">
              <w:rPr>
                <w:noProof/>
                <w:webHidden/>
              </w:rPr>
              <w:fldChar w:fldCharType="begin"/>
            </w:r>
            <w:r w:rsidR="001378AF">
              <w:rPr>
                <w:noProof/>
                <w:webHidden/>
              </w:rPr>
              <w:instrText xml:space="preserve"> PAGEREF _Toc97123782 \h </w:instrText>
            </w:r>
            <w:r w:rsidR="001378AF">
              <w:rPr>
                <w:noProof/>
                <w:webHidden/>
              </w:rPr>
            </w:r>
            <w:r w:rsidR="001378AF">
              <w:rPr>
                <w:noProof/>
                <w:webHidden/>
              </w:rPr>
              <w:fldChar w:fldCharType="separate"/>
            </w:r>
            <w:r w:rsidR="001378AF">
              <w:rPr>
                <w:noProof/>
                <w:webHidden/>
              </w:rPr>
              <w:t>11</w:t>
            </w:r>
            <w:r w:rsidR="001378AF">
              <w:rPr>
                <w:noProof/>
                <w:webHidden/>
              </w:rPr>
              <w:fldChar w:fldCharType="end"/>
            </w:r>
          </w:hyperlink>
        </w:p>
        <w:p w14:paraId="137A5725" w14:textId="67630909" w:rsidR="001378AF" w:rsidRDefault="00751C19">
          <w:pPr>
            <w:pStyle w:val="Sadraj1"/>
            <w:rPr>
              <w:rFonts w:eastAsiaTheme="minorEastAsia"/>
              <w:noProof/>
              <w:lang w:eastAsia="hr-HR"/>
            </w:rPr>
          </w:pPr>
          <w:hyperlink w:anchor="_Toc97123783" w:history="1">
            <w:r w:rsidR="001378AF" w:rsidRPr="007F0949">
              <w:rPr>
                <w:rStyle w:val="Hiperveza"/>
                <w:noProof/>
              </w:rPr>
              <w:t>1.2.3. Obrazovna struktura</w:t>
            </w:r>
            <w:r w:rsidR="001378AF">
              <w:rPr>
                <w:noProof/>
                <w:webHidden/>
              </w:rPr>
              <w:tab/>
            </w:r>
            <w:r w:rsidR="001378AF">
              <w:rPr>
                <w:noProof/>
                <w:webHidden/>
              </w:rPr>
              <w:fldChar w:fldCharType="begin"/>
            </w:r>
            <w:r w:rsidR="001378AF">
              <w:rPr>
                <w:noProof/>
                <w:webHidden/>
              </w:rPr>
              <w:instrText xml:space="preserve"> PAGEREF _Toc97123783 \h </w:instrText>
            </w:r>
            <w:r w:rsidR="001378AF">
              <w:rPr>
                <w:noProof/>
                <w:webHidden/>
              </w:rPr>
            </w:r>
            <w:r w:rsidR="001378AF">
              <w:rPr>
                <w:noProof/>
                <w:webHidden/>
              </w:rPr>
              <w:fldChar w:fldCharType="separate"/>
            </w:r>
            <w:r w:rsidR="001378AF">
              <w:rPr>
                <w:noProof/>
                <w:webHidden/>
              </w:rPr>
              <w:t>11</w:t>
            </w:r>
            <w:r w:rsidR="001378AF">
              <w:rPr>
                <w:noProof/>
                <w:webHidden/>
              </w:rPr>
              <w:fldChar w:fldCharType="end"/>
            </w:r>
          </w:hyperlink>
        </w:p>
        <w:p w14:paraId="576DED19" w14:textId="76B5DEDF" w:rsidR="001378AF" w:rsidRDefault="00751C19">
          <w:pPr>
            <w:pStyle w:val="Sadraj1"/>
            <w:rPr>
              <w:rFonts w:eastAsiaTheme="minorEastAsia"/>
              <w:noProof/>
              <w:lang w:eastAsia="hr-HR"/>
            </w:rPr>
          </w:pPr>
          <w:hyperlink w:anchor="_Toc97123784" w:history="1">
            <w:r w:rsidR="001378AF" w:rsidRPr="007F0949">
              <w:rPr>
                <w:rStyle w:val="Hiperveza"/>
                <w:noProof/>
              </w:rPr>
              <w:t>1.2.4. Zaposlenost i nezaposlenost</w:t>
            </w:r>
            <w:r w:rsidR="001378AF">
              <w:rPr>
                <w:noProof/>
                <w:webHidden/>
              </w:rPr>
              <w:tab/>
            </w:r>
            <w:r w:rsidR="001378AF">
              <w:rPr>
                <w:noProof/>
                <w:webHidden/>
              </w:rPr>
              <w:fldChar w:fldCharType="begin"/>
            </w:r>
            <w:r w:rsidR="001378AF">
              <w:rPr>
                <w:noProof/>
                <w:webHidden/>
              </w:rPr>
              <w:instrText xml:space="preserve"> PAGEREF _Toc97123784 \h </w:instrText>
            </w:r>
            <w:r w:rsidR="001378AF">
              <w:rPr>
                <w:noProof/>
                <w:webHidden/>
              </w:rPr>
            </w:r>
            <w:r w:rsidR="001378AF">
              <w:rPr>
                <w:noProof/>
                <w:webHidden/>
              </w:rPr>
              <w:fldChar w:fldCharType="separate"/>
            </w:r>
            <w:r w:rsidR="001378AF">
              <w:rPr>
                <w:noProof/>
                <w:webHidden/>
              </w:rPr>
              <w:t>12</w:t>
            </w:r>
            <w:r w:rsidR="001378AF">
              <w:rPr>
                <w:noProof/>
                <w:webHidden/>
              </w:rPr>
              <w:fldChar w:fldCharType="end"/>
            </w:r>
          </w:hyperlink>
        </w:p>
        <w:p w14:paraId="2F2DC870" w14:textId="60EEF294" w:rsidR="001378AF" w:rsidRDefault="00751C19">
          <w:pPr>
            <w:pStyle w:val="Sadraj1"/>
            <w:rPr>
              <w:rFonts w:eastAsiaTheme="minorEastAsia"/>
              <w:noProof/>
              <w:lang w:eastAsia="hr-HR"/>
            </w:rPr>
          </w:pPr>
          <w:hyperlink w:anchor="_Toc97123785" w:history="1">
            <w:r w:rsidR="001378AF" w:rsidRPr="007F0949">
              <w:rPr>
                <w:rStyle w:val="Hiperveza"/>
                <w:noProof/>
              </w:rPr>
              <w:t>2. DRUŠTVENA INFRASTRUKTURA I KAPACITETI</w:t>
            </w:r>
            <w:r w:rsidR="001378AF">
              <w:rPr>
                <w:noProof/>
                <w:webHidden/>
              </w:rPr>
              <w:tab/>
            </w:r>
            <w:r w:rsidR="001378AF">
              <w:rPr>
                <w:noProof/>
                <w:webHidden/>
              </w:rPr>
              <w:fldChar w:fldCharType="begin"/>
            </w:r>
            <w:r w:rsidR="001378AF">
              <w:rPr>
                <w:noProof/>
                <w:webHidden/>
              </w:rPr>
              <w:instrText xml:space="preserve"> PAGEREF _Toc97123785 \h </w:instrText>
            </w:r>
            <w:r w:rsidR="001378AF">
              <w:rPr>
                <w:noProof/>
                <w:webHidden/>
              </w:rPr>
            </w:r>
            <w:r w:rsidR="001378AF">
              <w:rPr>
                <w:noProof/>
                <w:webHidden/>
              </w:rPr>
              <w:fldChar w:fldCharType="separate"/>
            </w:r>
            <w:r w:rsidR="001378AF">
              <w:rPr>
                <w:noProof/>
                <w:webHidden/>
              </w:rPr>
              <w:t>13</w:t>
            </w:r>
            <w:r w:rsidR="001378AF">
              <w:rPr>
                <w:noProof/>
                <w:webHidden/>
              </w:rPr>
              <w:fldChar w:fldCharType="end"/>
            </w:r>
          </w:hyperlink>
        </w:p>
        <w:p w14:paraId="0A6F4583" w14:textId="56ED417A" w:rsidR="001378AF" w:rsidRDefault="00751C19">
          <w:pPr>
            <w:pStyle w:val="Sadraj1"/>
            <w:rPr>
              <w:rFonts w:eastAsiaTheme="minorEastAsia"/>
              <w:noProof/>
              <w:lang w:eastAsia="hr-HR"/>
            </w:rPr>
          </w:pPr>
          <w:hyperlink w:anchor="_Toc97123786" w:history="1">
            <w:r w:rsidR="001378AF" w:rsidRPr="007F0949">
              <w:rPr>
                <w:rStyle w:val="Hiperveza"/>
                <w:noProof/>
              </w:rPr>
              <w:t>2.1. DRUŠTVENE DJELATNOSTI</w:t>
            </w:r>
            <w:r w:rsidR="001378AF">
              <w:rPr>
                <w:noProof/>
                <w:webHidden/>
              </w:rPr>
              <w:tab/>
            </w:r>
            <w:r w:rsidR="001378AF">
              <w:rPr>
                <w:noProof/>
                <w:webHidden/>
              </w:rPr>
              <w:fldChar w:fldCharType="begin"/>
            </w:r>
            <w:r w:rsidR="001378AF">
              <w:rPr>
                <w:noProof/>
                <w:webHidden/>
              </w:rPr>
              <w:instrText xml:space="preserve"> PAGEREF _Toc97123786 \h </w:instrText>
            </w:r>
            <w:r w:rsidR="001378AF">
              <w:rPr>
                <w:noProof/>
                <w:webHidden/>
              </w:rPr>
            </w:r>
            <w:r w:rsidR="001378AF">
              <w:rPr>
                <w:noProof/>
                <w:webHidden/>
              </w:rPr>
              <w:fldChar w:fldCharType="separate"/>
            </w:r>
            <w:r w:rsidR="001378AF">
              <w:rPr>
                <w:noProof/>
                <w:webHidden/>
              </w:rPr>
              <w:t>13</w:t>
            </w:r>
            <w:r w:rsidR="001378AF">
              <w:rPr>
                <w:noProof/>
                <w:webHidden/>
              </w:rPr>
              <w:fldChar w:fldCharType="end"/>
            </w:r>
          </w:hyperlink>
        </w:p>
        <w:p w14:paraId="69CA5761" w14:textId="62B5B71F" w:rsidR="001378AF" w:rsidRDefault="00751C19">
          <w:pPr>
            <w:pStyle w:val="Sadraj1"/>
            <w:rPr>
              <w:rFonts w:eastAsiaTheme="minorEastAsia"/>
              <w:noProof/>
              <w:lang w:eastAsia="hr-HR"/>
            </w:rPr>
          </w:pPr>
          <w:hyperlink w:anchor="_Toc97123787" w:history="1">
            <w:r w:rsidR="001378AF" w:rsidRPr="007F0949">
              <w:rPr>
                <w:rStyle w:val="Hiperveza"/>
                <w:noProof/>
              </w:rPr>
              <w:t>2.1.1. Odgoj i obrazovanje</w:t>
            </w:r>
            <w:r w:rsidR="001378AF">
              <w:rPr>
                <w:noProof/>
                <w:webHidden/>
              </w:rPr>
              <w:tab/>
            </w:r>
            <w:r w:rsidR="001378AF">
              <w:rPr>
                <w:noProof/>
                <w:webHidden/>
              </w:rPr>
              <w:fldChar w:fldCharType="begin"/>
            </w:r>
            <w:r w:rsidR="001378AF">
              <w:rPr>
                <w:noProof/>
                <w:webHidden/>
              </w:rPr>
              <w:instrText xml:space="preserve"> PAGEREF _Toc97123787 \h </w:instrText>
            </w:r>
            <w:r w:rsidR="001378AF">
              <w:rPr>
                <w:noProof/>
                <w:webHidden/>
              </w:rPr>
            </w:r>
            <w:r w:rsidR="001378AF">
              <w:rPr>
                <w:noProof/>
                <w:webHidden/>
              </w:rPr>
              <w:fldChar w:fldCharType="separate"/>
            </w:r>
            <w:r w:rsidR="001378AF">
              <w:rPr>
                <w:noProof/>
                <w:webHidden/>
              </w:rPr>
              <w:t>13</w:t>
            </w:r>
            <w:r w:rsidR="001378AF">
              <w:rPr>
                <w:noProof/>
                <w:webHidden/>
              </w:rPr>
              <w:fldChar w:fldCharType="end"/>
            </w:r>
          </w:hyperlink>
        </w:p>
        <w:p w14:paraId="12870533" w14:textId="64DF1284" w:rsidR="001378AF" w:rsidRDefault="00751C19">
          <w:pPr>
            <w:pStyle w:val="Sadraj1"/>
            <w:rPr>
              <w:rFonts w:eastAsiaTheme="minorEastAsia"/>
              <w:noProof/>
              <w:lang w:eastAsia="hr-HR"/>
            </w:rPr>
          </w:pPr>
          <w:hyperlink w:anchor="_Toc97123788" w:history="1">
            <w:r w:rsidR="001378AF" w:rsidRPr="007F0949">
              <w:rPr>
                <w:rStyle w:val="Hiperveza"/>
                <w:noProof/>
              </w:rPr>
              <w:t>2.1.2. Visokoškolsko obrazovanje i znanost</w:t>
            </w:r>
            <w:r w:rsidR="001378AF">
              <w:rPr>
                <w:noProof/>
                <w:webHidden/>
              </w:rPr>
              <w:tab/>
            </w:r>
            <w:r w:rsidR="001378AF">
              <w:rPr>
                <w:noProof/>
                <w:webHidden/>
              </w:rPr>
              <w:fldChar w:fldCharType="begin"/>
            </w:r>
            <w:r w:rsidR="001378AF">
              <w:rPr>
                <w:noProof/>
                <w:webHidden/>
              </w:rPr>
              <w:instrText xml:space="preserve"> PAGEREF _Toc97123788 \h </w:instrText>
            </w:r>
            <w:r w:rsidR="001378AF">
              <w:rPr>
                <w:noProof/>
                <w:webHidden/>
              </w:rPr>
            </w:r>
            <w:r w:rsidR="001378AF">
              <w:rPr>
                <w:noProof/>
                <w:webHidden/>
              </w:rPr>
              <w:fldChar w:fldCharType="separate"/>
            </w:r>
            <w:r w:rsidR="001378AF">
              <w:rPr>
                <w:noProof/>
                <w:webHidden/>
              </w:rPr>
              <w:t>20</w:t>
            </w:r>
            <w:r w:rsidR="001378AF">
              <w:rPr>
                <w:noProof/>
                <w:webHidden/>
              </w:rPr>
              <w:fldChar w:fldCharType="end"/>
            </w:r>
          </w:hyperlink>
        </w:p>
        <w:p w14:paraId="60DF2AA6" w14:textId="002D8BD3" w:rsidR="001378AF" w:rsidRDefault="00751C19">
          <w:pPr>
            <w:pStyle w:val="Sadraj1"/>
            <w:rPr>
              <w:rFonts w:eastAsiaTheme="minorEastAsia"/>
              <w:noProof/>
              <w:lang w:eastAsia="hr-HR"/>
            </w:rPr>
          </w:pPr>
          <w:hyperlink w:anchor="_Toc97123789" w:history="1">
            <w:r w:rsidR="001378AF" w:rsidRPr="007F0949">
              <w:rPr>
                <w:rStyle w:val="Hiperveza"/>
                <w:noProof/>
              </w:rPr>
              <w:t>2.1.3. Cjeloživotno obrazovanje</w:t>
            </w:r>
            <w:r w:rsidR="001378AF">
              <w:rPr>
                <w:noProof/>
                <w:webHidden/>
              </w:rPr>
              <w:tab/>
            </w:r>
            <w:r w:rsidR="001378AF">
              <w:rPr>
                <w:noProof/>
                <w:webHidden/>
              </w:rPr>
              <w:fldChar w:fldCharType="begin"/>
            </w:r>
            <w:r w:rsidR="001378AF">
              <w:rPr>
                <w:noProof/>
                <w:webHidden/>
              </w:rPr>
              <w:instrText xml:space="preserve"> PAGEREF _Toc97123789 \h </w:instrText>
            </w:r>
            <w:r w:rsidR="001378AF">
              <w:rPr>
                <w:noProof/>
                <w:webHidden/>
              </w:rPr>
            </w:r>
            <w:r w:rsidR="001378AF">
              <w:rPr>
                <w:noProof/>
                <w:webHidden/>
              </w:rPr>
              <w:fldChar w:fldCharType="separate"/>
            </w:r>
            <w:r w:rsidR="001378AF">
              <w:rPr>
                <w:noProof/>
                <w:webHidden/>
              </w:rPr>
              <w:t>24</w:t>
            </w:r>
            <w:r w:rsidR="001378AF">
              <w:rPr>
                <w:noProof/>
                <w:webHidden/>
              </w:rPr>
              <w:fldChar w:fldCharType="end"/>
            </w:r>
          </w:hyperlink>
        </w:p>
        <w:p w14:paraId="6C741A30" w14:textId="44F6D058" w:rsidR="001378AF" w:rsidRDefault="00751C19">
          <w:pPr>
            <w:pStyle w:val="Sadraj1"/>
            <w:rPr>
              <w:rFonts w:eastAsiaTheme="minorEastAsia"/>
              <w:noProof/>
              <w:lang w:eastAsia="hr-HR"/>
            </w:rPr>
          </w:pPr>
          <w:hyperlink w:anchor="_Toc97123790" w:history="1">
            <w:r w:rsidR="001378AF" w:rsidRPr="007F0949">
              <w:rPr>
                <w:rStyle w:val="Hiperveza"/>
                <w:noProof/>
              </w:rPr>
              <w:t>2.1.4. Kultura</w:t>
            </w:r>
            <w:r w:rsidR="001378AF">
              <w:rPr>
                <w:noProof/>
                <w:webHidden/>
              </w:rPr>
              <w:tab/>
            </w:r>
            <w:r w:rsidR="001378AF">
              <w:rPr>
                <w:noProof/>
                <w:webHidden/>
              </w:rPr>
              <w:fldChar w:fldCharType="begin"/>
            </w:r>
            <w:r w:rsidR="001378AF">
              <w:rPr>
                <w:noProof/>
                <w:webHidden/>
              </w:rPr>
              <w:instrText xml:space="preserve"> PAGEREF _Toc97123790 \h </w:instrText>
            </w:r>
            <w:r w:rsidR="001378AF">
              <w:rPr>
                <w:noProof/>
                <w:webHidden/>
              </w:rPr>
            </w:r>
            <w:r w:rsidR="001378AF">
              <w:rPr>
                <w:noProof/>
                <w:webHidden/>
              </w:rPr>
              <w:fldChar w:fldCharType="separate"/>
            </w:r>
            <w:r w:rsidR="001378AF">
              <w:rPr>
                <w:noProof/>
                <w:webHidden/>
              </w:rPr>
              <w:t>26</w:t>
            </w:r>
            <w:r w:rsidR="001378AF">
              <w:rPr>
                <w:noProof/>
                <w:webHidden/>
              </w:rPr>
              <w:fldChar w:fldCharType="end"/>
            </w:r>
          </w:hyperlink>
        </w:p>
        <w:p w14:paraId="3D1D9541" w14:textId="3C6987FC" w:rsidR="001378AF" w:rsidRDefault="00751C19">
          <w:pPr>
            <w:pStyle w:val="Sadraj1"/>
            <w:rPr>
              <w:rFonts w:eastAsiaTheme="minorEastAsia"/>
              <w:noProof/>
              <w:lang w:eastAsia="hr-HR"/>
            </w:rPr>
          </w:pPr>
          <w:hyperlink w:anchor="_Toc97123791" w:history="1">
            <w:r w:rsidR="001378AF" w:rsidRPr="007F0949">
              <w:rPr>
                <w:rStyle w:val="Hiperveza"/>
                <w:noProof/>
              </w:rPr>
              <w:t>2.1.5. Sport i rekreacija</w:t>
            </w:r>
            <w:r w:rsidR="001378AF">
              <w:rPr>
                <w:noProof/>
                <w:webHidden/>
              </w:rPr>
              <w:tab/>
            </w:r>
            <w:r w:rsidR="001378AF">
              <w:rPr>
                <w:noProof/>
                <w:webHidden/>
              </w:rPr>
              <w:fldChar w:fldCharType="begin"/>
            </w:r>
            <w:r w:rsidR="001378AF">
              <w:rPr>
                <w:noProof/>
                <w:webHidden/>
              </w:rPr>
              <w:instrText xml:space="preserve"> PAGEREF _Toc97123791 \h </w:instrText>
            </w:r>
            <w:r w:rsidR="001378AF">
              <w:rPr>
                <w:noProof/>
                <w:webHidden/>
              </w:rPr>
            </w:r>
            <w:r w:rsidR="001378AF">
              <w:rPr>
                <w:noProof/>
                <w:webHidden/>
              </w:rPr>
              <w:fldChar w:fldCharType="separate"/>
            </w:r>
            <w:r w:rsidR="001378AF">
              <w:rPr>
                <w:noProof/>
                <w:webHidden/>
              </w:rPr>
              <w:t>29</w:t>
            </w:r>
            <w:r w:rsidR="001378AF">
              <w:rPr>
                <w:noProof/>
                <w:webHidden/>
              </w:rPr>
              <w:fldChar w:fldCharType="end"/>
            </w:r>
          </w:hyperlink>
        </w:p>
        <w:p w14:paraId="32F3B528" w14:textId="1F93C16A" w:rsidR="001378AF" w:rsidRDefault="00751C19">
          <w:pPr>
            <w:pStyle w:val="Sadraj1"/>
            <w:rPr>
              <w:rFonts w:eastAsiaTheme="minorEastAsia"/>
              <w:noProof/>
              <w:lang w:eastAsia="hr-HR"/>
            </w:rPr>
          </w:pPr>
          <w:hyperlink w:anchor="_Toc97123792" w:history="1">
            <w:r w:rsidR="001378AF" w:rsidRPr="007F0949">
              <w:rPr>
                <w:rStyle w:val="Hiperveza"/>
                <w:noProof/>
              </w:rPr>
              <w:t>2.1.6. Zdravstvo</w:t>
            </w:r>
            <w:r w:rsidR="001378AF">
              <w:rPr>
                <w:noProof/>
                <w:webHidden/>
              </w:rPr>
              <w:tab/>
            </w:r>
            <w:r w:rsidR="001378AF">
              <w:rPr>
                <w:noProof/>
                <w:webHidden/>
              </w:rPr>
              <w:fldChar w:fldCharType="begin"/>
            </w:r>
            <w:r w:rsidR="001378AF">
              <w:rPr>
                <w:noProof/>
                <w:webHidden/>
              </w:rPr>
              <w:instrText xml:space="preserve"> PAGEREF _Toc97123792 \h </w:instrText>
            </w:r>
            <w:r w:rsidR="001378AF">
              <w:rPr>
                <w:noProof/>
                <w:webHidden/>
              </w:rPr>
            </w:r>
            <w:r w:rsidR="001378AF">
              <w:rPr>
                <w:noProof/>
                <w:webHidden/>
              </w:rPr>
              <w:fldChar w:fldCharType="separate"/>
            </w:r>
            <w:r w:rsidR="001378AF">
              <w:rPr>
                <w:noProof/>
                <w:webHidden/>
              </w:rPr>
              <w:t>33</w:t>
            </w:r>
            <w:r w:rsidR="001378AF">
              <w:rPr>
                <w:noProof/>
                <w:webHidden/>
              </w:rPr>
              <w:fldChar w:fldCharType="end"/>
            </w:r>
          </w:hyperlink>
        </w:p>
        <w:p w14:paraId="4A799181" w14:textId="52347FE5" w:rsidR="001378AF" w:rsidRDefault="00751C19">
          <w:pPr>
            <w:pStyle w:val="Sadraj1"/>
            <w:rPr>
              <w:rFonts w:eastAsiaTheme="minorEastAsia"/>
              <w:noProof/>
              <w:lang w:eastAsia="hr-HR"/>
            </w:rPr>
          </w:pPr>
          <w:hyperlink w:anchor="_Toc97123793" w:history="1">
            <w:r w:rsidR="001378AF" w:rsidRPr="007F0949">
              <w:rPr>
                <w:rStyle w:val="Hiperveza"/>
                <w:noProof/>
              </w:rPr>
              <w:t>2.1.7. Socijalna skrb</w:t>
            </w:r>
            <w:r w:rsidR="001378AF">
              <w:rPr>
                <w:noProof/>
                <w:webHidden/>
              </w:rPr>
              <w:tab/>
            </w:r>
            <w:r w:rsidR="001378AF">
              <w:rPr>
                <w:noProof/>
                <w:webHidden/>
              </w:rPr>
              <w:fldChar w:fldCharType="begin"/>
            </w:r>
            <w:r w:rsidR="001378AF">
              <w:rPr>
                <w:noProof/>
                <w:webHidden/>
              </w:rPr>
              <w:instrText xml:space="preserve"> PAGEREF _Toc97123793 \h </w:instrText>
            </w:r>
            <w:r w:rsidR="001378AF">
              <w:rPr>
                <w:noProof/>
                <w:webHidden/>
              </w:rPr>
            </w:r>
            <w:r w:rsidR="001378AF">
              <w:rPr>
                <w:noProof/>
                <w:webHidden/>
              </w:rPr>
              <w:fldChar w:fldCharType="separate"/>
            </w:r>
            <w:r w:rsidR="001378AF">
              <w:rPr>
                <w:noProof/>
                <w:webHidden/>
              </w:rPr>
              <w:t>38</w:t>
            </w:r>
            <w:r w:rsidR="001378AF">
              <w:rPr>
                <w:noProof/>
                <w:webHidden/>
              </w:rPr>
              <w:fldChar w:fldCharType="end"/>
            </w:r>
          </w:hyperlink>
        </w:p>
        <w:p w14:paraId="34CFD0C4" w14:textId="236D5C61" w:rsidR="001378AF" w:rsidRDefault="00751C19">
          <w:pPr>
            <w:pStyle w:val="Sadraj1"/>
            <w:rPr>
              <w:rFonts w:eastAsiaTheme="minorEastAsia"/>
              <w:noProof/>
              <w:lang w:eastAsia="hr-HR"/>
            </w:rPr>
          </w:pPr>
          <w:hyperlink w:anchor="_Toc97123794" w:history="1">
            <w:r w:rsidR="001378AF" w:rsidRPr="007F0949">
              <w:rPr>
                <w:rStyle w:val="Hiperveza"/>
                <w:noProof/>
              </w:rPr>
              <w:t>2.2. UNAPRJEĐENJE I PROMICANJE LJUDSKIH PRAVA I PARTICIPACIJA GRAĐANA</w:t>
            </w:r>
            <w:r w:rsidR="001378AF">
              <w:rPr>
                <w:noProof/>
                <w:webHidden/>
              </w:rPr>
              <w:tab/>
            </w:r>
            <w:r w:rsidR="001378AF">
              <w:rPr>
                <w:noProof/>
                <w:webHidden/>
              </w:rPr>
              <w:fldChar w:fldCharType="begin"/>
            </w:r>
            <w:r w:rsidR="001378AF">
              <w:rPr>
                <w:noProof/>
                <w:webHidden/>
              </w:rPr>
              <w:instrText xml:space="preserve"> PAGEREF _Toc97123794 \h </w:instrText>
            </w:r>
            <w:r w:rsidR="001378AF">
              <w:rPr>
                <w:noProof/>
                <w:webHidden/>
              </w:rPr>
            </w:r>
            <w:r w:rsidR="001378AF">
              <w:rPr>
                <w:noProof/>
                <w:webHidden/>
              </w:rPr>
              <w:fldChar w:fldCharType="separate"/>
            </w:r>
            <w:r w:rsidR="001378AF">
              <w:rPr>
                <w:noProof/>
                <w:webHidden/>
              </w:rPr>
              <w:t>43</w:t>
            </w:r>
            <w:r w:rsidR="001378AF">
              <w:rPr>
                <w:noProof/>
                <w:webHidden/>
              </w:rPr>
              <w:fldChar w:fldCharType="end"/>
            </w:r>
          </w:hyperlink>
        </w:p>
        <w:p w14:paraId="2388ACF2" w14:textId="26136013" w:rsidR="001378AF" w:rsidRDefault="00751C19">
          <w:pPr>
            <w:pStyle w:val="Sadraj1"/>
            <w:rPr>
              <w:rFonts w:eastAsiaTheme="minorEastAsia"/>
              <w:noProof/>
              <w:lang w:eastAsia="hr-HR"/>
            </w:rPr>
          </w:pPr>
          <w:hyperlink w:anchor="_Toc97123795" w:history="1">
            <w:r w:rsidR="001378AF" w:rsidRPr="007F0949">
              <w:rPr>
                <w:rStyle w:val="Hiperveza"/>
                <w:noProof/>
              </w:rPr>
              <w:t>2.2.1. Ravnopravnost spolova</w:t>
            </w:r>
            <w:r w:rsidR="001378AF">
              <w:rPr>
                <w:noProof/>
                <w:webHidden/>
              </w:rPr>
              <w:tab/>
            </w:r>
            <w:r w:rsidR="001378AF">
              <w:rPr>
                <w:noProof/>
                <w:webHidden/>
              </w:rPr>
              <w:fldChar w:fldCharType="begin"/>
            </w:r>
            <w:r w:rsidR="001378AF">
              <w:rPr>
                <w:noProof/>
                <w:webHidden/>
              </w:rPr>
              <w:instrText xml:space="preserve"> PAGEREF _Toc97123795 \h </w:instrText>
            </w:r>
            <w:r w:rsidR="001378AF">
              <w:rPr>
                <w:noProof/>
                <w:webHidden/>
              </w:rPr>
            </w:r>
            <w:r w:rsidR="001378AF">
              <w:rPr>
                <w:noProof/>
                <w:webHidden/>
              </w:rPr>
              <w:fldChar w:fldCharType="separate"/>
            </w:r>
            <w:r w:rsidR="001378AF">
              <w:rPr>
                <w:noProof/>
                <w:webHidden/>
              </w:rPr>
              <w:t>44</w:t>
            </w:r>
            <w:r w:rsidR="001378AF">
              <w:rPr>
                <w:noProof/>
                <w:webHidden/>
              </w:rPr>
              <w:fldChar w:fldCharType="end"/>
            </w:r>
          </w:hyperlink>
        </w:p>
        <w:p w14:paraId="4D5F8D2A" w14:textId="62421BE6" w:rsidR="001378AF" w:rsidRDefault="00751C19">
          <w:pPr>
            <w:pStyle w:val="Sadraj1"/>
            <w:rPr>
              <w:rFonts w:eastAsiaTheme="minorEastAsia"/>
              <w:noProof/>
              <w:lang w:eastAsia="hr-HR"/>
            </w:rPr>
          </w:pPr>
          <w:hyperlink w:anchor="_Toc97123796" w:history="1">
            <w:r w:rsidR="001378AF" w:rsidRPr="007F0949">
              <w:rPr>
                <w:rStyle w:val="Hiperveza"/>
                <w:noProof/>
              </w:rPr>
              <w:t>2.2.2. Suzbijanje rasne i druge diskriminacije</w:t>
            </w:r>
            <w:r w:rsidR="001378AF">
              <w:rPr>
                <w:noProof/>
                <w:webHidden/>
              </w:rPr>
              <w:tab/>
            </w:r>
            <w:r w:rsidR="001378AF">
              <w:rPr>
                <w:noProof/>
                <w:webHidden/>
              </w:rPr>
              <w:fldChar w:fldCharType="begin"/>
            </w:r>
            <w:r w:rsidR="001378AF">
              <w:rPr>
                <w:noProof/>
                <w:webHidden/>
              </w:rPr>
              <w:instrText xml:space="preserve"> PAGEREF _Toc97123796 \h </w:instrText>
            </w:r>
            <w:r w:rsidR="001378AF">
              <w:rPr>
                <w:noProof/>
                <w:webHidden/>
              </w:rPr>
            </w:r>
            <w:r w:rsidR="001378AF">
              <w:rPr>
                <w:noProof/>
                <w:webHidden/>
              </w:rPr>
              <w:fldChar w:fldCharType="separate"/>
            </w:r>
            <w:r w:rsidR="001378AF">
              <w:rPr>
                <w:noProof/>
                <w:webHidden/>
              </w:rPr>
              <w:t>45</w:t>
            </w:r>
            <w:r w:rsidR="001378AF">
              <w:rPr>
                <w:noProof/>
                <w:webHidden/>
              </w:rPr>
              <w:fldChar w:fldCharType="end"/>
            </w:r>
          </w:hyperlink>
        </w:p>
        <w:p w14:paraId="65B76883" w14:textId="5C98D6CF" w:rsidR="001378AF" w:rsidRDefault="00751C19">
          <w:pPr>
            <w:pStyle w:val="Sadraj1"/>
            <w:tabs>
              <w:tab w:val="left" w:pos="880"/>
            </w:tabs>
            <w:rPr>
              <w:rFonts w:eastAsiaTheme="minorEastAsia"/>
              <w:noProof/>
              <w:lang w:eastAsia="hr-HR"/>
            </w:rPr>
          </w:pPr>
          <w:hyperlink w:anchor="_Toc97123797" w:history="1">
            <w:r w:rsidR="001378AF" w:rsidRPr="007F0949">
              <w:rPr>
                <w:rStyle w:val="Hiperveza"/>
                <w:noProof/>
              </w:rPr>
              <w:t>2.2.3.</w:t>
            </w:r>
            <w:r w:rsidR="001378AF">
              <w:rPr>
                <w:rFonts w:eastAsiaTheme="minorEastAsia"/>
                <w:noProof/>
                <w:lang w:eastAsia="hr-HR"/>
              </w:rPr>
              <w:tab/>
            </w:r>
            <w:r w:rsidR="001378AF" w:rsidRPr="007F0949">
              <w:rPr>
                <w:rStyle w:val="Hiperveza"/>
                <w:noProof/>
              </w:rPr>
              <w:t>Nacionalne manjine</w:t>
            </w:r>
            <w:r w:rsidR="001378AF">
              <w:rPr>
                <w:noProof/>
                <w:webHidden/>
              </w:rPr>
              <w:tab/>
            </w:r>
            <w:r w:rsidR="001378AF">
              <w:rPr>
                <w:noProof/>
                <w:webHidden/>
              </w:rPr>
              <w:fldChar w:fldCharType="begin"/>
            </w:r>
            <w:r w:rsidR="001378AF">
              <w:rPr>
                <w:noProof/>
                <w:webHidden/>
              </w:rPr>
              <w:instrText xml:space="preserve"> PAGEREF _Toc97123797 \h </w:instrText>
            </w:r>
            <w:r w:rsidR="001378AF">
              <w:rPr>
                <w:noProof/>
                <w:webHidden/>
              </w:rPr>
            </w:r>
            <w:r w:rsidR="001378AF">
              <w:rPr>
                <w:noProof/>
                <w:webHidden/>
              </w:rPr>
              <w:fldChar w:fldCharType="separate"/>
            </w:r>
            <w:r w:rsidR="001378AF">
              <w:rPr>
                <w:noProof/>
                <w:webHidden/>
              </w:rPr>
              <w:t>46</w:t>
            </w:r>
            <w:r w:rsidR="001378AF">
              <w:rPr>
                <w:noProof/>
                <w:webHidden/>
              </w:rPr>
              <w:fldChar w:fldCharType="end"/>
            </w:r>
          </w:hyperlink>
        </w:p>
        <w:p w14:paraId="483144C7" w14:textId="77FB725F" w:rsidR="001378AF" w:rsidRDefault="00751C19">
          <w:pPr>
            <w:pStyle w:val="Sadraj1"/>
            <w:tabs>
              <w:tab w:val="left" w:pos="880"/>
            </w:tabs>
            <w:rPr>
              <w:rFonts w:eastAsiaTheme="minorEastAsia"/>
              <w:noProof/>
              <w:lang w:eastAsia="hr-HR"/>
            </w:rPr>
          </w:pPr>
          <w:hyperlink w:anchor="_Toc97123798" w:history="1">
            <w:r w:rsidR="001378AF" w:rsidRPr="007F0949">
              <w:rPr>
                <w:rStyle w:val="Hiperveza"/>
                <w:noProof/>
              </w:rPr>
              <w:t>2.2.4.</w:t>
            </w:r>
            <w:r w:rsidR="001378AF">
              <w:rPr>
                <w:rFonts w:eastAsiaTheme="minorEastAsia"/>
                <w:noProof/>
                <w:lang w:eastAsia="hr-HR"/>
              </w:rPr>
              <w:tab/>
            </w:r>
            <w:r w:rsidR="001378AF" w:rsidRPr="007F0949">
              <w:rPr>
                <w:rStyle w:val="Hiperveza"/>
                <w:noProof/>
              </w:rPr>
              <w:t>Vjerska prava i slobode</w:t>
            </w:r>
            <w:r w:rsidR="001378AF">
              <w:rPr>
                <w:noProof/>
                <w:webHidden/>
              </w:rPr>
              <w:tab/>
            </w:r>
            <w:r w:rsidR="001378AF">
              <w:rPr>
                <w:noProof/>
                <w:webHidden/>
              </w:rPr>
              <w:fldChar w:fldCharType="begin"/>
            </w:r>
            <w:r w:rsidR="001378AF">
              <w:rPr>
                <w:noProof/>
                <w:webHidden/>
              </w:rPr>
              <w:instrText xml:space="preserve"> PAGEREF _Toc97123798 \h </w:instrText>
            </w:r>
            <w:r w:rsidR="001378AF">
              <w:rPr>
                <w:noProof/>
                <w:webHidden/>
              </w:rPr>
            </w:r>
            <w:r w:rsidR="001378AF">
              <w:rPr>
                <w:noProof/>
                <w:webHidden/>
              </w:rPr>
              <w:fldChar w:fldCharType="separate"/>
            </w:r>
            <w:r w:rsidR="001378AF">
              <w:rPr>
                <w:noProof/>
                <w:webHidden/>
              </w:rPr>
              <w:t>47</w:t>
            </w:r>
            <w:r w:rsidR="001378AF">
              <w:rPr>
                <w:noProof/>
                <w:webHidden/>
              </w:rPr>
              <w:fldChar w:fldCharType="end"/>
            </w:r>
          </w:hyperlink>
        </w:p>
        <w:p w14:paraId="2528624F" w14:textId="6D172A72" w:rsidR="001378AF" w:rsidRDefault="00751C19">
          <w:pPr>
            <w:pStyle w:val="Sadraj1"/>
            <w:rPr>
              <w:rFonts w:eastAsiaTheme="minorEastAsia"/>
              <w:noProof/>
              <w:lang w:eastAsia="hr-HR"/>
            </w:rPr>
          </w:pPr>
          <w:hyperlink w:anchor="_Toc97123799" w:history="1">
            <w:r w:rsidR="001378AF" w:rsidRPr="007F0949">
              <w:rPr>
                <w:rStyle w:val="Hiperveza"/>
                <w:noProof/>
              </w:rPr>
              <w:t>2.2.5. Poticanje razvoja civilnoga društva i ostvarivanje slobode udruživanja</w:t>
            </w:r>
            <w:r w:rsidR="001378AF">
              <w:rPr>
                <w:noProof/>
                <w:webHidden/>
              </w:rPr>
              <w:tab/>
            </w:r>
            <w:r w:rsidR="001378AF">
              <w:rPr>
                <w:noProof/>
                <w:webHidden/>
              </w:rPr>
              <w:fldChar w:fldCharType="begin"/>
            </w:r>
            <w:r w:rsidR="001378AF">
              <w:rPr>
                <w:noProof/>
                <w:webHidden/>
              </w:rPr>
              <w:instrText xml:space="preserve"> PAGEREF _Toc97123799 \h </w:instrText>
            </w:r>
            <w:r w:rsidR="001378AF">
              <w:rPr>
                <w:noProof/>
                <w:webHidden/>
              </w:rPr>
            </w:r>
            <w:r w:rsidR="001378AF">
              <w:rPr>
                <w:noProof/>
                <w:webHidden/>
              </w:rPr>
              <w:fldChar w:fldCharType="separate"/>
            </w:r>
            <w:r w:rsidR="001378AF">
              <w:rPr>
                <w:noProof/>
                <w:webHidden/>
              </w:rPr>
              <w:t>48</w:t>
            </w:r>
            <w:r w:rsidR="001378AF">
              <w:rPr>
                <w:noProof/>
                <w:webHidden/>
              </w:rPr>
              <w:fldChar w:fldCharType="end"/>
            </w:r>
          </w:hyperlink>
        </w:p>
        <w:p w14:paraId="19502647" w14:textId="4329051B" w:rsidR="001378AF" w:rsidRDefault="00751C19">
          <w:pPr>
            <w:pStyle w:val="Sadraj1"/>
            <w:rPr>
              <w:rFonts w:eastAsiaTheme="minorEastAsia"/>
              <w:noProof/>
              <w:lang w:eastAsia="hr-HR"/>
            </w:rPr>
          </w:pPr>
          <w:hyperlink w:anchor="_Toc97123800" w:history="1">
            <w:r w:rsidR="001378AF" w:rsidRPr="007F0949">
              <w:rPr>
                <w:rStyle w:val="Hiperveza"/>
                <w:noProof/>
              </w:rPr>
              <w:t>2.2.6. Mladi u Gradu Zagrebu</w:t>
            </w:r>
            <w:r w:rsidR="001378AF">
              <w:rPr>
                <w:noProof/>
                <w:webHidden/>
              </w:rPr>
              <w:tab/>
            </w:r>
            <w:r w:rsidR="001378AF">
              <w:rPr>
                <w:noProof/>
                <w:webHidden/>
              </w:rPr>
              <w:fldChar w:fldCharType="begin"/>
            </w:r>
            <w:r w:rsidR="001378AF">
              <w:rPr>
                <w:noProof/>
                <w:webHidden/>
              </w:rPr>
              <w:instrText xml:space="preserve"> PAGEREF _Toc97123800 \h </w:instrText>
            </w:r>
            <w:r w:rsidR="001378AF">
              <w:rPr>
                <w:noProof/>
                <w:webHidden/>
              </w:rPr>
            </w:r>
            <w:r w:rsidR="001378AF">
              <w:rPr>
                <w:noProof/>
                <w:webHidden/>
              </w:rPr>
              <w:fldChar w:fldCharType="separate"/>
            </w:r>
            <w:r w:rsidR="001378AF">
              <w:rPr>
                <w:noProof/>
                <w:webHidden/>
              </w:rPr>
              <w:t>49</w:t>
            </w:r>
            <w:r w:rsidR="001378AF">
              <w:rPr>
                <w:noProof/>
                <w:webHidden/>
              </w:rPr>
              <w:fldChar w:fldCharType="end"/>
            </w:r>
          </w:hyperlink>
        </w:p>
        <w:p w14:paraId="32D92066" w14:textId="2056E574" w:rsidR="001378AF" w:rsidRDefault="00751C19">
          <w:pPr>
            <w:pStyle w:val="Sadraj1"/>
            <w:rPr>
              <w:rFonts w:eastAsiaTheme="minorEastAsia"/>
              <w:noProof/>
              <w:lang w:eastAsia="hr-HR"/>
            </w:rPr>
          </w:pPr>
          <w:hyperlink w:anchor="_Toc97123801" w:history="1">
            <w:r w:rsidR="001378AF" w:rsidRPr="007F0949">
              <w:rPr>
                <w:rStyle w:val="Hiperveza"/>
                <w:noProof/>
              </w:rPr>
              <w:t>2.2.7. Branitelji u Gradu Zagrebu</w:t>
            </w:r>
            <w:r w:rsidR="001378AF">
              <w:rPr>
                <w:noProof/>
                <w:webHidden/>
              </w:rPr>
              <w:tab/>
            </w:r>
            <w:r w:rsidR="001378AF">
              <w:rPr>
                <w:noProof/>
                <w:webHidden/>
              </w:rPr>
              <w:fldChar w:fldCharType="begin"/>
            </w:r>
            <w:r w:rsidR="001378AF">
              <w:rPr>
                <w:noProof/>
                <w:webHidden/>
              </w:rPr>
              <w:instrText xml:space="preserve"> PAGEREF _Toc97123801 \h </w:instrText>
            </w:r>
            <w:r w:rsidR="001378AF">
              <w:rPr>
                <w:noProof/>
                <w:webHidden/>
              </w:rPr>
            </w:r>
            <w:r w:rsidR="001378AF">
              <w:rPr>
                <w:noProof/>
                <w:webHidden/>
              </w:rPr>
              <w:fldChar w:fldCharType="separate"/>
            </w:r>
            <w:r w:rsidR="001378AF">
              <w:rPr>
                <w:noProof/>
                <w:webHidden/>
              </w:rPr>
              <w:t>50</w:t>
            </w:r>
            <w:r w:rsidR="001378AF">
              <w:rPr>
                <w:noProof/>
                <w:webHidden/>
              </w:rPr>
              <w:fldChar w:fldCharType="end"/>
            </w:r>
          </w:hyperlink>
        </w:p>
        <w:p w14:paraId="4EBCC225" w14:textId="5FD35095" w:rsidR="001378AF" w:rsidRDefault="00751C19">
          <w:pPr>
            <w:pStyle w:val="Sadraj1"/>
            <w:rPr>
              <w:rFonts w:eastAsiaTheme="minorEastAsia"/>
              <w:noProof/>
              <w:lang w:eastAsia="hr-HR"/>
            </w:rPr>
          </w:pPr>
          <w:hyperlink w:anchor="_Toc97123802" w:history="1">
            <w:r w:rsidR="001378AF" w:rsidRPr="007F0949">
              <w:rPr>
                <w:rStyle w:val="Hiperveza"/>
                <w:rFonts w:cs="Calibri"/>
                <w:caps/>
                <w:noProof/>
              </w:rPr>
              <w:t>3. GOSPODARSTVO</w:t>
            </w:r>
            <w:r w:rsidR="001378AF">
              <w:rPr>
                <w:noProof/>
                <w:webHidden/>
              </w:rPr>
              <w:tab/>
            </w:r>
            <w:r w:rsidR="001378AF">
              <w:rPr>
                <w:noProof/>
                <w:webHidden/>
              </w:rPr>
              <w:fldChar w:fldCharType="begin"/>
            </w:r>
            <w:r w:rsidR="001378AF">
              <w:rPr>
                <w:noProof/>
                <w:webHidden/>
              </w:rPr>
              <w:instrText xml:space="preserve"> PAGEREF _Toc97123802 \h </w:instrText>
            </w:r>
            <w:r w:rsidR="001378AF">
              <w:rPr>
                <w:noProof/>
                <w:webHidden/>
              </w:rPr>
            </w:r>
            <w:r w:rsidR="001378AF">
              <w:rPr>
                <w:noProof/>
                <w:webHidden/>
              </w:rPr>
              <w:fldChar w:fldCharType="separate"/>
            </w:r>
            <w:r w:rsidR="001378AF">
              <w:rPr>
                <w:noProof/>
                <w:webHidden/>
              </w:rPr>
              <w:t>52</w:t>
            </w:r>
            <w:r w:rsidR="001378AF">
              <w:rPr>
                <w:noProof/>
                <w:webHidden/>
              </w:rPr>
              <w:fldChar w:fldCharType="end"/>
            </w:r>
          </w:hyperlink>
        </w:p>
        <w:p w14:paraId="3A70DE28" w14:textId="1ADBBAE0" w:rsidR="001378AF" w:rsidRDefault="00751C19">
          <w:pPr>
            <w:pStyle w:val="Sadraj1"/>
            <w:rPr>
              <w:rFonts w:eastAsiaTheme="minorEastAsia"/>
              <w:noProof/>
              <w:lang w:eastAsia="hr-HR"/>
            </w:rPr>
          </w:pPr>
          <w:hyperlink w:anchor="_Toc97123803" w:history="1">
            <w:r w:rsidR="001378AF" w:rsidRPr="007F0949">
              <w:rPr>
                <w:rStyle w:val="Hiperveza"/>
                <w:noProof/>
              </w:rPr>
              <w:t>3.1. GOSPODARSKA KRETANJA</w:t>
            </w:r>
            <w:r w:rsidR="001378AF">
              <w:rPr>
                <w:noProof/>
                <w:webHidden/>
              </w:rPr>
              <w:tab/>
            </w:r>
            <w:r w:rsidR="001378AF">
              <w:rPr>
                <w:noProof/>
                <w:webHidden/>
              </w:rPr>
              <w:fldChar w:fldCharType="begin"/>
            </w:r>
            <w:r w:rsidR="001378AF">
              <w:rPr>
                <w:noProof/>
                <w:webHidden/>
              </w:rPr>
              <w:instrText xml:space="preserve"> PAGEREF _Toc97123803 \h </w:instrText>
            </w:r>
            <w:r w:rsidR="001378AF">
              <w:rPr>
                <w:noProof/>
                <w:webHidden/>
              </w:rPr>
            </w:r>
            <w:r w:rsidR="001378AF">
              <w:rPr>
                <w:noProof/>
                <w:webHidden/>
              </w:rPr>
              <w:fldChar w:fldCharType="separate"/>
            </w:r>
            <w:r w:rsidR="001378AF">
              <w:rPr>
                <w:noProof/>
                <w:webHidden/>
              </w:rPr>
              <w:t>52</w:t>
            </w:r>
            <w:r w:rsidR="001378AF">
              <w:rPr>
                <w:noProof/>
                <w:webHidden/>
              </w:rPr>
              <w:fldChar w:fldCharType="end"/>
            </w:r>
          </w:hyperlink>
        </w:p>
        <w:p w14:paraId="170780C5" w14:textId="4B798F49" w:rsidR="001378AF" w:rsidRDefault="00751C19">
          <w:pPr>
            <w:pStyle w:val="Sadraj1"/>
            <w:rPr>
              <w:rFonts w:eastAsiaTheme="minorEastAsia"/>
              <w:noProof/>
              <w:lang w:eastAsia="hr-HR"/>
            </w:rPr>
          </w:pPr>
          <w:hyperlink w:anchor="_Toc97123804" w:history="1">
            <w:r w:rsidR="001378AF" w:rsidRPr="007F0949">
              <w:rPr>
                <w:rStyle w:val="Hiperveza"/>
                <w:noProof/>
              </w:rPr>
              <w:t>3.1.1.  Opća gospodarska kretanja u hrvatskom i europskom  gospodarstvu</w:t>
            </w:r>
            <w:r w:rsidR="001378AF">
              <w:rPr>
                <w:noProof/>
                <w:webHidden/>
              </w:rPr>
              <w:tab/>
            </w:r>
            <w:r w:rsidR="001378AF">
              <w:rPr>
                <w:noProof/>
                <w:webHidden/>
              </w:rPr>
              <w:fldChar w:fldCharType="begin"/>
            </w:r>
            <w:r w:rsidR="001378AF">
              <w:rPr>
                <w:noProof/>
                <w:webHidden/>
              </w:rPr>
              <w:instrText xml:space="preserve"> PAGEREF _Toc97123804 \h </w:instrText>
            </w:r>
            <w:r w:rsidR="001378AF">
              <w:rPr>
                <w:noProof/>
                <w:webHidden/>
              </w:rPr>
            </w:r>
            <w:r w:rsidR="001378AF">
              <w:rPr>
                <w:noProof/>
                <w:webHidden/>
              </w:rPr>
              <w:fldChar w:fldCharType="separate"/>
            </w:r>
            <w:r w:rsidR="001378AF">
              <w:rPr>
                <w:noProof/>
                <w:webHidden/>
              </w:rPr>
              <w:t>52</w:t>
            </w:r>
            <w:r w:rsidR="001378AF">
              <w:rPr>
                <w:noProof/>
                <w:webHidden/>
              </w:rPr>
              <w:fldChar w:fldCharType="end"/>
            </w:r>
          </w:hyperlink>
        </w:p>
        <w:p w14:paraId="15E3D00C" w14:textId="71AED260" w:rsidR="001378AF" w:rsidRDefault="00751C19">
          <w:pPr>
            <w:pStyle w:val="Sadraj1"/>
            <w:rPr>
              <w:rFonts w:eastAsiaTheme="minorEastAsia"/>
              <w:noProof/>
              <w:lang w:eastAsia="hr-HR"/>
            </w:rPr>
          </w:pPr>
          <w:hyperlink w:anchor="_Toc97123805" w:history="1">
            <w:r w:rsidR="001378AF" w:rsidRPr="007F0949">
              <w:rPr>
                <w:rStyle w:val="Hiperveza"/>
                <w:noProof/>
              </w:rPr>
              <w:t>3.1.2. Osnovni gospodarski pokazatelji i struktura gospodarstva Grada Zagreba</w:t>
            </w:r>
            <w:r w:rsidR="001378AF">
              <w:rPr>
                <w:noProof/>
                <w:webHidden/>
              </w:rPr>
              <w:tab/>
            </w:r>
            <w:r w:rsidR="001378AF">
              <w:rPr>
                <w:noProof/>
                <w:webHidden/>
              </w:rPr>
              <w:fldChar w:fldCharType="begin"/>
            </w:r>
            <w:r w:rsidR="001378AF">
              <w:rPr>
                <w:noProof/>
                <w:webHidden/>
              </w:rPr>
              <w:instrText xml:space="preserve"> PAGEREF _Toc97123805 \h </w:instrText>
            </w:r>
            <w:r w:rsidR="001378AF">
              <w:rPr>
                <w:noProof/>
                <w:webHidden/>
              </w:rPr>
            </w:r>
            <w:r w:rsidR="001378AF">
              <w:rPr>
                <w:noProof/>
                <w:webHidden/>
              </w:rPr>
              <w:fldChar w:fldCharType="separate"/>
            </w:r>
            <w:r w:rsidR="001378AF">
              <w:rPr>
                <w:noProof/>
                <w:webHidden/>
              </w:rPr>
              <w:t>53</w:t>
            </w:r>
            <w:r w:rsidR="001378AF">
              <w:rPr>
                <w:noProof/>
                <w:webHidden/>
              </w:rPr>
              <w:fldChar w:fldCharType="end"/>
            </w:r>
          </w:hyperlink>
        </w:p>
        <w:p w14:paraId="5FB124F7" w14:textId="13BA754D" w:rsidR="001378AF" w:rsidRDefault="00751C19">
          <w:pPr>
            <w:pStyle w:val="Sadraj1"/>
            <w:rPr>
              <w:rFonts w:eastAsiaTheme="minorEastAsia"/>
              <w:noProof/>
              <w:lang w:eastAsia="hr-HR"/>
            </w:rPr>
          </w:pPr>
          <w:hyperlink w:anchor="_Toc97123806" w:history="1">
            <w:r w:rsidR="001378AF" w:rsidRPr="007F0949">
              <w:rPr>
                <w:rStyle w:val="Hiperveza"/>
                <w:noProof/>
              </w:rPr>
              <w:t>3.1.3. Financijski rezultati poslovanja poduzetnika</w:t>
            </w:r>
            <w:r w:rsidR="001378AF">
              <w:rPr>
                <w:noProof/>
                <w:webHidden/>
              </w:rPr>
              <w:tab/>
            </w:r>
            <w:r w:rsidR="001378AF">
              <w:rPr>
                <w:noProof/>
                <w:webHidden/>
              </w:rPr>
              <w:fldChar w:fldCharType="begin"/>
            </w:r>
            <w:r w:rsidR="001378AF">
              <w:rPr>
                <w:noProof/>
                <w:webHidden/>
              </w:rPr>
              <w:instrText xml:space="preserve"> PAGEREF _Toc97123806 \h </w:instrText>
            </w:r>
            <w:r w:rsidR="001378AF">
              <w:rPr>
                <w:noProof/>
                <w:webHidden/>
              </w:rPr>
            </w:r>
            <w:r w:rsidR="001378AF">
              <w:rPr>
                <w:noProof/>
                <w:webHidden/>
              </w:rPr>
              <w:fldChar w:fldCharType="separate"/>
            </w:r>
            <w:r w:rsidR="001378AF">
              <w:rPr>
                <w:noProof/>
                <w:webHidden/>
              </w:rPr>
              <w:t>57</w:t>
            </w:r>
            <w:r w:rsidR="001378AF">
              <w:rPr>
                <w:noProof/>
                <w:webHidden/>
              </w:rPr>
              <w:fldChar w:fldCharType="end"/>
            </w:r>
          </w:hyperlink>
        </w:p>
        <w:p w14:paraId="29E3F1F2" w14:textId="076C8F23" w:rsidR="001378AF" w:rsidRDefault="00751C19">
          <w:pPr>
            <w:pStyle w:val="Sadraj1"/>
            <w:rPr>
              <w:rFonts w:eastAsiaTheme="minorEastAsia"/>
              <w:noProof/>
              <w:lang w:eastAsia="hr-HR"/>
            </w:rPr>
          </w:pPr>
          <w:hyperlink w:anchor="_Toc97123807" w:history="1">
            <w:r w:rsidR="001378AF" w:rsidRPr="007F0949">
              <w:rPr>
                <w:rStyle w:val="Hiperveza"/>
                <w:noProof/>
              </w:rPr>
              <w:t>3.1.4. Obrtništvo</w:t>
            </w:r>
            <w:r w:rsidR="001378AF">
              <w:rPr>
                <w:noProof/>
                <w:webHidden/>
              </w:rPr>
              <w:tab/>
            </w:r>
            <w:r w:rsidR="001378AF">
              <w:rPr>
                <w:noProof/>
                <w:webHidden/>
              </w:rPr>
              <w:fldChar w:fldCharType="begin"/>
            </w:r>
            <w:r w:rsidR="001378AF">
              <w:rPr>
                <w:noProof/>
                <w:webHidden/>
              </w:rPr>
              <w:instrText xml:space="preserve"> PAGEREF _Toc97123807 \h </w:instrText>
            </w:r>
            <w:r w:rsidR="001378AF">
              <w:rPr>
                <w:noProof/>
                <w:webHidden/>
              </w:rPr>
            </w:r>
            <w:r w:rsidR="001378AF">
              <w:rPr>
                <w:noProof/>
                <w:webHidden/>
              </w:rPr>
              <w:fldChar w:fldCharType="separate"/>
            </w:r>
            <w:r w:rsidR="001378AF">
              <w:rPr>
                <w:noProof/>
                <w:webHidden/>
              </w:rPr>
              <w:t>58</w:t>
            </w:r>
            <w:r w:rsidR="001378AF">
              <w:rPr>
                <w:noProof/>
                <w:webHidden/>
              </w:rPr>
              <w:fldChar w:fldCharType="end"/>
            </w:r>
          </w:hyperlink>
        </w:p>
        <w:p w14:paraId="28C59F11" w14:textId="139B5B0C" w:rsidR="001378AF" w:rsidRDefault="00751C19">
          <w:pPr>
            <w:pStyle w:val="Sadraj1"/>
            <w:rPr>
              <w:rFonts w:eastAsiaTheme="minorEastAsia"/>
              <w:noProof/>
              <w:lang w:eastAsia="hr-HR"/>
            </w:rPr>
          </w:pPr>
          <w:hyperlink w:anchor="_Toc97123808" w:history="1">
            <w:r w:rsidR="001378AF" w:rsidRPr="007F0949">
              <w:rPr>
                <w:rStyle w:val="Hiperveza"/>
                <w:noProof/>
              </w:rPr>
              <w:t>3.1.5. Poduzetnička infrastruktura</w:t>
            </w:r>
            <w:r w:rsidR="001378AF">
              <w:rPr>
                <w:noProof/>
                <w:webHidden/>
              </w:rPr>
              <w:tab/>
            </w:r>
            <w:r w:rsidR="001378AF">
              <w:rPr>
                <w:noProof/>
                <w:webHidden/>
              </w:rPr>
              <w:fldChar w:fldCharType="begin"/>
            </w:r>
            <w:r w:rsidR="001378AF">
              <w:rPr>
                <w:noProof/>
                <w:webHidden/>
              </w:rPr>
              <w:instrText xml:space="preserve"> PAGEREF _Toc97123808 \h </w:instrText>
            </w:r>
            <w:r w:rsidR="001378AF">
              <w:rPr>
                <w:noProof/>
                <w:webHidden/>
              </w:rPr>
            </w:r>
            <w:r w:rsidR="001378AF">
              <w:rPr>
                <w:noProof/>
                <w:webHidden/>
              </w:rPr>
              <w:fldChar w:fldCharType="separate"/>
            </w:r>
            <w:r w:rsidR="001378AF">
              <w:rPr>
                <w:noProof/>
                <w:webHidden/>
              </w:rPr>
              <w:t>59</w:t>
            </w:r>
            <w:r w:rsidR="001378AF">
              <w:rPr>
                <w:noProof/>
                <w:webHidden/>
              </w:rPr>
              <w:fldChar w:fldCharType="end"/>
            </w:r>
          </w:hyperlink>
        </w:p>
        <w:p w14:paraId="407413F6" w14:textId="172DDB22" w:rsidR="001378AF" w:rsidRDefault="00751C19">
          <w:pPr>
            <w:pStyle w:val="Sadraj1"/>
            <w:rPr>
              <w:rFonts w:eastAsiaTheme="minorEastAsia"/>
              <w:noProof/>
              <w:lang w:eastAsia="hr-HR"/>
            </w:rPr>
          </w:pPr>
          <w:hyperlink w:anchor="_Toc97123809" w:history="1">
            <w:r w:rsidR="001378AF" w:rsidRPr="007F0949">
              <w:rPr>
                <w:rStyle w:val="Hiperveza"/>
                <w:noProof/>
              </w:rPr>
              <w:t xml:space="preserve">3.1.6. Poticajne mjere za razvoj malog i srednjeg poduzetništva i obrta </w:t>
            </w:r>
            <w:r w:rsidR="001378AF">
              <w:rPr>
                <w:noProof/>
                <w:webHidden/>
              </w:rPr>
              <w:tab/>
            </w:r>
            <w:r w:rsidR="001378AF">
              <w:rPr>
                <w:noProof/>
                <w:webHidden/>
              </w:rPr>
              <w:fldChar w:fldCharType="begin"/>
            </w:r>
            <w:r w:rsidR="001378AF">
              <w:rPr>
                <w:noProof/>
                <w:webHidden/>
              </w:rPr>
              <w:instrText xml:space="preserve"> PAGEREF _Toc97123809 \h </w:instrText>
            </w:r>
            <w:r w:rsidR="001378AF">
              <w:rPr>
                <w:noProof/>
                <w:webHidden/>
              </w:rPr>
            </w:r>
            <w:r w:rsidR="001378AF">
              <w:rPr>
                <w:noProof/>
                <w:webHidden/>
              </w:rPr>
              <w:fldChar w:fldCharType="separate"/>
            </w:r>
            <w:r w:rsidR="001378AF">
              <w:rPr>
                <w:noProof/>
                <w:webHidden/>
              </w:rPr>
              <w:t>60</w:t>
            </w:r>
            <w:r w:rsidR="001378AF">
              <w:rPr>
                <w:noProof/>
                <w:webHidden/>
              </w:rPr>
              <w:fldChar w:fldCharType="end"/>
            </w:r>
          </w:hyperlink>
        </w:p>
        <w:p w14:paraId="402E9477" w14:textId="4CBD3032" w:rsidR="001378AF" w:rsidRDefault="00751C19">
          <w:pPr>
            <w:pStyle w:val="Sadraj1"/>
            <w:rPr>
              <w:rFonts w:eastAsiaTheme="minorEastAsia"/>
              <w:noProof/>
              <w:lang w:eastAsia="hr-HR"/>
            </w:rPr>
          </w:pPr>
          <w:hyperlink w:anchor="_Toc97123810" w:history="1">
            <w:r w:rsidR="001378AF" w:rsidRPr="007F0949">
              <w:rPr>
                <w:rStyle w:val="Hiperveza"/>
                <w:noProof/>
              </w:rPr>
              <w:t>3.1.7. Investicije - ulaganja u fiksni kapital</w:t>
            </w:r>
            <w:r w:rsidR="001378AF">
              <w:rPr>
                <w:noProof/>
                <w:webHidden/>
              </w:rPr>
              <w:tab/>
            </w:r>
            <w:r w:rsidR="001378AF">
              <w:rPr>
                <w:noProof/>
                <w:webHidden/>
              </w:rPr>
              <w:fldChar w:fldCharType="begin"/>
            </w:r>
            <w:r w:rsidR="001378AF">
              <w:rPr>
                <w:noProof/>
                <w:webHidden/>
              </w:rPr>
              <w:instrText xml:space="preserve"> PAGEREF _Toc97123810 \h </w:instrText>
            </w:r>
            <w:r w:rsidR="001378AF">
              <w:rPr>
                <w:noProof/>
                <w:webHidden/>
              </w:rPr>
            </w:r>
            <w:r w:rsidR="001378AF">
              <w:rPr>
                <w:noProof/>
                <w:webHidden/>
              </w:rPr>
              <w:fldChar w:fldCharType="separate"/>
            </w:r>
            <w:r w:rsidR="001378AF">
              <w:rPr>
                <w:noProof/>
                <w:webHidden/>
              </w:rPr>
              <w:t>62</w:t>
            </w:r>
            <w:r w:rsidR="001378AF">
              <w:rPr>
                <w:noProof/>
                <w:webHidden/>
              </w:rPr>
              <w:fldChar w:fldCharType="end"/>
            </w:r>
          </w:hyperlink>
        </w:p>
        <w:p w14:paraId="560279BD" w14:textId="132C53C5" w:rsidR="001378AF" w:rsidRDefault="00751C19">
          <w:pPr>
            <w:pStyle w:val="Sadraj1"/>
            <w:rPr>
              <w:rFonts w:eastAsiaTheme="minorEastAsia"/>
              <w:noProof/>
              <w:lang w:eastAsia="hr-HR"/>
            </w:rPr>
          </w:pPr>
          <w:hyperlink w:anchor="_Toc97123811" w:history="1">
            <w:r w:rsidR="001378AF" w:rsidRPr="007F0949">
              <w:rPr>
                <w:rStyle w:val="Hiperveza"/>
                <w:noProof/>
              </w:rPr>
              <w:t>3.1.8. Konkurentnost</w:t>
            </w:r>
            <w:r w:rsidR="001378AF">
              <w:rPr>
                <w:noProof/>
                <w:webHidden/>
              </w:rPr>
              <w:tab/>
            </w:r>
            <w:r w:rsidR="001378AF">
              <w:rPr>
                <w:noProof/>
                <w:webHidden/>
              </w:rPr>
              <w:fldChar w:fldCharType="begin"/>
            </w:r>
            <w:r w:rsidR="001378AF">
              <w:rPr>
                <w:noProof/>
                <w:webHidden/>
              </w:rPr>
              <w:instrText xml:space="preserve"> PAGEREF _Toc97123811 \h </w:instrText>
            </w:r>
            <w:r w:rsidR="001378AF">
              <w:rPr>
                <w:noProof/>
                <w:webHidden/>
              </w:rPr>
            </w:r>
            <w:r w:rsidR="001378AF">
              <w:rPr>
                <w:noProof/>
                <w:webHidden/>
              </w:rPr>
              <w:fldChar w:fldCharType="separate"/>
            </w:r>
            <w:r w:rsidR="001378AF">
              <w:rPr>
                <w:noProof/>
                <w:webHidden/>
              </w:rPr>
              <w:t>64</w:t>
            </w:r>
            <w:r w:rsidR="001378AF">
              <w:rPr>
                <w:noProof/>
                <w:webHidden/>
              </w:rPr>
              <w:fldChar w:fldCharType="end"/>
            </w:r>
          </w:hyperlink>
        </w:p>
        <w:p w14:paraId="38051FB4" w14:textId="1A3CAF21" w:rsidR="001378AF" w:rsidRDefault="00751C19">
          <w:pPr>
            <w:pStyle w:val="Sadraj1"/>
            <w:rPr>
              <w:rFonts w:eastAsiaTheme="minorEastAsia"/>
              <w:noProof/>
              <w:lang w:eastAsia="hr-HR"/>
            </w:rPr>
          </w:pPr>
          <w:hyperlink w:anchor="_Toc97123812" w:history="1">
            <w:r w:rsidR="001378AF" w:rsidRPr="007F0949">
              <w:rPr>
                <w:rStyle w:val="Hiperveza"/>
                <w:noProof/>
              </w:rPr>
              <w:t>3.1.9. Vanjskotrgovinska razmjena</w:t>
            </w:r>
            <w:r w:rsidR="001378AF">
              <w:rPr>
                <w:noProof/>
                <w:webHidden/>
              </w:rPr>
              <w:tab/>
            </w:r>
            <w:r w:rsidR="001378AF">
              <w:rPr>
                <w:noProof/>
                <w:webHidden/>
              </w:rPr>
              <w:fldChar w:fldCharType="begin"/>
            </w:r>
            <w:r w:rsidR="001378AF">
              <w:rPr>
                <w:noProof/>
                <w:webHidden/>
              </w:rPr>
              <w:instrText xml:space="preserve"> PAGEREF _Toc97123812 \h </w:instrText>
            </w:r>
            <w:r w:rsidR="001378AF">
              <w:rPr>
                <w:noProof/>
                <w:webHidden/>
              </w:rPr>
            </w:r>
            <w:r w:rsidR="001378AF">
              <w:rPr>
                <w:noProof/>
                <w:webHidden/>
              </w:rPr>
              <w:fldChar w:fldCharType="separate"/>
            </w:r>
            <w:r w:rsidR="001378AF">
              <w:rPr>
                <w:noProof/>
                <w:webHidden/>
              </w:rPr>
              <w:t>65</w:t>
            </w:r>
            <w:r w:rsidR="001378AF">
              <w:rPr>
                <w:noProof/>
                <w:webHidden/>
              </w:rPr>
              <w:fldChar w:fldCharType="end"/>
            </w:r>
          </w:hyperlink>
        </w:p>
        <w:p w14:paraId="379E0047" w14:textId="4BB63937" w:rsidR="001378AF" w:rsidRDefault="00751C19">
          <w:pPr>
            <w:pStyle w:val="Sadraj1"/>
            <w:rPr>
              <w:rFonts w:eastAsiaTheme="minorEastAsia"/>
              <w:noProof/>
              <w:lang w:eastAsia="hr-HR"/>
            </w:rPr>
          </w:pPr>
          <w:hyperlink w:anchor="_Toc97123813" w:history="1">
            <w:r w:rsidR="001378AF" w:rsidRPr="007F0949">
              <w:rPr>
                <w:rStyle w:val="Hiperveza"/>
                <w:noProof/>
              </w:rPr>
              <w:t>3.1.10. Zaposlenost i plaće</w:t>
            </w:r>
            <w:r w:rsidR="001378AF">
              <w:rPr>
                <w:noProof/>
                <w:webHidden/>
              </w:rPr>
              <w:tab/>
            </w:r>
            <w:r w:rsidR="001378AF">
              <w:rPr>
                <w:noProof/>
                <w:webHidden/>
              </w:rPr>
              <w:fldChar w:fldCharType="begin"/>
            </w:r>
            <w:r w:rsidR="001378AF">
              <w:rPr>
                <w:noProof/>
                <w:webHidden/>
              </w:rPr>
              <w:instrText xml:space="preserve"> PAGEREF _Toc97123813 \h </w:instrText>
            </w:r>
            <w:r w:rsidR="001378AF">
              <w:rPr>
                <w:noProof/>
                <w:webHidden/>
              </w:rPr>
            </w:r>
            <w:r w:rsidR="001378AF">
              <w:rPr>
                <w:noProof/>
                <w:webHidden/>
              </w:rPr>
              <w:fldChar w:fldCharType="separate"/>
            </w:r>
            <w:r w:rsidR="001378AF">
              <w:rPr>
                <w:noProof/>
                <w:webHidden/>
              </w:rPr>
              <w:t>66</w:t>
            </w:r>
            <w:r w:rsidR="001378AF">
              <w:rPr>
                <w:noProof/>
                <w:webHidden/>
              </w:rPr>
              <w:fldChar w:fldCharType="end"/>
            </w:r>
          </w:hyperlink>
        </w:p>
        <w:p w14:paraId="437D6CFF" w14:textId="1A16D7C6" w:rsidR="001378AF" w:rsidRDefault="00751C19">
          <w:pPr>
            <w:pStyle w:val="Sadraj1"/>
            <w:rPr>
              <w:rFonts w:eastAsiaTheme="minorEastAsia"/>
              <w:noProof/>
              <w:lang w:eastAsia="hr-HR"/>
            </w:rPr>
          </w:pPr>
          <w:hyperlink w:anchor="_Toc97123814" w:history="1">
            <w:r w:rsidR="001378AF" w:rsidRPr="007F0949">
              <w:rPr>
                <w:rStyle w:val="Hiperveza"/>
                <w:noProof/>
              </w:rPr>
              <w:t>3.1.11. Indeks razvijenosti</w:t>
            </w:r>
            <w:r w:rsidR="001378AF">
              <w:rPr>
                <w:noProof/>
                <w:webHidden/>
              </w:rPr>
              <w:tab/>
            </w:r>
            <w:r w:rsidR="001378AF">
              <w:rPr>
                <w:noProof/>
                <w:webHidden/>
              </w:rPr>
              <w:fldChar w:fldCharType="begin"/>
            </w:r>
            <w:r w:rsidR="001378AF">
              <w:rPr>
                <w:noProof/>
                <w:webHidden/>
              </w:rPr>
              <w:instrText xml:space="preserve"> PAGEREF _Toc97123814 \h </w:instrText>
            </w:r>
            <w:r w:rsidR="001378AF">
              <w:rPr>
                <w:noProof/>
                <w:webHidden/>
              </w:rPr>
            </w:r>
            <w:r w:rsidR="001378AF">
              <w:rPr>
                <w:noProof/>
                <w:webHidden/>
              </w:rPr>
              <w:fldChar w:fldCharType="separate"/>
            </w:r>
            <w:r w:rsidR="001378AF">
              <w:rPr>
                <w:noProof/>
                <w:webHidden/>
              </w:rPr>
              <w:t>69</w:t>
            </w:r>
            <w:r w:rsidR="001378AF">
              <w:rPr>
                <w:noProof/>
                <w:webHidden/>
              </w:rPr>
              <w:fldChar w:fldCharType="end"/>
            </w:r>
          </w:hyperlink>
        </w:p>
        <w:p w14:paraId="3DCB5E3C" w14:textId="113152AD" w:rsidR="001378AF" w:rsidRDefault="00751C19">
          <w:pPr>
            <w:pStyle w:val="Sadraj1"/>
            <w:rPr>
              <w:rFonts w:eastAsiaTheme="minorEastAsia"/>
              <w:noProof/>
              <w:lang w:eastAsia="hr-HR"/>
            </w:rPr>
          </w:pPr>
          <w:hyperlink w:anchor="_Toc97123815" w:history="1">
            <w:r w:rsidR="001378AF" w:rsidRPr="007F0949">
              <w:rPr>
                <w:rStyle w:val="Hiperveza"/>
                <w:noProof/>
              </w:rPr>
              <w:t>3.2. TURIZAM</w:t>
            </w:r>
            <w:r w:rsidR="001378AF">
              <w:rPr>
                <w:noProof/>
                <w:webHidden/>
              </w:rPr>
              <w:tab/>
            </w:r>
            <w:r w:rsidR="001378AF">
              <w:rPr>
                <w:noProof/>
                <w:webHidden/>
              </w:rPr>
              <w:fldChar w:fldCharType="begin"/>
            </w:r>
            <w:r w:rsidR="001378AF">
              <w:rPr>
                <w:noProof/>
                <w:webHidden/>
              </w:rPr>
              <w:instrText xml:space="preserve"> PAGEREF _Toc97123815 \h </w:instrText>
            </w:r>
            <w:r w:rsidR="001378AF">
              <w:rPr>
                <w:noProof/>
                <w:webHidden/>
              </w:rPr>
            </w:r>
            <w:r w:rsidR="001378AF">
              <w:rPr>
                <w:noProof/>
                <w:webHidden/>
              </w:rPr>
              <w:fldChar w:fldCharType="separate"/>
            </w:r>
            <w:r w:rsidR="001378AF">
              <w:rPr>
                <w:noProof/>
                <w:webHidden/>
              </w:rPr>
              <w:t>70</w:t>
            </w:r>
            <w:r w:rsidR="001378AF">
              <w:rPr>
                <w:noProof/>
                <w:webHidden/>
              </w:rPr>
              <w:fldChar w:fldCharType="end"/>
            </w:r>
          </w:hyperlink>
        </w:p>
        <w:p w14:paraId="3DEAF758" w14:textId="2721CFB9" w:rsidR="001378AF" w:rsidRDefault="00751C19">
          <w:pPr>
            <w:pStyle w:val="Sadraj1"/>
            <w:rPr>
              <w:rFonts w:eastAsiaTheme="minorEastAsia"/>
              <w:noProof/>
              <w:lang w:eastAsia="hr-HR"/>
            </w:rPr>
          </w:pPr>
          <w:hyperlink w:anchor="_Toc97123816" w:history="1">
            <w:r w:rsidR="001378AF" w:rsidRPr="007F0949">
              <w:rPr>
                <w:rStyle w:val="Hiperveza"/>
                <w:noProof/>
              </w:rPr>
              <w:t>3.3. POLJOPRIVREDA, ŠUMARSTVO I LOVSTVO</w:t>
            </w:r>
            <w:r w:rsidR="001378AF">
              <w:rPr>
                <w:noProof/>
                <w:webHidden/>
              </w:rPr>
              <w:tab/>
            </w:r>
            <w:r w:rsidR="001378AF">
              <w:rPr>
                <w:noProof/>
                <w:webHidden/>
              </w:rPr>
              <w:fldChar w:fldCharType="begin"/>
            </w:r>
            <w:r w:rsidR="001378AF">
              <w:rPr>
                <w:noProof/>
                <w:webHidden/>
              </w:rPr>
              <w:instrText xml:space="preserve"> PAGEREF _Toc97123816 \h </w:instrText>
            </w:r>
            <w:r w:rsidR="001378AF">
              <w:rPr>
                <w:noProof/>
                <w:webHidden/>
              </w:rPr>
            </w:r>
            <w:r w:rsidR="001378AF">
              <w:rPr>
                <w:noProof/>
                <w:webHidden/>
              </w:rPr>
              <w:fldChar w:fldCharType="separate"/>
            </w:r>
            <w:r w:rsidR="001378AF">
              <w:rPr>
                <w:noProof/>
                <w:webHidden/>
              </w:rPr>
              <w:t>73</w:t>
            </w:r>
            <w:r w:rsidR="001378AF">
              <w:rPr>
                <w:noProof/>
                <w:webHidden/>
              </w:rPr>
              <w:fldChar w:fldCharType="end"/>
            </w:r>
          </w:hyperlink>
        </w:p>
        <w:p w14:paraId="7A1FB2BF" w14:textId="38036317" w:rsidR="001378AF" w:rsidRDefault="00751C19">
          <w:pPr>
            <w:pStyle w:val="Sadraj1"/>
            <w:rPr>
              <w:rFonts w:eastAsiaTheme="minorEastAsia"/>
              <w:noProof/>
              <w:lang w:eastAsia="hr-HR"/>
            </w:rPr>
          </w:pPr>
          <w:hyperlink w:anchor="_Toc97123817" w:history="1">
            <w:r w:rsidR="001378AF" w:rsidRPr="007F0949">
              <w:rPr>
                <w:rStyle w:val="Hiperveza"/>
                <w:noProof/>
              </w:rPr>
              <w:t>3.3.1. Stanje poljoprivredne proizvodnje i ruralnog prostora</w:t>
            </w:r>
            <w:r w:rsidR="001378AF">
              <w:rPr>
                <w:noProof/>
                <w:webHidden/>
              </w:rPr>
              <w:tab/>
            </w:r>
            <w:r w:rsidR="001378AF">
              <w:rPr>
                <w:noProof/>
                <w:webHidden/>
              </w:rPr>
              <w:fldChar w:fldCharType="begin"/>
            </w:r>
            <w:r w:rsidR="001378AF">
              <w:rPr>
                <w:noProof/>
                <w:webHidden/>
              </w:rPr>
              <w:instrText xml:space="preserve"> PAGEREF _Toc97123817 \h </w:instrText>
            </w:r>
            <w:r w:rsidR="001378AF">
              <w:rPr>
                <w:noProof/>
                <w:webHidden/>
              </w:rPr>
            </w:r>
            <w:r w:rsidR="001378AF">
              <w:rPr>
                <w:noProof/>
                <w:webHidden/>
              </w:rPr>
              <w:fldChar w:fldCharType="separate"/>
            </w:r>
            <w:r w:rsidR="001378AF">
              <w:rPr>
                <w:noProof/>
                <w:webHidden/>
              </w:rPr>
              <w:t>73</w:t>
            </w:r>
            <w:r w:rsidR="001378AF">
              <w:rPr>
                <w:noProof/>
                <w:webHidden/>
              </w:rPr>
              <w:fldChar w:fldCharType="end"/>
            </w:r>
          </w:hyperlink>
        </w:p>
        <w:p w14:paraId="2D194A0A" w14:textId="4679850C" w:rsidR="001378AF" w:rsidRDefault="00751C19">
          <w:pPr>
            <w:pStyle w:val="Sadraj1"/>
            <w:rPr>
              <w:rFonts w:eastAsiaTheme="minorEastAsia"/>
              <w:noProof/>
              <w:lang w:eastAsia="hr-HR"/>
            </w:rPr>
          </w:pPr>
          <w:hyperlink w:anchor="_Toc97123818" w:history="1">
            <w:r w:rsidR="001378AF" w:rsidRPr="007F0949">
              <w:rPr>
                <w:rStyle w:val="Hiperveza"/>
                <w:noProof/>
              </w:rPr>
              <w:t>3.3.2. Šumarstvo</w:t>
            </w:r>
            <w:r w:rsidR="001378AF">
              <w:rPr>
                <w:noProof/>
                <w:webHidden/>
              </w:rPr>
              <w:tab/>
            </w:r>
            <w:r w:rsidR="001378AF">
              <w:rPr>
                <w:noProof/>
                <w:webHidden/>
              </w:rPr>
              <w:fldChar w:fldCharType="begin"/>
            </w:r>
            <w:r w:rsidR="001378AF">
              <w:rPr>
                <w:noProof/>
                <w:webHidden/>
              </w:rPr>
              <w:instrText xml:space="preserve"> PAGEREF _Toc97123818 \h </w:instrText>
            </w:r>
            <w:r w:rsidR="001378AF">
              <w:rPr>
                <w:noProof/>
                <w:webHidden/>
              </w:rPr>
            </w:r>
            <w:r w:rsidR="001378AF">
              <w:rPr>
                <w:noProof/>
                <w:webHidden/>
              </w:rPr>
              <w:fldChar w:fldCharType="separate"/>
            </w:r>
            <w:r w:rsidR="001378AF">
              <w:rPr>
                <w:noProof/>
                <w:webHidden/>
              </w:rPr>
              <w:t>75</w:t>
            </w:r>
            <w:r w:rsidR="001378AF">
              <w:rPr>
                <w:noProof/>
                <w:webHidden/>
              </w:rPr>
              <w:fldChar w:fldCharType="end"/>
            </w:r>
          </w:hyperlink>
        </w:p>
        <w:p w14:paraId="3E3A36D4" w14:textId="374984BF" w:rsidR="001378AF" w:rsidRDefault="00751C19">
          <w:pPr>
            <w:pStyle w:val="Sadraj1"/>
            <w:rPr>
              <w:rFonts w:eastAsiaTheme="minorEastAsia"/>
              <w:noProof/>
              <w:lang w:eastAsia="hr-HR"/>
            </w:rPr>
          </w:pPr>
          <w:hyperlink w:anchor="_Toc97123819" w:history="1">
            <w:r w:rsidR="001378AF" w:rsidRPr="007F0949">
              <w:rPr>
                <w:rStyle w:val="Hiperveza"/>
                <w:noProof/>
              </w:rPr>
              <w:t>3.3.3. Lovstvo</w:t>
            </w:r>
            <w:r w:rsidR="001378AF">
              <w:rPr>
                <w:noProof/>
                <w:webHidden/>
              </w:rPr>
              <w:tab/>
            </w:r>
            <w:r w:rsidR="001378AF">
              <w:rPr>
                <w:noProof/>
                <w:webHidden/>
              </w:rPr>
              <w:fldChar w:fldCharType="begin"/>
            </w:r>
            <w:r w:rsidR="001378AF">
              <w:rPr>
                <w:noProof/>
                <w:webHidden/>
              </w:rPr>
              <w:instrText xml:space="preserve"> PAGEREF _Toc97123819 \h </w:instrText>
            </w:r>
            <w:r w:rsidR="001378AF">
              <w:rPr>
                <w:noProof/>
                <w:webHidden/>
              </w:rPr>
            </w:r>
            <w:r w:rsidR="001378AF">
              <w:rPr>
                <w:noProof/>
                <w:webHidden/>
              </w:rPr>
              <w:fldChar w:fldCharType="separate"/>
            </w:r>
            <w:r w:rsidR="001378AF">
              <w:rPr>
                <w:noProof/>
                <w:webHidden/>
              </w:rPr>
              <w:t>76</w:t>
            </w:r>
            <w:r w:rsidR="001378AF">
              <w:rPr>
                <w:noProof/>
                <w:webHidden/>
              </w:rPr>
              <w:fldChar w:fldCharType="end"/>
            </w:r>
          </w:hyperlink>
        </w:p>
        <w:p w14:paraId="5A562AA5" w14:textId="4FFE7BF2" w:rsidR="001378AF" w:rsidRDefault="00751C19">
          <w:pPr>
            <w:pStyle w:val="Sadraj1"/>
            <w:rPr>
              <w:rFonts w:eastAsiaTheme="minorEastAsia"/>
              <w:noProof/>
              <w:lang w:eastAsia="hr-HR"/>
            </w:rPr>
          </w:pPr>
          <w:hyperlink w:anchor="_Toc97123820" w:history="1">
            <w:r w:rsidR="001378AF" w:rsidRPr="007F0949">
              <w:rPr>
                <w:rStyle w:val="Hiperveza"/>
                <w:noProof/>
              </w:rPr>
              <w:t>4. PROSTOR</w:t>
            </w:r>
            <w:r w:rsidR="001378AF">
              <w:rPr>
                <w:noProof/>
                <w:webHidden/>
              </w:rPr>
              <w:tab/>
            </w:r>
            <w:r w:rsidR="001378AF">
              <w:rPr>
                <w:noProof/>
                <w:webHidden/>
              </w:rPr>
              <w:fldChar w:fldCharType="begin"/>
            </w:r>
            <w:r w:rsidR="001378AF">
              <w:rPr>
                <w:noProof/>
                <w:webHidden/>
              </w:rPr>
              <w:instrText xml:space="preserve"> PAGEREF _Toc97123820 \h </w:instrText>
            </w:r>
            <w:r w:rsidR="001378AF">
              <w:rPr>
                <w:noProof/>
                <w:webHidden/>
              </w:rPr>
            </w:r>
            <w:r w:rsidR="001378AF">
              <w:rPr>
                <w:noProof/>
                <w:webHidden/>
              </w:rPr>
              <w:fldChar w:fldCharType="separate"/>
            </w:r>
            <w:r w:rsidR="001378AF">
              <w:rPr>
                <w:noProof/>
                <w:webHidden/>
              </w:rPr>
              <w:t>77</w:t>
            </w:r>
            <w:r w:rsidR="001378AF">
              <w:rPr>
                <w:noProof/>
                <w:webHidden/>
              </w:rPr>
              <w:fldChar w:fldCharType="end"/>
            </w:r>
          </w:hyperlink>
        </w:p>
        <w:p w14:paraId="36AEEEA8" w14:textId="631FEB9B" w:rsidR="001378AF" w:rsidRDefault="00751C19">
          <w:pPr>
            <w:pStyle w:val="Sadraj1"/>
            <w:rPr>
              <w:rFonts w:eastAsiaTheme="minorEastAsia"/>
              <w:noProof/>
              <w:lang w:eastAsia="hr-HR"/>
            </w:rPr>
          </w:pPr>
          <w:hyperlink w:anchor="_Toc97123821" w:history="1">
            <w:r w:rsidR="001378AF" w:rsidRPr="007F0949">
              <w:rPr>
                <w:rStyle w:val="Hiperveza"/>
                <w:noProof/>
              </w:rPr>
              <w:t>4.1. PROSTORNI RESURSI I UPRAVLJANJE PROSTOROM</w:t>
            </w:r>
            <w:r w:rsidR="001378AF">
              <w:rPr>
                <w:noProof/>
                <w:webHidden/>
              </w:rPr>
              <w:tab/>
            </w:r>
            <w:r w:rsidR="001378AF">
              <w:rPr>
                <w:noProof/>
                <w:webHidden/>
              </w:rPr>
              <w:fldChar w:fldCharType="begin"/>
            </w:r>
            <w:r w:rsidR="001378AF">
              <w:rPr>
                <w:noProof/>
                <w:webHidden/>
              </w:rPr>
              <w:instrText xml:space="preserve"> PAGEREF _Toc97123821 \h </w:instrText>
            </w:r>
            <w:r w:rsidR="001378AF">
              <w:rPr>
                <w:noProof/>
                <w:webHidden/>
              </w:rPr>
            </w:r>
            <w:r w:rsidR="001378AF">
              <w:rPr>
                <w:noProof/>
                <w:webHidden/>
              </w:rPr>
              <w:fldChar w:fldCharType="separate"/>
            </w:r>
            <w:r w:rsidR="001378AF">
              <w:rPr>
                <w:noProof/>
                <w:webHidden/>
              </w:rPr>
              <w:t>77</w:t>
            </w:r>
            <w:r w:rsidR="001378AF">
              <w:rPr>
                <w:noProof/>
                <w:webHidden/>
              </w:rPr>
              <w:fldChar w:fldCharType="end"/>
            </w:r>
          </w:hyperlink>
        </w:p>
        <w:p w14:paraId="70068064" w14:textId="1A1DB7E2" w:rsidR="001378AF" w:rsidRDefault="00751C19">
          <w:pPr>
            <w:pStyle w:val="Sadraj1"/>
            <w:rPr>
              <w:rFonts w:eastAsiaTheme="minorEastAsia"/>
              <w:noProof/>
              <w:lang w:eastAsia="hr-HR"/>
            </w:rPr>
          </w:pPr>
          <w:hyperlink w:anchor="_Toc97123822" w:history="1">
            <w:r w:rsidR="001378AF" w:rsidRPr="007F0949">
              <w:rPr>
                <w:rStyle w:val="Hiperveza"/>
                <w:noProof/>
              </w:rPr>
              <w:t>4.1.1. Prostorno uređenje</w:t>
            </w:r>
            <w:r w:rsidR="001378AF">
              <w:rPr>
                <w:noProof/>
                <w:webHidden/>
              </w:rPr>
              <w:tab/>
            </w:r>
            <w:r w:rsidR="001378AF">
              <w:rPr>
                <w:noProof/>
                <w:webHidden/>
              </w:rPr>
              <w:fldChar w:fldCharType="begin"/>
            </w:r>
            <w:r w:rsidR="001378AF">
              <w:rPr>
                <w:noProof/>
                <w:webHidden/>
              </w:rPr>
              <w:instrText xml:space="preserve"> PAGEREF _Toc97123822 \h </w:instrText>
            </w:r>
            <w:r w:rsidR="001378AF">
              <w:rPr>
                <w:noProof/>
                <w:webHidden/>
              </w:rPr>
            </w:r>
            <w:r w:rsidR="001378AF">
              <w:rPr>
                <w:noProof/>
                <w:webHidden/>
              </w:rPr>
              <w:fldChar w:fldCharType="separate"/>
            </w:r>
            <w:r w:rsidR="001378AF">
              <w:rPr>
                <w:noProof/>
                <w:webHidden/>
              </w:rPr>
              <w:t>77</w:t>
            </w:r>
            <w:r w:rsidR="001378AF">
              <w:rPr>
                <w:noProof/>
                <w:webHidden/>
              </w:rPr>
              <w:fldChar w:fldCharType="end"/>
            </w:r>
          </w:hyperlink>
        </w:p>
        <w:p w14:paraId="4478629B" w14:textId="4D992056" w:rsidR="001378AF" w:rsidRDefault="00751C19">
          <w:pPr>
            <w:pStyle w:val="Sadraj1"/>
            <w:rPr>
              <w:rFonts w:eastAsiaTheme="minorEastAsia"/>
              <w:noProof/>
              <w:lang w:eastAsia="hr-HR"/>
            </w:rPr>
          </w:pPr>
          <w:hyperlink w:anchor="_Toc97123823" w:history="1">
            <w:r w:rsidR="001378AF" w:rsidRPr="007F0949">
              <w:rPr>
                <w:rStyle w:val="Hiperveza"/>
                <w:noProof/>
              </w:rPr>
              <w:t>4.1.2. Upravljanje podacima o prostoru i stanovništvu Grada</w:t>
            </w:r>
            <w:r w:rsidR="001378AF">
              <w:rPr>
                <w:noProof/>
                <w:webHidden/>
              </w:rPr>
              <w:tab/>
            </w:r>
            <w:r w:rsidR="001378AF">
              <w:rPr>
                <w:noProof/>
                <w:webHidden/>
              </w:rPr>
              <w:fldChar w:fldCharType="begin"/>
            </w:r>
            <w:r w:rsidR="001378AF">
              <w:rPr>
                <w:noProof/>
                <w:webHidden/>
              </w:rPr>
              <w:instrText xml:space="preserve"> PAGEREF _Toc97123823 \h </w:instrText>
            </w:r>
            <w:r w:rsidR="001378AF">
              <w:rPr>
                <w:noProof/>
                <w:webHidden/>
              </w:rPr>
            </w:r>
            <w:r w:rsidR="001378AF">
              <w:rPr>
                <w:noProof/>
                <w:webHidden/>
              </w:rPr>
              <w:fldChar w:fldCharType="separate"/>
            </w:r>
            <w:r w:rsidR="001378AF">
              <w:rPr>
                <w:noProof/>
                <w:webHidden/>
              </w:rPr>
              <w:t>81</w:t>
            </w:r>
            <w:r w:rsidR="001378AF">
              <w:rPr>
                <w:noProof/>
                <w:webHidden/>
              </w:rPr>
              <w:fldChar w:fldCharType="end"/>
            </w:r>
          </w:hyperlink>
        </w:p>
        <w:p w14:paraId="596BABE6" w14:textId="0126DD01" w:rsidR="001378AF" w:rsidRDefault="00751C19">
          <w:pPr>
            <w:pStyle w:val="Sadraj1"/>
            <w:rPr>
              <w:rFonts w:eastAsiaTheme="minorEastAsia"/>
              <w:noProof/>
              <w:lang w:eastAsia="hr-HR"/>
            </w:rPr>
          </w:pPr>
          <w:hyperlink w:anchor="_Toc97123824" w:history="1">
            <w:r w:rsidR="001378AF" w:rsidRPr="007F0949">
              <w:rPr>
                <w:rStyle w:val="Hiperveza"/>
                <w:noProof/>
              </w:rPr>
              <w:t>4.1.3. Upravljanje gradskom imovinom</w:t>
            </w:r>
            <w:r w:rsidR="001378AF">
              <w:rPr>
                <w:noProof/>
                <w:webHidden/>
              </w:rPr>
              <w:tab/>
            </w:r>
            <w:r w:rsidR="001378AF">
              <w:rPr>
                <w:noProof/>
                <w:webHidden/>
              </w:rPr>
              <w:fldChar w:fldCharType="begin"/>
            </w:r>
            <w:r w:rsidR="001378AF">
              <w:rPr>
                <w:noProof/>
                <w:webHidden/>
              </w:rPr>
              <w:instrText xml:space="preserve"> PAGEREF _Toc97123824 \h </w:instrText>
            </w:r>
            <w:r w:rsidR="001378AF">
              <w:rPr>
                <w:noProof/>
                <w:webHidden/>
              </w:rPr>
            </w:r>
            <w:r w:rsidR="001378AF">
              <w:rPr>
                <w:noProof/>
                <w:webHidden/>
              </w:rPr>
              <w:fldChar w:fldCharType="separate"/>
            </w:r>
            <w:r w:rsidR="001378AF">
              <w:rPr>
                <w:noProof/>
                <w:webHidden/>
              </w:rPr>
              <w:t>83</w:t>
            </w:r>
            <w:r w:rsidR="001378AF">
              <w:rPr>
                <w:noProof/>
                <w:webHidden/>
              </w:rPr>
              <w:fldChar w:fldCharType="end"/>
            </w:r>
          </w:hyperlink>
        </w:p>
        <w:p w14:paraId="12AE7D5C" w14:textId="6221E7B9" w:rsidR="001378AF" w:rsidRDefault="00751C19">
          <w:pPr>
            <w:pStyle w:val="Sadraj1"/>
            <w:rPr>
              <w:rFonts w:eastAsiaTheme="minorEastAsia"/>
              <w:noProof/>
              <w:lang w:eastAsia="hr-HR"/>
            </w:rPr>
          </w:pPr>
          <w:hyperlink w:anchor="_Toc97123825" w:history="1">
            <w:r w:rsidR="001378AF" w:rsidRPr="007F0949">
              <w:rPr>
                <w:rStyle w:val="Hiperveza"/>
                <w:noProof/>
              </w:rPr>
              <w:t>4.1.4. Stanovanje</w:t>
            </w:r>
            <w:r w:rsidR="001378AF">
              <w:rPr>
                <w:noProof/>
                <w:webHidden/>
              </w:rPr>
              <w:tab/>
            </w:r>
            <w:r w:rsidR="001378AF">
              <w:rPr>
                <w:noProof/>
                <w:webHidden/>
              </w:rPr>
              <w:fldChar w:fldCharType="begin"/>
            </w:r>
            <w:r w:rsidR="001378AF">
              <w:rPr>
                <w:noProof/>
                <w:webHidden/>
              </w:rPr>
              <w:instrText xml:space="preserve"> PAGEREF _Toc97123825 \h </w:instrText>
            </w:r>
            <w:r w:rsidR="001378AF">
              <w:rPr>
                <w:noProof/>
                <w:webHidden/>
              </w:rPr>
            </w:r>
            <w:r w:rsidR="001378AF">
              <w:rPr>
                <w:noProof/>
                <w:webHidden/>
              </w:rPr>
              <w:fldChar w:fldCharType="separate"/>
            </w:r>
            <w:r w:rsidR="001378AF">
              <w:rPr>
                <w:noProof/>
                <w:webHidden/>
              </w:rPr>
              <w:t>87</w:t>
            </w:r>
            <w:r w:rsidR="001378AF">
              <w:rPr>
                <w:noProof/>
                <w:webHidden/>
              </w:rPr>
              <w:fldChar w:fldCharType="end"/>
            </w:r>
          </w:hyperlink>
        </w:p>
        <w:p w14:paraId="4B0BEDFD" w14:textId="554AF015" w:rsidR="001378AF" w:rsidRDefault="00751C19">
          <w:pPr>
            <w:pStyle w:val="Sadraj1"/>
            <w:rPr>
              <w:rFonts w:eastAsiaTheme="minorEastAsia"/>
              <w:noProof/>
              <w:lang w:eastAsia="hr-HR"/>
            </w:rPr>
          </w:pPr>
          <w:hyperlink w:anchor="_Toc97123826" w:history="1">
            <w:r w:rsidR="001378AF" w:rsidRPr="007F0949">
              <w:rPr>
                <w:rStyle w:val="Hiperveza"/>
                <w:noProof/>
              </w:rPr>
              <w:t>4.1.5. Zelena infrastruktura</w:t>
            </w:r>
            <w:r w:rsidR="001378AF">
              <w:rPr>
                <w:noProof/>
                <w:webHidden/>
              </w:rPr>
              <w:tab/>
            </w:r>
            <w:r w:rsidR="001378AF">
              <w:rPr>
                <w:noProof/>
                <w:webHidden/>
              </w:rPr>
              <w:fldChar w:fldCharType="begin"/>
            </w:r>
            <w:r w:rsidR="001378AF">
              <w:rPr>
                <w:noProof/>
                <w:webHidden/>
              </w:rPr>
              <w:instrText xml:space="preserve"> PAGEREF _Toc97123826 \h </w:instrText>
            </w:r>
            <w:r w:rsidR="001378AF">
              <w:rPr>
                <w:noProof/>
                <w:webHidden/>
              </w:rPr>
            </w:r>
            <w:r w:rsidR="001378AF">
              <w:rPr>
                <w:noProof/>
                <w:webHidden/>
              </w:rPr>
              <w:fldChar w:fldCharType="separate"/>
            </w:r>
            <w:r w:rsidR="001378AF">
              <w:rPr>
                <w:noProof/>
                <w:webHidden/>
              </w:rPr>
              <w:t>88</w:t>
            </w:r>
            <w:r w:rsidR="001378AF">
              <w:rPr>
                <w:noProof/>
                <w:webHidden/>
              </w:rPr>
              <w:fldChar w:fldCharType="end"/>
            </w:r>
          </w:hyperlink>
        </w:p>
        <w:p w14:paraId="23B5EC43" w14:textId="7C55D176" w:rsidR="001378AF" w:rsidRDefault="00751C19">
          <w:pPr>
            <w:pStyle w:val="Sadraj1"/>
            <w:rPr>
              <w:rFonts w:eastAsiaTheme="minorEastAsia"/>
              <w:noProof/>
              <w:lang w:eastAsia="hr-HR"/>
            </w:rPr>
          </w:pPr>
          <w:hyperlink w:anchor="_Toc97123827" w:history="1">
            <w:r w:rsidR="001378AF" w:rsidRPr="007F0949">
              <w:rPr>
                <w:rStyle w:val="Hiperveza"/>
                <w:noProof/>
              </w:rPr>
              <w:t>4.1.6. Javni gradski prostori i sadržaji</w:t>
            </w:r>
            <w:r w:rsidR="001378AF">
              <w:rPr>
                <w:noProof/>
                <w:webHidden/>
              </w:rPr>
              <w:tab/>
            </w:r>
            <w:r w:rsidR="001378AF">
              <w:rPr>
                <w:noProof/>
                <w:webHidden/>
              </w:rPr>
              <w:fldChar w:fldCharType="begin"/>
            </w:r>
            <w:r w:rsidR="001378AF">
              <w:rPr>
                <w:noProof/>
                <w:webHidden/>
              </w:rPr>
              <w:instrText xml:space="preserve"> PAGEREF _Toc97123827 \h </w:instrText>
            </w:r>
            <w:r w:rsidR="001378AF">
              <w:rPr>
                <w:noProof/>
                <w:webHidden/>
              </w:rPr>
            </w:r>
            <w:r w:rsidR="001378AF">
              <w:rPr>
                <w:noProof/>
                <w:webHidden/>
              </w:rPr>
              <w:fldChar w:fldCharType="separate"/>
            </w:r>
            <w:r w:rsidR="001378AF">
              <w:rPr>
                <w:noProof/>
                <w:webHidden/>
              </w:rPr>
              <w:t>89</w:t>
            </w:r>
            <w:r w:rsidR="001378AF">
              <w:rPr>
                <w:noProof/>
                <w:webHidden/>
              </w:rPr>
              <w:fldChar w:fldCharType="end"/>
            </w:r>
          </w:hyperlink>
        </w:p>
        <w:p w14:paraId="153588A8" w14:textId="2DD33093" w:rsidR="001378AF" w:rsidRDefault="00751C19">
          <w:pPr>
            <w:pStyle w:val="Sadraj1"/>
            <w:rPr>
              <w:rFonts w:eastAsiaTheme="minorEastAsia"/>
              <w:noProof/>
              <w:lang w:eastAsia="hr-HR"/>
            </w:rPr>
          </w:pPr>
          <w:hyperlink w:anchor="_Toc97123828" w:history="1">
            <w:r w:rsidR="001378AF" w:rsidRPr="007F0949">
              <w:rPr>
                <w:rStyle w:val="Hiperveza"/>
                <w:noProof/>
              </w:rPr>
              <w:t>4.2.KOMUNALNA INFRASTRUKTURA</w:t>
            </w:r>
            <w:r w:rsidR="001378AF">
              <w:rPr>
                <w:noProof/>
                <w:webHidden/>
              </w:rPr>
              <w:tab/>
            </w:r>
            <w:r w:rsidR="001378AF">
              <w:rPr>
                <w:noProof/>
                <w:webHidden/>
              </w:rPr>
              <w:fldChar w:fldCharType="begin"/>
            </w:r>
            <w:r w:rsidR="001378AF">
              <w:rPr>
                <w:noProof/>
                <w:webHidden/>
              </w:rPr>
              <w:instrText xml:space="preserve"> PAGEREF _Toc97123828 \h </w:instrText>
            </w:r>
            <w:r w:rsidR="001378AF">
              <w:rPr>
                <w:noProof/>
                <w:webHidden/>
              </w:rPr>
            </w:r>
            <w:r w:rsidR="001378AF">
              <w:rPr>
                <w:noProof/>
                <w:webHidden/>
              </w:rPr>
              <w:fldChar w:fldCharType="separate"/>
            </w:r>
            <w:r w:rsidR="001378AF">
              <w:rPr>
                <w:noProof/>
                <w:webHidden/>
              </w:rPr>
              <w:t>90</w:t>
            </w:r>
            <w:r w:rsidR="001378AF">
              <w:rPr>
                <w:noProof/>
                <w:webHidden/>
              </w:rPr>
              <w:fldChar w:fldCharType="end"/>
            </w:r>
          </w:hyperlink>
        </w:p>
        <w:p w14:paraId="41C83EFE" w14:textId="0660C0F0" w:rsidR="001378AF" w:rsidRDefault="00751C19">
          <w:pPr>
            <w:pStyle w:val="Sadraj1"/>
            <w:rPr>
              <w:rFonts w:eastAsiaTheme="minorEastAsia"/>
              <w:noProof/>
              <w:lang w:eastAsia="hr-HR"/>
            </w:rPr>
          </w:pPr>
          <w:hyperlink w:anchor="_Toc97123829" w:history="1">
            <w:r w:rsidR="001378AF" w:rsidRPr="007F0949">
              <w:rPr>
                <w:rStyle w:val="Hiperveza"/>
                <w:noProof/>
              </w:rPr>
              <w:t>4.2.1. Odvoz i odlaganje otpada</w:t>
            </w:r>
            <w:r w:rsidR="001378AF">
              <w:rPr>
                <w:noProof/>
                <w:webHidden/>
              </w:rPr>
              <w:tab/>
            </w:r>
            <w:r w:rsidR="001378AF">
              <w:rPr>
                <w:noProof/>
                <w:webHidden/>
              </w:rPr>
              <w:fldChar w:fldCharType="begin"/>
            </w:r>
            <w:r w:rsidR="001378AF">
              <w:rPr>
                <w:noProof/>
                <w:webHidden/>
              </w:rPr>
              <w:instrText xml:space="preserve"> PAGEREF _Toc97123829 \h </w:instrText>
            </w:r>
            <w:r w:rsidR="001378AF">
              <w:rPr>
                <w:noProof/>
                <w:webHidden/>
              </w:rPr>
            </w:r>
            <w:r w:rsidR="001378AF">
              <w:rPr>
                <w:noProof/>
                <w:webHidden/>
              </w:rPr>
              <w:fldChar w:fldCharType="separate"/>
            </w:r>
            <w:r w:rsidR="001378AF">
              <w:rPr>
                <w:noProof/>
                <w:webHidden/>
              </w:rPr>
              <w:t>90</w:t>
            </w:r>
            <w:r w:rsidR="001378AF">
              <w:rPr>
                <w:noProof/>
                <w:webHidden/>
              </w:rPr>
              <w:fldChar w:fldCharType="end"/>
            </w:r>
          </w:hyperlink>
        </w:p>
        <w:p w14:paraId="3A256553" w14:textId="030FD672" w:rsidR="001378AF" w:rsidRDefault="00751C19">
          <w:pPr>
            <w:pStyle w:val="Sadraj1"/>
            <w:rPr>
              <w:rFonts w:eastAsiaTheme="minorEastAsia"/>
              <w:noProof/>
              <w:lang w:eastAsia="hr-HR"/>
            </w:rPr>
          </w:pPr>
          <w:hyperlink w:anchor="_Toc97123830" w:history="1">
            <w:r w:rsidR="001378AF" w:rsidRPr="007F0949">
              <w:rPr>
                <w:rStyle w:val="Hiperveza"/>
                <w:noProof/>
              </w:rPr>
              <w:t>4.2.2. Vodno gospodarstvo</w:t>
            </w:r>
            <w:r w:rsidR="001378AF">
              <w:rPr>
                <w:noProof/>
                <w:webHidden/>
              </w:rPr>
              <w:tab/>
            </w:r>
            <w:r w:rsidR="001378AF">
              <w:rPr>
                <w:noProof/>
                <w:webHidden/>
              </w:rPr>
              <w:fldChar w:fldCharType="begin"/>
            </w:r>
            <w:r w:rsidR="001378AF">
              <w:rPr>
                <w:noProof/>
                <w:webHidden/>
              </w:rPr>
              <w:instrText xml:space="preserve"> PAGEREF _Toc97123830 \h </w:instrText>
            </w:r>
            <w:r w:rsidR="001378AF">
              <w:rPr>
                <w:noProof/>
                <w:webHidden/>
              </w:rPr>
            </w:r>
            <w:r w:rsidR="001378AF">
              <w:rPr>
                <w:noProof/>
                <w:webHidden/>
              </w:rPr>
              <w:fldChar w:fldCharType="separate"/>
            </w:r>
            <w:r w:rsidR="001378AF">
              <w:rPr>
                <w:noProof/>
                <w:webHidden/>
              </w:rPr>
              <w:t>91</w:t>
            </w:r>
            <w:r w:rsidR="001378AF">
              <w:rPr>
                <w:noProof/>
                <w:webHidden/>
              </w:rPr>
              <w:fldChar w:fldCharType="end"/>
            </w:r>
          </w:hyperlink>
        </w:p>
        <w:p w14:paraId="47ACECD4" w14:textId="0BD116D3" w:rsidR="001378AF" w:rsidRDefault="00751C19">
          <w:pPr>
            <w:pStyle w:val="Sadraj1"/>
            <w:rPr>
              <w:rFonts w:eastAsiaTheme="minorEastAsia"/>
              <w:noProof/>
              <w:lang w:eastAsia="hr-HR"/>
            </w:rPr>
          </w:pPr>
          <w:hyperlink w:anchor="_Toc97123831" w:history="1">
            <w:r w:rsidR="001378AF" w:rsidRPr="007F0949">
              <w:rPr>
                <w:rStyle w:val="Hiperveza"/>
                <w:noProof/>
              </w:rPr>
              <w:t>4.2.3. Razvoj elektroničke komunikacijske infrastrukture</w:t>
            </w:r>
            <w:r w:rsidR="001378AF">
              <w:rPr>
                <w:noProof/>
                <w:webHidden/>
              </w:rPr>
              <w:tab/>
            </w:r>
            <w:r w:rsidR="001378AF">
              <w:rPr>
                <w:noProof/>
                <w:webHidden/>
              </w:rPr>
              <w:fldChar w:fldCharType="begin"/>
            </w:r>
            <w:r w:rsidR="001378AF">
              <w:rPr>
                <w:noProof/>
                <w:webHidden/>
              </w:rPr>
              <w:instrText xml:space="preserve"> PAGEREF _Toc97123831 \h </w:instrText>
            </w:r>
            <w:r w:rsidR="001378AF">
              <w:rPr>
                <w:noProof/>
                <w:webHidden/>
              </w:rPr>
            </w:r>
            <w:r w:rsidR="001378AF">
              <w:rPr>
                <w:noProof/>
                <w:webHidden/>
              </w:rPr>
              <w:fldChar w:fldCharType="separate"/>
            </w:r>
            <w:r w:rsidR="001378AF">
              <w:rPr>
                <w:noProof/>
                <w:webHidden/>
              </w:rPr>
              <w:t>93</w:t>
            </w:r>
            <w:r w:rsidR="001378AF">
              <w:rPr>
                <w:noProof/>
                <w:webHidden/>
              </w:rPr>
              <w:fldChar w:fldCharType="end"/>
            </w:r>
          </w:hyperlink>
        </w:p>
        <w:p w14:paraId="50066C63" w14:textId="64C8D568" w:rsidR="001378AF" w:rsidRDefault="00751C19">
          <w:pPr>
            <w:pStyle w:val="Sadraj1"/>
            <w:rPr>
              <w:rFonts w:eastAsiaTheme="minorEastAsia"/>
              <w:noProof/>
              <w:lang w:eastAsia="hr-HR"/>
            </w:rPr>
          </w:pPr>
          <w:hyperlink w:anchor="_Toc97123832" w:history="1">
            <w:r w:rsidR="001378AF" w:rsidRPr="007F0949">
              <w:rPr>
                <w:rStyle w:val="Hiperveza"/>
                <w:noProof/>
              </w:rPr>
              <w:t>4.2.4. Gradska groblja</w:t>
            </w:r>
            <w:r w:rsidR="001378AF">
              <w:rPr>
                <w:noProof/>
                <w:webHidden/>
              </w:rPr>
              <w:tab/>
            </w:r>
            <w:r w:rsidR="001378AF">
              <w:rPr>
                <w:noProof/>
                <w:webHidden/>
              </w:rPr>
              <w:fldChar w:fldCharType="begin"/>
            </w:r>
            <w:r w:rsidR="001378AF">
              <w:rPr>
                <w:noProof/>
                <w:webHidden/>
              </w:rPr>
              <w:instrText xml:space="preserve"> PAGEREF _Toc97123832 \h </w:instrText>
            </w:r>
            <w:r w:rsidR="001378AF">
              <w:rPr>
                <w:noProof/>
                <w:webHidden/>
              </w:rPr>
            </w:r>
            <w:r w:rsidR="001378AF">
              <w:rPr>
                <w:noProof/>
                <w:webHidden/>
              </w:rPr>
              <w:fldChar w:fldCharType="separate"/>
            </w:r>
            <w:r w:rsidR="001378AF">
              <w:rPr>
                <w:noProof/>
                <w:webHidden/>
              </w:rPr>
              <w:t>94</w:t>
            </w:r>
            <w:r w:rsidR="001378AF">
              <w:rPr>
                <w:noProof/>
                <w:webHidden/>
              </w:rPr>
              <w:fldChar w:fldCharType="end"/>
            </w:r>
          </w:hyperlink>
        </w:p>
        <w:p w14:paraId="2178F6F8" w14:textId="5812BED8" w:rsidR="001378AF" w:rsidRDefault="00751C19">
          <w:pPr>
            <w:pStyle w:val="Sadraj1"/>
            <w:rPr>
              <w:rFonts w:eastAsiaTheme="minorEastAsia"/>
              <w:noProof/>
              <w:lang w:eastAsia="hr-HR"/>
            </w:rPr>
          </w:pPr>
          <w:hyperlink w:anchor="_Toc97123833" w:history="1">
            <w:r w:rsidR="001378AF" w:rsidRPr="007F0949">
              <w:rPr>
                <w:rStyle w:val="Hiperveza"/>
                <w:noProof/>
              </w:rPr>
              <w:t>4.2.5. Zaštita i zbrinjavanje životinja</w:t>
            </w:r>
            <w:r w:rsidR="001378AF">
              <w:rPr>
                <w:noProof/>
                <w:webHidden/>
              </w:rPr>
              <w:tab/>
            </w:r>
            <w:r w:rsidR="001378AF">
              <w:rPr>
                <w:noProof/>
                <w:webHidden/>
              </w:rPr>
              <w:fldChar w:fldCharType="begin"/>
            </w:r>
            <w:r w:rsidR="001378AF">
              <w:rPr>
                <w:noProof/>
                <w:webHidden/>
              </w:rPr>
              <w:instrText xml:space="preserve"> PAGEREF _Toc97123833 \h </w:instrText>
            </w:r>
            <w:r w:rsidR="001378AF">
              <w:rPr>
                <w:noProof/>
                <w:webHidden/>
              </w:rPr>
            </w:r>
            <w:r w:rsidR="001378AF">
              <w:rPr>
                <w:noProof/>
                <w:webHidden/>
              </w:rPr>
              <w:fldChar w:fldCharType="separate"/>
            </w:r>
            <w:r w:rsidR="001378AF">
              <w:rPr>
                <w:noProof/>
                <w:webHidden/>
              </w:rPr>
              <w:t>97</w:t>
            </w:r>
            <w:r w:rsidR="001378AF">
              <w:rPr>
                <w:noProof/>
                <w:webHidden/>
              </w:rPr>
              <w:fldChar w:fldCharType="end"/>
            </w:r>
          </w:hyperlink>
        </w:p>
        <w:p w14:paraId="38A75C3D" w14:textId="22BC8645" w:rsidR="001378AF" w:rsidRDefault="00751C19">
          <w:pPr>
            <w:pStyle w:val="Sadraj1"/>
            <w:rPr>
              <w:rFonts w:eastAsiaTheme="minorEastAsia"/>
              <w:noProof/>
              <w:lang w:eastAsia="hr-HR"/>
            </w:rPr>
          </w:pPr>
          <w:hyperlink w:anchor="_Toc97123834" w:history="1">
            <w:r w:rsidR="001378AF" w:rsidRPr="007F0949">
              <w:rPr>
                <w:rStyle w:val="Hiperveza"/>
                <w:noProof/>
              </w:rPr>
              <w:t>4.2.6. Gradske tržnice</w:t>
            </w:r>
            <w:r w:rsidR="001378AF">
              <w:rPr>
                <w:noProof/>
                <w:webHidden/>
              </w:rPr>
              <w:tab/>
            </w:r>
            <w:r w:rsidR="001378AF">
              <w:rPr>
                <w:noProof/>
                <w:webHidden/>
              </w:rPr>
              <w:fldChar w:fldCharType="begin"/>
            </w:r>
            <w:r w:rsidR="001378AF">
              <w:rPr>
                <w:noProof/>
                <w:webHidden/>
              </w:rPr>
              <w:instrText xml:space="preserve"> PAGEREF _Toc97123834 \h </w:instrText>
            </w:r>
            <w:r w:rsidR="001378AF">
              <w:rPr>
                <w:noProof/>
                <w:webHidden/>
              </w:rPr>
            </w:r>
            <w:r w:rsidR="001378AF">
              <w:rPr>
                <w:noProof/>
                <w:webHidden/>
              </w:rPr>
              <w:fldChar w:fldCharType="separate"/>
            </w:r>
            <w:r w:rsidR="001378AF">
              <w:rPr>
                <w:noProof/>
                <w:webHidden/>
              </w:rPr>
              <w:t>97</w:t>
            </w:r>
            <w:r w:rsidR="001378AF">
              <w:rPr>
                <w:noProof/>
                <w:webHidden/>
              </w:rPr>
              <w:fldChar w:fldCharType="end"/>
            </w:r>
          </w:hyperlink>
        </w:p>
        <w:p w14:paraId="078A6954" w14:textId="227F2B37" w:rsidR="001378AF" w:rsidRDefault="00751C19">
          <w:pPr>
            <w:pStyle w:val="Sadraj1"/>
            <w:rPr>
              <w:rFonts w:eastAsiaTheme="minorEastAsia"/>
              <w:noProof/>
              <w:lang w:eastAsia="hr-HR"/>
            </w:rPr>
          </w:pPr>
          <w:hyperlink w:anchor="_Toc97123835" w:history="1">
            <w:r w:rsidR="001378AF" w:rsidRPr="007F0949">
              <w:rPr>
                <w:rStyle w:val="Hiperveza"/>
                <w:noProof/>
              </w:rPr>
              <w:t>4.3. PROMET</w:t>
            </w:r>
            <w:r w:rsidR="001378AF">
              <w:rPr>
                <w:noProof/>
                <w:webHidden/>
              </w:rPr>
              <w:tab/>
            </w:r>
            <w:r w:rsidR="001378AF">
              <w:rPr>
                <w:noProof/>
                <w:webHidden/>
              </w:rPr>
              <w:fldChar w:fldCharType="begin"/>
            </w:r>
            <w:r w:rsidR="001378AF">
              <w:rPr>
                <w:noProof/>
                <w:webHidden/>
              </w:rPr>
              <w:instrText xml:space="preserve"> PAGEREF _Toc97123835 \h </w:instrText>
            </w:r>
            <w:r w:rsidR="001378AF">
              <w:rPr>
                <w:noProof/>
                <w:webHidden/>
              </w:rPr>
            </w:r>
            <w:r w:rsidR="001378AF">
              <w:rPr>
                <w:noProof/>
                <w:webHidden/>
              </w:rPr>
              <w:fldChar w:fldCharType="separate"/>
            </w:r>
            <w:r w:rsidR="001378AF">
              <w:rPr>
                <w:noProof/>
                <w:webHidden/>
              </w:rPr>
              <w:t>99</w:t>
            </w:r>
            <w:r w:rsidR="001378AF">
              <w:rPr>
                <w:noProof/>
                <w:webHidden/>
              </w:rPr>
              <w:fldChar w:fldCharType="end"/>
            </w:r>
          </w:hyperlink>
        </w:p>
        <w:p w14:paraId="63F774D5" w14:textId="55DDDC8C" w:rsidR="001378AF" w:rsidRDefault="00751C19">
          <w:pPr>
            <w:pStyle w:val="Sadraj1"/>
            <w:rPr>
              <w:rFonts w:eastAsiaTheme="minorEastAsia"/>
              <w:noProof/>
              <w:lang w:eastAsia="hr-HR"/>
            </w:rPr>
          </w:pPr>
          <w:hyperlink w:anchor="_Toc97123836" w:history="1">
            <w:r w:rsidR="001378AF" w:rsidRPr="007F0949">
              <w:rPr>
                <w:rStyle w:val="Hiperveza"/>
                <w:noProof/>
              </w:rPr>
              <w:t>4.3.1. Osnovne značajke</w:t>
            </w:r>
            <w:r w:rsidR="001378AF">
              <w:rPr>
                <w:noProof/>
                <w:webHidden/>
              </w:rPr>
              <w:tab/>
            </w:r>
            <w:r w:rsidR="001378AF">
              <w:rPr>
                <w:noProof/>
                <w:webHidden/>
              </w:rPr>
              <w:fldChar w:fldCharType="begin"/>
            </w:r>
            <w:r w:rsidR="001378AF">
              <w:rPr>
                <w:noProof/>
                <w:webHidden/>
              </w:rPr>
              <w:instrText xml:space="preserve"> PAGEREF _Toc97123836 \h </w:instrText>
            </w:r>
            <w:r w:rsidR="001378AF">
              <w:rPr>
                <w:noProof/>
                <w:webHidden/>
              </w:rPr>
            </w:r>
            <w:r w:rsidR="001378AF">
              <w:rPr>
                <w:noProof/>
                <w:webHidden/>
              </w:rPr>
              <w:fldChar w:fldCharType="separate"/>
            </w:r>
            <w:r w:rsidR="001378AF">
              <w:rPr>
                <w:noProof/>
                <w:webHidden/>
              </w:rPr>
              <w:t>99</w:t>
            </w:r>
            <w:r w:rsidR="001378AF">
              <w:rPr>
                <w:noProof/>
                <w:webHidden/>
              </w:rPr>
              <w:fldChar w:fldCharType="end"/>
            </w:r>
          </w:hyperlink>
        </w:p>
        <w:p w14:paraId="274A0DDC" w14:textId="212E27F4" w:rsidR="001378AF" w:rsidRDefault="00751C19">
          <w:pPr>
            <w:pStyle w:val="Sadraj1"/>
            <w:rPr>
              <w:rFonts w:eastAsiaTheme="minorEastAsia"/>
              <w:noProof/>
              <w:lang w:eastAsia="hr-HR"/>
            </w:rPr>
          </w:pPr>
          <w:hyperlink w:anchor="_Toc97123837" w:history="1">
            <w:r w:rsidR="001378AF" w:rsidRPr="007F0949">
              <w:rPr>
                <w:rStyle w:val="Hiperveza"/>
                <w:noProof/>
              </w:rPr>
              <w:t>4.3.2. Načinska raspodjela</w:t>
            </w:r>
            <w:r w:rsidR="001378AF">
              <w:rPr>
                <w:noProof/>
                <w:webHidden/>
              </w:rPr>
              <w:tab/>
            </w:r>
            <w:r w:rsidR="001378AF">
              <w:rPr>
                <w:noProof/>
                <w:webHidden/>
              </w:rPr>
              <w:fldChar w:fldCharType="begin"/>
            </w:r>
            <w:r w:rsidR="001378AF">
              <w:rPr>
                <w:noProof/>
                <w:webHidden/>
              </w:rPr>
              <w:instrText xml:space="preserve"> PAGEREF _Toc97123837 \h </w:instrText>
            </w:r>
            <w:r w:rsidR="001378AF">
              <w:rPr>
                <w:noProof/>
                <w:webHidden/>
              </w:rPr>
            </w:r>
            <w:r w:rsidR="001378AF">
              <w:rPr>
                <w:noProof/>
                <w:webHidden/>
              </w:rPr>
              <w:fldChar w:fldCharType="separate"/>
            </w:r>
            <w:r w:rsidR="001378AF">
              <w:rPr>
                <w:noProof/>
                <w:webHidden/>
              </w:rPr>
              <w:t>100</w:t>
            </w:r>
            <w:r w:rsidR="001378AF">
              <w:rPr>
                <w:noProof/>
                <w:webHidden/>
              </w:rPr>
              <w:fldChar w:fldCharType="end"/>
            </w:r>
          </w:hyperlink>
        </w:p>
        <w:p w14:paraId="5F027BC6" w14:textId="110762DD" w:rsidR="001378AF" w:rsidRDefault="00751C19">
          <w:pPr>
            <w:pStyle w:val="Sadraj1"/>
            <w:rPr>
              <w:rFonts w:eastAsiaTheme="minorEastAsia"/>
              <w:noProof/>
              <w:lang w:eastAsia="hr-HR"/>
            </w:rPr>
          </w:pPr>
          <w:hyperlink w:anchor="_Toc97123838" w:history="1">
            <w:r w:rsidR="001378AF" w:rsidRPr="007F0949">
              <w:rPr>
                <w:rStyle w:val="Hiperveza"/>
                <w:noProof/>
              </w:rPr>
              <w:t>4.3.3. Zračni promet</w:t>
            </w:r>
            <w:r w:rsidR="001378AF">
              <w:rPr>
                <w:noProof/>
                <w:webHidden/>
              </w:rPr>
              <w:tab/>
            </w:r>
            <w:r w:rsidR="001378AF">
              <w:rPr>
                <w:noProof/>
                <w:webHidden/>
              </w:rPr>
              <w:fldChar w:fldCharType="begin"/>
            </w:r>
            <w:r w:rsidR="001378AF">
              <w:rPr>
                <w:noProof/>
                <w:webHidden/>
              </w:rPr>
              <w:instrText xml:space="preserve"> PAGEREF _Toc97123838 \h </w:instrText>
            </w:r>
            <w:r w:rsidR="001378AF">
              <w:rPr>
                <w:noProof/>
                <w:webHidden/>
              </w:rPr>
            </w:r>
            <w:r w:rsidR="001378AF">
              <w:rPr>
                <w:noProof/>
                <w:webHidden/>
              </w:rPr>
              <w:fldChar w:fldCharType="separate"/>
            </w:r>
            <w:r w:rsidR="001378AF">
              <w:rPr>
                <w:noProof/>
                <w:webHidden/>
              </w:rPr>
              <w:t>100</w:t>
            </w:r>
            <w:r w:rsidR="001378AF">
              <w:rPr>
                <w:noProof/>
                <w:webHidden/>
              </w:rPr>
              <w:fldChar w:fldCharType="end"/>
            </w:r>
          </w:hyperlink>
        </w:p>
        <w:p w14:paraId="7D534660" w14:textId="630EDE8C" w:rsidR="001378AF" w:rsidRDefault="00751C19">
          <w:pPr>
            <w:pStyle w:val="Sadraj1"/>
            <w:rPr>
              <w:rFonts w:eastAsiaTheme="minorEastAsia"/>
              <w:noProof/>
              <w:lang w:eastAsia="hr-HR"/>
            </w:rPr>
          </w:pPr>
          <w:hyperlink w:anchor="_Toc97123839" w:history="1">
            <w:r w:rsidR="001378AF" w:rsidRPr="007F0949">
              <w:rPr>
                <w:rStyle w:val="Hiperveza"/>
                <w:noProof/>
              </w:rPr>
              <w:t>4.3.4. Javni putnički promet</w:t>
            </w:r>
            <w:r w:rsidR="001378AF">
              <w:rPr>
                <w:noProof/>
                <w:webHidden/>
              </w:rPr>
              <w:tab/>
            </w:r>
            <w:r w:rsidR="001378AF">
              <w:rPr>
                <w:noProof/>
                <w:webHidden/>
              </w:rPr>
              <w:fldChar w:fldCharType="begin"/>
            </w:r>
            <w:r w:rsidR="001378AF">
              <w:rPr>
                <w:noProof/>
                <w:webHidden/>
              </w:rPr>
              <w:instrText xml:space="preserve"> PAGEREF _Toc97123839 \h </w:instrText>
            </w:r>
            <w:r w:rsidR="001378AF">
              <w:rPr>
                <w:noProof/>
                <w:webHidden/>
              </w:rPr>
            </w:r>
            <w:r w:rsidR="001378AF">
              <w:rPr>
                <w:noProof/>
                <w:webHidden/>
              </w:rPr>
              <w:fldChar w:fldCharType="separate"/>
            </w:r>
            <w:r w:rsidR="001378AF">
              <w:rPr>
                <w:noProof/>
                <w:webHidden/>
              </w:rPr>
              <w:t>102</w:t>
            </w:r>
            <w:r w:rsidR="001378AF">
              <w:rPr>
                <w:noProof/>
                <w:webHidden/>
              </w:rPr>
              <w:fldChar w:fldCharType="end"/>
            </w:r>
          </w:hyperlink>
        </w:p>
        <w:p w14:paraId="7EBFBCD8" w14:textId="457C487B" w:rsidR="001378AF" w:rsidRDefault="00751C19">
          <w:pPr>
            <w:pStyle w:val="Sadraj1"/>
            <w:rPr>
              <w:rFonts w:eastAsiaTheme="minorEastAsia"/>
              <w:noProof/>
              <w:lang w:eastAsia="hr-HR"/>
            </w:rPr>
          </w:pPr>
          <w:hyperlink w:anchor="_Toc97123840" w:history="1">
            <w:r w:rsidR="001378AF" w:rsidRPr="007F0949">
              <w:rPr>
                <w:rStyle w:val="Hiperveza"/>
                <w:noProof/>
              </w:rPr>
              <w:t>4.3.5. Cestovni promet</w:t>
            </w:r>
            <w:r w:rsidR="001378AF">
              <w:rPr>
                <w:noProof/>
                <w:webHidden/>
              </w:rPr>
              <w:tab/>
            </w:r>
            <w:r w:rsidR="001378AF">
              <w:rPr>
                <w:noProof/>
                <w:webHidden/>
              </w:rPr>
              <w:fldChar w:fldCharType="begin"/>
            </w:r>
            <w:r w:rsidR="001378AF">
              <w:rPr>
                <w:noProof/>
                <w:webHidden/>
              </w:rPr>
              <w:instrText xml:space="preserve"> PAGEREF _Toc97123840 \h </w:instrText>
            </w:r>
            <w:r w:rsidR="001378AF">
              <w:rPr>
                <w:noProof/>
                <w:webHidden/>
              </w:rPr>
            </w:r>
            <w:r w:rsidR="001378AF">
              <w:rPr>
                <w:noProof/>
                <w:webHidden/>
              </w:rPr>
              <w:fldChar w:fldCharType="separate"/>
            </w:r>
            <w:r w:rsidR="001378AF">
              <w:rPr>
                <w:noProof/>
                <w:webHidden/>
              </w:rPr>
              <w:t>105</w:t>
            </w:r>
            <w:r w:rsidR="001378AF">
              <w:rPr>
                <w:noProof/>
                <w:webHidden/>
              </w:rPr>
              <w:fldChar w:fldCharType="end"/>
            </w:r>
          </w:hyperlink>
        </w:p>
        <w:p w14:paraId="1CBCA0EF" w14:textId="7F42A083" w:rsidR="001378AF" w:rsidRDefault="00751C19">
          <w:pPr>
            <w:pStyle w:val="Sadraj1"/>
            <w:rPr>
              <w:rFonts w:eastAsiaTheme="minorEastAsia"/>
              <w:noProof/>
              <w:lang w:eastAsia="hr-HR"/>
            </w:rPr>
          </w:pPr>
          <w:hyperlink w:anchor="_Toc97123841" w:history="1">
            <w:r w:rsidR="001378AF" w:rsidRPr="007F0949">
              <w:rPr>
                <w:rStyle w:val="Hiperveza"/>
                <w:noProof/>
              </w:rPr>
              <w:t>4.3.6. Pješačka zona</w:t>
            </w:r>
            <w:r w:rsidR="001378AF">
              <w:rPr>
                <w:noProof/>
                <w:webHidden/>
              </w:rPr>
              <w:tab/>
            </w:r>
            <w:r w:rsidR="001378AF">
              <w:rPr>
                <w:noProof/>
                <w:webHidden/>
              </w:rPr>
              <w:fldChar w:fldCharType="begin"/>
            </w:r>
            <w:r w:rsidR="001378AF">
              <w:rPr>
                <w:noProof/>
                <w:webHidden/>
              </w:rPr>
              <w:instrText xml:space="preserve"> PAGEREF _Toc97123841 \h </w:instrText>
            </w:r>
            <w:r w:rsidR="001378AF">
              <w:rPr>
                <w:noProof/>
                <w:webHidden/>
              </w:rPr>
            </w:r>
            <w:r w:rsidR="001378AF">
              <w:rPr>
                <w:noProof/>
                <w:webHidden/>
              </w:rPr>
              <w:fldChar w:fldCharType="separate"/>
            </w:r>
            <w:r w:rsidR="001378AF">
              <w:rPr>
                <w:noProof/>
                <w:webHidden/>
              </w:rPr>
              <w:t>109</w:t>
            </w:r>
            <w:r w:rsidR="001378AF">
              <w:rPr>
                <w:noProof/>
                <w:webHidden/>
              </w:rPr>
              <w:fldChar w:fldCharType="end"/>
            </w:r>
          </w:hyperlink>
        </w:p>
        <w:p w14:paraId="0B76AB0C" w14:textId="746143C2" w:rsidR="001378AF" w:rsidRDefault="00751C19">
          <w:pPr>
            <w:pStyle w:val="Sadraj1"/>
            <w:rPr>
              <w:rFonts w:eastAsiaTheme="minorEastAsia"/>
              <w:noProof/>
              <w:lang w:eastAsia="hr-HR"/>
            </w:rPr>
          </w:pPr>
          <w:hyperlink w:anchor="_Toc97123842" w:history="1">
            <w:r w:rsidR="001378AF" w:rsidRPr="007F0949">
              <w:rPr>
                <w:rStyle w:val="Hiperveza"/>
                <w:noProof/>
              </w:rPr>
              <w:t>4.3.7. Promet u mirovanju</w:t>
            </w:r>
            <w:r w:rsidR="001378AF">
              <w:rPr>
                <w:noProof/>
                <w:webHidden/>
              </w:rPr>
              <w:tab/>
            </w:r>
            <w:r w:rsidR="001378AF">
              <w:rPr>
                <w:noProof/>
                <w:webHidden/>
              </w:rPr>
              <w:fldChar w:fldCharType="begin"/>
            </w:r>
            <w:r w:rsidR="001378AF">
              <w:rPr>
                <w:noProof/>
                <w:webHidden/>
              </w:rPr>
              <w:instrText xml:space="preserve"> PAGEREF _Toc97123842 \h </w:instrText>
            </w:r>
            <w:r w:rsidR="001378AF">
              <w:rPr>
                <w:noProof/>
                <w:webHidden/>
              </w:rPr>
            </w:r>
            <w:r w:rsidR="001378AF">
              <w:rPr>
                <w:noProof/>
                <w:webHidden/>
              </w:rPr>
              <w:fldChar w:fldCharType="separate"/>
            </w:r>
            <w:r w:rsidR="001378AF">
              <w:rPr>
                <w:noProof/>
                <w:webHidden/>
              </w:rPr>
              <w:t>111</w:t>
            </w:r>
            <w:r w:rsidR="001378AF">
              <w:rPr>
                <w:noProof/>
                <w:webHidden/>
              </w:rPr>
              <w:fldChar w:fldCharType="end"/>
            </w:r>
          </w:hyperlink>
        </w:p>
        <w:p w14:paraId="628CA401" w14:textId="0B00456F" w:rsidR="001378AF" w:rsidRDefault="00751C19">
          <w:pPr>
            <w:pStyle w:val="Sadraj1"/>
            <w:rPr>
              <w:rFonts w:eastAsiaTheme="minorEastAsia"/>
              <w:noProof/>
              <w:lang w:eastAsia="hr-HR"/>
            </w:rPr>
          </w:pPr>
          <w:hyperlink w:anchor="_Toc97123843" w:history="1">
            <w:r w:rsidR="001378AF" w:rsidRPr="007F0949">
              <w:rPr>
                <w:rStyle w:val="Hiperveza"/>
                <w:noProof/>
              </w:rPr>
              <w:t>5.OKOLIŠ</w:t>
            </w:r>
            <w:r w:rsidR="001378AF">
              <w:rPr>
                <w:noProof/>
                <w:webHidden/>
              </w:rPr>
              <w:tab/>
            </w:r>
            <w:r w:rsidR="001378AF">
              <w:rPr>
                <w:noProof/>
                <w:webHidden/>
              </w:rPr>
              <w:fldChar w:fldCharType="begin"/>
            </w:r>
            <w:r w:rsidR="001378AF">
              <w:rPr>
                <w:noProof/>
                <w:webHidden/>
              </w:rPr>
              <w:instrText xml:space="preserve"> PAGEREF _Toc97123843 \h </w:instrText>
            </w:r>
            <w:r w:rsidR="001378AF">
              <w:rPr>
                <w:noProof/>
                <w:webHidden/>
              </w:rPr>
            </w:r>
            <w:r w:rsidR="001378AF">
              <w:rPr>
                <w:noProof/>
                <w:webHidden/>
              </w:rPr>
              <w:fldChar w:fldCharType="separate"/>
            </w:r>
            <w:r w:rsidR="001378AF">
              <w:rPr>
                <w:noProof/>
                <w:webHidden/>
              </w:rPr>
              <w:t>115</w:t>
            </w:r>
            <w:r w:rsidR="001378AF">
              <w:rPr>
                <w:noProof/>
                <w:webHidden/>
              </w:rPr>
              <w:fldChar w:fldCharType="end"/>
            </w:r>
          </w:hyperlink>
        </w:p>
        <w:p w14:paraId="487CA07E" w14:textId="79045655" w:rsidR="001378AF" w:rsidRDefault="00751C19">
          <w:pPr>
            <w:pStyle w:val="Sadraj1"/>
            <w:rPr>
              <w:rFonts w:eastAsiaTheme="minorEastAsia"/>
              <w:noProof/>
              <w:lang w:eastAsia="hr-HR"/>
            </w:rPr>
          </w:pPr>
          <w:hyperlink w:anchor="_Toc97123844" w:history="1">
            <w:r w:rsidR="001378AF" w:rsidRPr="007F0949">
              <w:rPr>
                <w:rStyle w:val="Hiperveza"/>
                <w:noProof/>
              </w:rPr>
              <w:t>5.1. ZAŠTITA OKOLIŠA</w:t>
            </w:r>
            <w:r w:rsidR="001378AF">
              <w:rPr>
                <w:noProof/>
                <w:webHidden/>
              </w:rPr>
              <w:tab/>
            </w:r>
            <w:r w:rsidR="001378AF">
              <w:rPr>
                <w:noProof/>
                <w:webHidden/>
              </w:rPr>
              <w:fldChar w:fldCharType="begin"/>
            </w:r>
            <w:r w:rsidR="001378AF">
              <w:rPr>
                <w:noProof/>
                <w:webHidden/>
              </w:rPr>
              <w:instrText xml:space="preserve"> PAGEREF _Toc97123844 \h </w:instrText>
            </w:r>
            <w:r w:rsidR="001378AF">
              <w:rPr>
                <w:noProof/>
                <w:webHidden/>
              </w:rPr>
            </w:r>
            <w:r w:rsidR="001378AF">
              <w:rPr>
                <w:noProof/>
                <w:webHidden/>
              </w:rPr>
              <w:fldChar w:fldCharType="separate"/>
            </w:r>
            <w:r w:rsidR="001378AF">
              <w:rPr>
                <w:noProof/>
                <w:webHidden/>
              </w:rPr>
              <w:t>115</w:t>
            </w:r>
            <w:r w:rsidR="001378AF">
              <w:rPr>
                <w:noProof/>
                <w:webHidden/>
              </w:rPr>
              <w:fldChar w:fldCharType="end"/>
            </w:r>
          </w:hyperlink>
        </w:p>
        <w:p w14:paraId="7025CB5A" w14:textId="5EA15754" w:rsidR="001378AF" w:rsidRDefault="00751C19">
          <w:pPr>
            <w:pStyle w:val="Sadraj1"/>
            <w:rPr>
              <w:rFonts w:eastAsiaTheme="minorEastAsia"/>
              <w:noProof/>
              <w:lang w:eastAsia="hr-HR"/>
            </w:rPr>
          </w:pPr>
          <w:hyperlink w:anchor="_Toc97123845" w:history="1">
            <w:r w:rsidR="001378AF" w:rsidRPr="007F0949">
              <w:rPr>
                <w:rStyle w:val="Hiperveza"/>
                <w:noProof/>
              </w:rPr>
              <w:t>5.1.1. Praćenje stanja okoliša i planiranje zaštite okoliša</w:t>
            </w:r>
            <w:r w:rsidR="001378AF">
              <w:rPr>
                <w:noProof/>
                <w:webHidden/>
              </w:rPr>
              <w:tab/>
            </w:r>
            <w:r w:rsidR="001378AF">
              <w:rPr>
                <w:noProof/>
                <w:webHidden/>
              </w:rPr>
              <w:fldChar w:fldCharType="begin"/>
            </w:r>
            <w:r w:rsidR="001378AF">
              <w:rPr>
                <w:noProof/>
                <w:webHidden/>
              </w:rPr>
              <w:instrText xml:space="preserve"> PAGEREF _Toc97123845 \h </w:instrText>
            </w:r>
            <w:r w:rsidR="001378AF">
              <w:rPr>
                <w:noProof/>
                <w:webHidden/>
              </w:rPr>
            </w:r>
            <w:r w:rsidR="001378AF">
              <w:rPr>
                <w:noProof/>
                <w:webHidden/>
              </w:rPr>
              <w:fldChar w:fldCharType="separate"/>
            </w:r>
            <w:r w:rsidR="001378AF">
              <w:rPr>
                <w:noProof/>
                <w:webHidden/>
              </w:rPr>
              <w:t>115</w:t>
            </w:r>
            <w:r w:rsidR="001378AF">
              <w:rPr>
                <w:noProof/>
                <w:webHidden/>
              </w:rPr>
              <w:fldChar w:fldCharType="end"/>
            </w:r>
          </w:hyperlink>
        </w:p>
        <w:p w14:paraId="74F723C5" w14:textId="1ED6E0A0" w:rsidR="001378AF" w:rsidRDefault="00751C19">
          <w:pPr>
            <w:pStyle w:val="Sadraj1"/>
            <w:rPr>
              <w:rFonts w:eastAsiaTheme="minorEastAsia"/>
              <w:noProof/>
              <w:lang w:eastAsia="hr-HR"/>
            </w:rPr>
          </w:pPr>
          <w:hyperlink w:anchor="_Toc97123846" w:history="1">
            <w:r w:rsidR="001378AF" w:rsidRPr="007F0949">
              <w:rPr>
                <w:rStyle w:val="Hiperveza"/>
                <w:noProof/>
              </w:rPr>
              <w:t>5.1.2. Vode</w:t>
            </w:r>
            <w:r w:rsidR="001378AF">
              <w:rPr>
                <w:noProof/>
                <w:webHidden/>
              </w:rPr>
              <w:tab/>
            </w:r>
            <w:r w:rsidR="001378AF">
              <w:rPr>
                <w:noProof/>
                <w:webHidden/>
              </w:rPr>
              <w:fldChar w:fldCharType="begin"/>
            </w:r>
            <w:r w:rsidR="001378AF">
              <w:rPr>
                <w:noProof/>
                <w:webHidden/>
              </w:rPr>
              <w:instrText xml:space="preserve"> PAGEREF _Toc97123846 \h </w:instrText>
            </w:r>
            <w:r w:rsidR="001378AF">
              <w:rPr>
                <w:noProof/>
                <w:webHidden/>
              </w:rPr>
            </w:r>
            <w:r w:rsidR="001378AF">
              <w:rPr>
                <w:noProof/>
                <w:webHidden/>
              </w:rPr>
              <w:fldChar w:fldCharType="separate"/>
            </w:r>
            <w:r w:rsidR="001378AF">
              <w:rPr>
                <w:noProof/>
                <w:webHidden/>
              </w:rPr>
              <w:t>116</w:t>
            </w:r>
            <w:r w:rsidR="001378AF">
              <w:rPr>
                <w:noProof/>
                <w:webHidden/>
              </w:rPr>
              <w:fldChar w:fldCharType="end"/>
            </w:r>
          </w:hyperlink>
        </w:p>
        <w:p w14:paraId="482421F2" w14:textId="3404854D" w:rsidR="001378AF" w:rsidRDefault="00751C19">
          <w:pPr>
            <w:pStyle w:val="Sadraj1"/>
            <w:rPr>
              <w:rFonts w:eastAsiaTheme="minorEastAsia"/>
              <w:noProof/>
              <w:lang w:eastAsia="hr-HR"/>
            </w:rPr>
          </w:pPr>
          <w:hyperlink w:anchor="_Toc97123847" w:history="1">
            <w:r w:rsidR="001378AF" w:rsidRPr="007F0949">
              <w:rPr>
                <w:rStyle w:val="Hiperveza"/>
                <w:noProof/>
              </w:rPr>
              <w:t>5.1.3. Zrak</w:t>
            </w:r>
            <w:r w:rsidR="001378AF">
              <w:rPr>
                <w:noProof/>
                <w:webHidden/>
              </w:rPr>
              <w:tab/>
            </w:r>
            <w:r w:rsidR="001378AF">
              <w:rPr>
                <w:noProof/>
                <w:webHidden/>
              </w:rPr>
              <w:fldChar w:fldCharType="begin"/>
            </w:r>
            <w:r w:rsidR="001378AF">
              <w:rPr>
                <w:noProof/>
                <w:webHidden/>
              </w:rPr>
              <w:instrText xml:space="preserve"> PAGEREF _Toc97123847 \h </w:instrText>
            </w:r>
            <w:r w:rsidR="001378AF">
              <w:rPr>
                <w:noProof/>
                <w:webHidden/>
              </w:rPr>
            </w:r>
            <w:r w:rsidR="001378AF">
              <w:rPr>
                <w:noProof/>
                <w:webHidden/>
              </w:rPr>
              <w:fldChar w:fldCharType="separate"/>
            </w:r>
            <w:r w:rsidR="001378AF">
              <w:rPr>
                <w:noProof/>
                <w:webHidden/>
              </w:rPr>
              <w:t>118</w:t>
            </w:r>
            <w:r w:rsidR="001378AF">
              <w:rPr>
                <w:noProof/>
                <w:webHidden/>
              </w:rPr>
              <w:fldChar w:fldCharType="end"/>
            </w:r>
          </w:hyperlink>
        </w:p>
        <w:p w14:paraId="2D37119D" w14:textId="6AE6430D" w:rsidR="001378AF" w:rsidRDefault="00751C19">
          <w:pPr>
            <w:pStyle w:val="Sadraj1"/>
            <w:rPr>
              <w:rFonts w:eastAsiaTheme="minorEastAsia"/>
              <w:noProof/>
              <w:lang w:eastAsia="hr-HR"/>
            </w:rPr>
          </w:pPr>
          <w:hyperlink w:anchor="_Toc97123848" w:history="1">
            <w:r w:rsidR="001378AF" w:rsidRPr="007F0949">
              <w:rPr>
                <w:rStyle w:val="Hiperveza"/>
                <w:noProof/>
              </w:rPr>
              <w:t>5.1.4. Otpad</w:t>
            </w:r>
            <w:r w:rsidR="001378AF">
              <w:rPr>
                <w:noProof/>
                <w:webHidden/>
              </w:rPr>
              <w:tab/>
            </w:r>
            <w:r w:rsidR="001378AF">
              <w:rPr>
                <w:noProof/>
                <w:webHidden/>
              </w:rPr>
              <w:fldChar w:fldCharType="begin"/>
            </w:r>
            <w:r w:rsidR="001378AF">
              <w:rPr>
                <w:noProof/>
                <w:webHidden/>
              </w:rPr>
              <w:instrText xml:space="preserve"> PAGEREF _Toc97123848 \h </w:instrText>
            </w:r>
            <w:r w:rsidR="001378AF">
              <w:rPr>
                <w:noProof/>
                <w:webHidden/>
              </w:rPr>
            </w:r>
            <w:r w:rsidR="001378AF">
              <w:rPr>
                <w:noProof/>
                <w:webHidden/>
              </w:rPr>
              <w:fldChar w:fldCharType="separate"/>
            </w:r>
            <w:r w:rsidR="001378AF">
              <w:rPr>
                <w:noProof/>
                <w:webHidden/>
              </w:rPr>
              <w:t>120</w:t>
            </w:r>
            <w:r w:rsidR="001378AF">
              <w:rPr>
                <w:noProof/>
                <w:webHidden/>
              </w:rPr>
              <w:fldChar w:fldCharType="end"/>
            </w:r>
          </w:hyperlink>
        </w:p>
        <w:p w14:paraId="34AB7F90" w14:textId="408BB95A" w:rsidR="001378AF" w:rsidRDefault="00751C19">
          <w:pPr>
            <w:pStyle w:val="Sadraj1"/>
            <w:rPr>
              <w:rFonts w:eastAsiaTheme="minorEastAsia"/>
              <w:noProof/>
              <w:lang w:eastAsia="hr-HR"/>
            </w:rPr>
          </w:pPr>
          <w:hyperlink w:anchor="_Toc97123849" w:history="1">
            <w:r w:rsidR="001378AF" w:rsidRPr="007F0949">
              <w:rPr>
                <w:rStyle w:val="Hiperveza"/>
                <w:noProof/>
              </w:rPr>
              <w:t>5.1.5. Buka</w:t>
            </w:r>
            <w:r w:rsidR="001378AF">
              <w:rPr>
                <w:noProof/>
                <w:webHidden/>
              </w:rPr>
              <w:tab/>
            </w:r>
            <w:r w:rsidR="001378AF">
              <w:rPr>
                <w:noProof/>
                <w:webHidden/>
              </w:rPr>
              <w:fldChar w:fldCharType="begin"/>
            </w:r>
            <w:r w:rsidR="001378AF">
              <w:rPr>
                <w:noProof/>
                <w:webHidden/>
              </w:rPr>
              <w:instrText xml:space="preserve"> PAGEREF _Toc97123849 \h </w:instrText>
            </w:r>
            <w:r w:rsidR="001378AF">
              <w:rPr>
                <w:noProof/>
                <w:webHidden/>
              </w:rPr>
            </w:r>
            <w:r w:rsidR="001378AF">
              <w:rPr>
                <w:noProof/>
                <w:webHidden/>
              </w:rPr>
              <w:fldChar w:fldCharType="separate"/>
            </w:r>
            <w:r w:rsidR="001378AF">
              <w:rPr>
                <w:noProof/>
                <w:webHidden/>
              </w:rPr>
              <w:t>124</w:t>
            </w:r>
            <w:r w:rsidR="001378AF">
              <w:rPr>
                <w:noProof/>
                <w:webHidden/>
              </w:rPr>
              <w:fldChar w:fldCharType="end"/>
            </w:r>
          </w:hyperlink>
        </w:p>
        <w:p w14:paraId="324994C0" w14:textId="0C9E3F22" w:rsidR="001378AF" w:rsidRDefault="00751C19">
          <w:pPr>
            <w:pStyle w:val="Sadraj1"/>
            <w:rPr>
              <w:rFonts w:eastAsiaTheme="minorEastAsia"/>
              <w:noProof/>
              <w:lang w:eastAsia="hr-HR"/>
            </w:rPr>
          </w:pPr>
          <w:hyperlink w:anchor="_Toc97123850" w:history="1">
            <w:r w:rsidR="001378AF" w:rsidRPr="007F0949">
              <w:rPr>
                <w:rStyle w:val="Hiperveza"/>
                <w:noProof/>
              </w:rPr>
              <w:t>5.2. ENERGIJA I KLIMA</w:t>
            </w:r>
            <w:r w:rsidR="001378AF">
              <w:rPr>
                <w:noProof/>
                <w:webHidden/>
              </w:rPr>
              <w:tab/>
            </w:r>
            <w:r w:rsidR="001378AF">
              <w:rPr>
                <w:noProof/>
                <w:webHidden/>
              </w:rPr>
              <w:fldChar w:fldCharType="begin"/>
            </w:r>
            <w:r w:rsidR="001378AF">
              <w:rPr>
                <w:noProof/>
                <w:webHidden/>
              </w:rPr>
              <w:instrText xml:space="preserve"> PAGEREF _Toc97123850 \h </w:instrText>
            </w:r>
            <w:r w:rsidR="001378AF">
              <w:rPr>
                <w:noProof/>
                <w:webHidden/>
              </w:rPr>
            </w:r>
            <w:r w:rsidR="001378AF">
              <w:rPr>
                <w:noProof/>
                <w:webHidden/>
              </w:rPr>
              <w:fldChar w:fldCharType="separate"/>
            </w:r>
            <w:r w:rsidR="001378AF">
              <w:rPr>
                <w:noProof/>
                <w:webHidden/>
              </w:rPr>
              <w:t>126</w:t>
            </w:r>
            <w:r w:rsidR="001378AF">
              <w:rPr>
                <w:noProof/>
                <w:webHidden/>
              </w:rPr>
              <w:fldChar w:fldCharType="end"/>
            </w:r>
          </w:hyperlink>
        </w:p>
        <w:p w14:paraId="4BDC50A2" w14:textId="243DF110" w:rsidR="001378AF" w:rsidRDefault="00751C19">
          <w:pPr>
            <w:pStyle w:val="Sadraj1"/>
            <w:rPr>
              <w:rFonts w:eastAsiaTheme="minorEastAsia"/>
              <w:noProof/>
              <w:lang w:eastAsia="hr-HR"/>
            </w:rPr>
          </w:pPr>
          <w:hyperlink w:anchor="_Toc97123851" w:history="1">
            <w:r w:rsidR="001378AF" w:rsidRPr="007F0949">
              <w:rPr>
                <w:rStyle w:val="Hiperveza"/>
                <w:noProof/>
              </w:rPr>
              <w:t>5.2.1. Energetski sustavi</w:t>
            </w:r>
            <w:r w:rsidR="001378AF">
              <w:rPr>
                <w:noProof/>
                <w:webHidden/>
              </w:rPr>
              <w:tab/>
            </w:r>
            <w:r w:rsidR="001378AF">
              <w:rPr>
                <w:noProof/>
                <w:webHidden/>
              </w:rPr>
              <w:fldChar w:fldCharType="begin"/>
            </w:r>
            <w:r w:rsidR="001378AF">
              <w:rPr>
                <w:noProof/>
                <w:webHidden/>
              </w:rPr>
              <w:instrText xml:space="preserve"> PAGEREF _Toc97123851 \h </w:instrText>
            </w:r>
            <w:r w:rsidR="001378AF">
              <w:rPr>
                <w:noProof/>
                <w:webHidden/>
              </w:rPr>
            </w:r>
            <w:r w:rsidR="001378AF">
              <w:rPr>
                <w:noProof/>
                <w:webHidden/>
              </w:rPr>
              <w:fldChar w:fldCharType="separate"/>
            </w:r>
            <w:r w:rsidR="001378AF">
              <w:rPr>
                <w:noProof/>
                <w:webHidden/>
              </w:rPr>
              <w:t>127</w:t>
            </w:r>
            <w:r w:rsidR="001378AF">
              <w:rPr>
                <w:noProof/>
                <w:webHidden/>
              </w:rPr>
              <w:fldChar w:fldCharType="end"/>
            </w:r>
          </w:hyperlink>
        </w:p>
        <w:p w14:paraId="5E0E2A3F" w14:textId="3CEB32BA" w:rsidR="001378AF" w:rsidRDefault="00751C19">
          <w:pPr>
            <w:pStyle w:val="Sadraj1"/>
            <w:rPr>
              <w:rFonts w:eastAsiaTheme="minorEastAsia"/>
              <w:noProof/>
              <w:lang w:eastAsia="hr-HR"/>
            </w:rPr>
          </w:pPr>
          <w:hyperlink w:anchor="_Toc97123852" w:history="1">
            <w:r w:rsidR="001378AF" w:rsidRPr="007F0949">
              <w:rPr>
                <w:rStyle w:val="Hiperveza"/>
                <w:noProof/>
              </w:rPr>
              <w:t>5.2.2. Obnovljivi izvori energije, ekološki prihvatljiva goriva i učinkovito gospodarenje energijom</w:t>
            </w:r>
            <w:r w:rsidR="001378AF">
              <w:rPr>
                <w:noProof/>
                <w:webHidden/>
              </w:rPr>
              <w:tab/>
            </w:r>
            <w:r w:rsidR="001378AF">
              <w:rPr>
                <w:noProof/>
                <w:webHidden/>
              </w:rPr>
              <w:fldChar w:fldCharType="begin"/>
            </w:r>
            <w:r w:rsidR="001378AF">
              <w:rPr>
                <w:noProof/>
                <w:webHidden/>
              </w:rPr>
              <w:instrText xml:space="preserve"> PAGEREF _Toc97123852 \h </w:instrText>
            </w:r>
            <w:r w:rsidR="001378AF">
              <w:rPr>
                <w:noProof/>
                <w:webHidden/>
              </w:rPr>
            </w:r>
            <w:r w:rsidR="001378AF">
              <w:rPr>
                <w:noProof/>
                <w:webHidden/>
              </w:rPr>
              <w:fldChar w:fldCharType="separate"/>
            </w:r>
            <w:r w:rsidR="001378AF">
              <w:rPr>
                <w:noProof/>
                <w:webHidden/>
              </w:rPr>
              <w:t>131</w:t>
            </w:r>
            <w:r w:rsidR="001378AF">
              <w:rPr>
                <w:noProof/>
                <w:webHidden/>
              </w:rPr>
              <w:fldChar w:fldCharType="end"/>
            </w:r>
          </w:hyperlink>
        </w:p>
        <w:p w14:paraId="60779318" w14:textId="6BB073BC" w:rsidR="001378AF" w:rsidRDefault="00751C19">
          <w:pPr>
            <w:pStyle w:val="Sadraj1"/>
            <w:rPr>
              <w:rFonts w:eastAsiaTheme="minorEastAsia"/>
              <w:noProof/>
              <w:lang w:eastAsia="hr-HR"/>
            </w:rPr>
          </w:pPr>
          <w:hyperlink w:anchor="_Toc97123853" w:history="1">
            <w:r w:rsidR="001378AF" w:rsidRPr="007F0949">
              <w:rPr>
                <w:rStyle w:val="Hiperveza"/>
                <w:noProof/>
              </w:rPr>
              <w:t xml:space="preserve">5.2.3. </w:t>
            </w:r>
            <w:r w:rsidR="001378AF" w:rsidRPr="007F0949">
              <w:rPr>
                <w:rStyle w:val="Hiperveza"/>
                <w:rFonts w:cs="Calibri"/>
                <w:noProof/>
              </w:rPr>
              <w:t>Sigurnost opskrbe energijom, problem energetskog siromaštva i inflacije cijena energije</w:t>
            </w:r>
            <w:r w:rsidR="001378AF">
              <w:rPr>
                <w:noProof/>
                <w:webHidden/>
              </w:rPr>
              <w:tab/>
            </w:r>
            <w:r w:rsidR="001378AF">
              <w:rPr>
                <w:noProof/>
                <w:webHidden/>
              </w:rPr>
              <w:fldChar w:fldCharType="begin"/>
            </w:r>
            <w:r w:rsidR="001378AF">
              <w:rPr>
                <w:noProof/>
                <w:webHidden/>
              </w:rPr>
              <w:instrText xml:space="preserve"> PAGEREF _Toc97123853 \h </w:instrText>
            </w:r>
            <w:r w:rsidR="001378AF">
              <w:rPr>
                <w:noProof/>
                <w:webHidden/>
              </w:rPr>
            </w:r>
            <w:r w:rsidR="001378AF">
              <w:rPr>
                <w:noProof/>
                <w:webHidden/>
              </w:rPr>
              <w:fldChar w:fldCharType="separate"/>
            </w:r>
            <w:r w:rsidR="001378AF">
              <w:rPr>
                <w:noProof/>
                <w:webHidden/>
              </w:rPr>
              <w:t>132</w:t>
            </w:r>
            <w:r w:rsidR="001378AF">
              <w:rPr>
                <w:noProof/>
                <w:webHidden/>
              </w:rPr>
              <w:fldChar w:fldCharType="end"/>
            </w:r>
          </w:hyperlink>
        </w:p>
        <w:p w14:paraId="6652E23F" w14:textId="6BB3B940" w:rsidR="001378AF" w:rsidRDefault="00751C19">
          <w:pPr>
            <w:pStyle w:val="Sadraj1"/>
            <w:rPr>
              <w:rFonts w:eastAsiaTheme="minorEastAsia"/>
              <w:noProof/>
              <w:lang w:eastAsia="hr-HR"/>
            </w:rPr>
          </w:pPr>
          <w:hyperlink w:anchor="_Toc97123854" w:history="1">
            <w:r w:rsidR="001378AF" w:rsidRPr="007F0949">
              <w:rPr>
                <w:rStyle w:val="Hiperveza"/>
                <w:noProof/>
              </w:rPr>
              <w:t>5.2.4. Klimatske promjene</w:t>
            </w:r>
            <w:r w:rsidR="001378AF">
              <w:rPr>
                <w:noProof/>
                <w:webHidden/>
              </w:rPr>
              <w:tab/>
            </w:r>
            <w:r w:rsidR="001378AF">
              <w:rPr>
                <w:noProof/>
                <w:webHidden/>
              </w:rPr>
              <w:fldChar w:fldCharType="begin"/>
            </w:r>
            <w:r w:rsidR="001378AF">
              <w:rPr>
                <w:noProof/>
                <w:webHidden/>
              </w:rPr>
              <w:instrText xml:space="preserve"> PAGEREF _Toc97123854 \h </w:instrText>
            </w:r>
            <w:r w:rsidR="001378AF">
              <w:rPr>
                <w:noProof/>
                <w:webHidden/>
              </w:rPr>
            </w:r>
            <w:r w:rsidR="001378AF">
              <w:rPr>
                <w:noProof/>
                <w:webHidden/>
              </w:rPr>
              <w:fldChar w:fldCharType="separate"/>
            </w:r>
            <w:r w:rsidR="001378AF">
              <w:rPr>
                <w:noProof/>
                <w:webHidden/>
              </w:rPr>
              <w:t>133</w:t>
            </w:r>
            <w:r w:rsidR="001378AF">
              <w:rPr>
                <w:noProof/>
                <w:webHidden/>
              </w:rPr>
              <w:fldChar w:fldCharType="end"/>
            </w:r>
          </w:hyperlink>
        </w:p>
        <w:p w14:paraId="14BE859F" w14:textId="17BA00E9" w:rsidR="001378AF" w:rsidRDefault="00751C19">
          <w:pPr>
            <w:pStyle w:val="Sadraj1"/>
            <w:rPr>
              <w:rFonts w:eastAsiaTheme="minorEastAsia"/>
              <w:noProof/>
              <w:lang w:eastAsia="hr-HR"/>
            </w:rPr>
          </w:pPr>
          <w:hyperlink w:anchor="_Toc97123855" w:history="1">
            <w:r w:rsidR="001378AF" w:rsidRPr="007F0949">
              <w:rPr>
                <w:rStyle w:val="Hiperveza"/>
                <w:noProof/>
              </w:rPr>
              <w:t>6. UPRAVLJANJE RAZVOJEM</w:t>
            </w:r>
            <w:r w:rsidR="001378AF">
              <w:rPr>
                <w:noProof/>
                <w:webHidden/>
              </w:rPr>
              <w:tab/>
            </w:r>
            <w:r w:rsidR="001378AF">
              <w:rPr>
                <w:noProof/>
                <w:webHidden/>
              </w:rPr>
              <w:fldChar w:fldCharType="begin"/>
            </w:r>
            <w:r w:rsidR="001378AF">
              <w:rPr>
                <w:noProof/>
                <w:webHidden/>
              </w:rPr>
              <w:instrText xml:space="preserve"> PAGEREF _Toc97123855 \h </w:instrText>
            </w:r>
            <w:r w:rsidR="001378AF">
              <w:rPr>
                <w:noProof/>
                <w:webHidden/>
              </w:rPr>
            </w:r>
            <w:r w:rsidR="001378AF">
              <w:rPr>
                <w:noProof/>
                <w:webHidden/>
              </w:rPr>
              <w:fldChar w:fldCharType="separate"/>
            </w:r>
            <w:r w:rsidR="001378AF">
              <w:rPr>
                <w:noProof/>
                <w:webHidden/>
              </w:rPr>
              <w:t>136</w:t>
            </w:r>
            <w:r w:rsidR="001378AF">
              <w:rPr>
                <w:noProof/>
                <w:webHidden/>
              </w:rPr>
              <w:fldChar w:fldCharType="end"/>
            </w:r>
          </w:hyperlink>
        </w:p>
        <w:p w14:paraId="6C18EC77" w14:textId="5D6D2CD5" w:rsidR="001378AF" w:rsidRDefault="00751C19">
          <w:pPr>
            <w:pStyle w:val="Sadraj1"/>
            <w:rPr>
              <w:rFonts w:eastAsiaTheme="minorEastAsia"/>
              <w:noProof/>
              <w:lang w:eastAsia="hr-HR"/>
            </w:rPr>
          </w:pPr>
          <w:hyperlink w:anchor="_Toc97123856" w:history="1">
            <w:r w:rsidR="001378AF" w:rsidRPr="007F0949">
              <w:rPr>
                <w:rStyle w:val="Hiperveza"/>
                <w:noProof/>
              </w:rPr>
              <w:t>6.1. INSTITUCIONALNI OKVIR ZA UPRAVLJANJE RAZVOJEM</w:t>
            </w:r>
            <w:r w:rsidR="001378AF">
              <w:rPr>
                <w:noProof/>
                <w:webHidden/>
              </w:rPr>
              <w:tab/>
            </w:r>
            <w:r w:rsidR="001378AF">
              <w:rPr>
                <w:noProof/>
                <w:webHidden/>
              </w:rPr>
              <w:fldChar w:fldCharType="begin"/>
            </w:r>
            <w:r w:rsidR="001378AF">
              <w:rPr>
                <w:noProof/>
                <w:webHidden/>
              </w:rPr>
              <w:instrText xml:space="preserve"> PAGEREF _Toc97123856 \h </w:instrText>
            </w:r>
            <w:r w:rsidR="001378AF">
              <w:rPr>
                <w:noProof/>
                <w:webHidden/>
              </w:rPr>
            </w:r>
            <w:r w:rsidR="001378AF">
              <w:rPr>
                <w:noProof/>
                <w:webHidden/>
              </w:rPr>
              <w:fldChar w:fldCharType="separate"/>
            </w:r>
            <w:r w:rsidR="001378AF">
              <w:rPr>
                <w:noProof/>
                <w:webHidden/>
              </w:rPr>
              <w:t>136</w:t>
            </w:r>
            <w:r w:rsidR="001378AF">
              <w:rPr>
                <w:noProof/>
                <w:webHidden/>
              </w:rPr>
              <w:fldChar w:fldCharType="end"/>
            </w:r>
          </w:hyperlink>
        </w:p>
        <w:p w14:paraId="13348AEB" w14:textId="5C3C7DA1" w:rsidR="001378AF" w:rsidRDefault="00751C19">
          <w:pPr>
            <w:pStyle w:val="Sadraj1"/>
            <w:rPr>
              <w:rFonts w:eastAsiaTheme="minorEastAsia"/>
              <w:noProof/>
              <w:lang w:eastAsia="hr-HR"/>
            </w:rPr>
          </w:pPr>
          <w:hyperlink w:anchor="_Toc97123857" w:history="1">
            <w:r w:rsidR="001378AF" w:rsidRPr="007F0949">
              <w:rPr>
                <w:rStyle w:val="Hiperveza"/>
                <w:noProof/>
              </w:rPr>
              <w:t>6.1.1. Tijela Grada Zagreba</w:t>
            </w:r>
            <w:r w:rsidR="001378AF">
              <w:rPr>
                <w:noProof/>
                <w:webHidden/>
              </w:rPr>
              <w:tab/>
            </w:r>
            <w:r w:rsidR="001378AF">
              <w:rPr>
                <w:noProof/>
                <w:webHidden/>
              </w:rPr>
              <w:fldChar w:fldCharType="begin"/>
            </w:r>
            <w:r w:rsidR="001378AF">
              <w:rPr>
                <w:noProof/>
                <w:webHidden/>
              </w:rPr>
              <w:instrText xml:space="preserve"> PAGEREF _Toc97123857 \h </w:instrText>
            </w:r>
            <w:r w:rsidR="001378AF">
              <w:rPr>
                <w:noProof/>
                <w:webHidden/>
              </w:rPr>
            </w:r>
            <w:r w:rsidR="001378AF">
              <w:rPr>
                <w:noProof/>
                <w:webHidden/>
              </w:rPr>
              <w:fldChar w:fldCharType="separate"/>
            </w:r>
            <w:r w:rsidR="001378AF">
              <w:rPr>
                <w:noProof/>
                <w:webHidden/>
              </w:rPr>
              <w:t>136</w:t>
            </w:r>
            <w:r w:rsidR="001378AF">
              <w:rPr>
                <w:noProof/>
                <w:webHidden/>
              </w:rPr>
              <w:fldChar w:fldCharType="end"/>
            </w:r>
          </w:hyperlink>
        </w:p>
        <w:p w14:paraId="61C20C3F" w14:textId="7EB48107" w:rsidR="001378AF" w:rsidRDefault="00751C19">
          <w:pPr>
            <w:pStyle w:val="Sadraj1"/>
            <w:rPr>
              <w:rFonts w:eastAsiaTheme="minorEastAsia"/>
              <w:noProof/>
              <w:lang w:eastAsia="hr-HR"/>
            </w:rPr>
          </w:pPr>
          <w:hyperlink w:anchor="_Toc97123858" w:history="1">
            <w:r w:rsidR="001378AF" w:rsidRPr="007F0949">
              <w:rPr>
                <w:rStyle w:val="Hiperveza"/>
                <w:noProof/>
              </w:rPr>
              <w:t>6.1.2. Gradska uprava</w:t>
            </w:r>
            <w:r w:rsidR="001378AF">
              <w:rPr>
                <w:noProof/>
                <w:webHidden/>
              </w:rPr>
              <w:tab/>
            </w:r>
            <w:r w:rsidR="001378AF">
              <w:rPr>
                <w:noProof/>
                <w:webHidden/>
              </w:rPr>
              <w:fldChar w:fldCharType="begin"/>
            </w:r>
            <w:r w:rsidR="001378AF">
              <w:rPr>
                <w:noProof/>
                <w:webHidden/>
              </w:rPr>
              <w:instrText xml:space="preserve"> PAGEREF _Toc97123858 \h </w:instrText>
            </w:r>
            <w:r w:rsidR="001378AF">
              <w:rPr>
                <w:noProof/>
                <w:webHidden/>
              </w:rPr>
            </w:r>
            <w:r w:rsidR="001378AF">
              <w:rPr>
                <w:noProof/>
                <w:webHidden/>
              </w:rPr>
              <w:fldChar w:fldCharType="separate"/>
            </w:r>
            <w:r w:rsidR="001378AF">
              <w:rPr>
                <w:noProof/>
                <w:webHidden/>
              </w:rPr>
              <w:t>136</w:t>
            </w:r>
            <w:r w:rsidR="001378AF">
              <w:rPr>
                <w:noProof/>
                <w:webHidden/>
              </w:rPr>
              <w:fldChar w:fldCharType="end"/>
            </w:r>
          </w:hyperlink>
        </w:p>
        <w:p w14:paraId="6C5CB389" w14:textId="5597FC82" w:rsidR="001378AF" w:rsidRDefault="00751C19">
          <w:pPr>
            <w:pStyle w:val="Sadraj1"/>
            <w:rPr>
              <w:rFonts w:eastAsiaTheme="minorEastAsia"/>
              <w:noProof/>
              <w:lang w:eastAsia="hr-HR"/>
            </w:rPr>
          </w:pPr>
          <w:hyperlink w:anchor="_Toc97123859" w:history="1">
            <w:r w:rsidR="001378AF" w:rsidRPr="007F0949">
              <w:rPr>
                <w:rStyle w:val="Hiperveza"/>
                <w:noProof/>
              </w:rPr>
              <w:t>6.1.3. Upravljanje i koordinacija upravnih tijela</w:t>
            </w:r>
            <w:r w:rsidR="001378AF">
              <w:rPr>
                <w:noProof/>
                <w:webHidden/>
              </w:rPr>
              <w:tab/>
            </w:r>
            <w:r w:rsidR="001378AF">
              <w:rPr>
                <w:noProof/>
                <w:webHidden/>
              </w:rPr>
              <w:fldChar w:fldCharType="begin"/>
            </w:r>
            <w:r w:rsidR="001378AF">
              <w:rPr>
                <w:noProof/>
                <w:webHidden/>
              </w:rPr>
              <w:instrText xml:space="preserve"> PAGEREF _Toc97123859 \h </w:instrText>
            </w:r>
            <w:r w:rsidR="001378AF">
              <w:rPr>
                <w:noProof/>
                <w:webHidden/>
              </w:rPr>
            </w:r>
            <w:r w:rsidR="001378AF">
              <w:rPr>
                <w:noProof/>
                <w:webHidden/>
              </w:rPr>
              <w:fldChar w:fldCharType="separate"/>
            </w:r>
            <w:r w:rsidR="001378AF">
              <w:rPr>
                <w:noProof/>
                <w:webHidden/>
              </w:rPr>
              <w:t>137</w:t>
            </w:r>
            <w:r w:rsidR="001378AF">
              <w:rPr>
                <w:noProof/>
                <w:webHidden/>
              </w:rPr>
              <w:fldChar w:fldCharType="end"/>
            </w:r>
          </w:hyperlink>
        </w:p>
        <w:p w14:paraId="3B608921" w14:textId="06746F2C" w:rsidR="001378AF" w:rsidRDefault="00751C19">
          <w:pPr>
            <w:pStyle w:val="Sadraj1"/>
            <w:rPr>
              <w:rFonts w:eastAsiaTheme="minorEastAsia"/>
              <w:noProof/>
              <w:lang w:eastAsia="hr-HR"/>
            </w:rPr>
          </w:pPr>
          <w:hyperlink w:anchor="_Toc97123860" w:history="1">
            <w:r w:rsidR="001378AF" w:rsidRPr="007F0949">
              <w:rPr>
                <w:rStyle w:val="Hiperveza"/>
                <w:noProof/>
              </w:rPr>
              <w:t>6.1.4. Strateško planiranje razvoja Grada</w:t>
            </w:r>
            <w:r w:rsidR="001378AF">
              <w:rPr>
                <w:noProof/>
                <w:webHidden/>
              </w:rPr>
              <w:tab/>
            </w:r>
            <w:r w:rsidR="001378AF">
              <w:rPr>
                <w:noProof/>
                <w:webHidden/>
              </w:rPr>
              <w:fldChar w:fldCharType="begin"/>
            </w:r>
            <w:r w:rsidR="001378AF">
              <w:rPr>
                <w:noProof/>
                <w:webHidden/>
              </w:rPr>
              <w:instrText xml:space="preserve"> PAGEREF _Toc97123860 \h </w:instrText>
            </w:r>
            <w:r w:rsidR="001378AF">
              <w:rPr>
                <w:noProof/>
                <w:webHidden/>
              </w:rPr>
            </w:r>
            <w:r w:rsidR="001378AF">
              <w:rPr>
                <w:noProof/>
                <w:webHidden/>
              </w:rPr>
              <w:fldChar w:fldCharType="separate"/>
            </w:r>
            <w:r w:rsidR="001378AF">
              <w:rPr>
                <w:noProof/>
                <w:webHidden/>
              </w:rPr>
              <w:t>137</w:t>
            </w:r>
            <w:r w:rsidR="001378AF">
              <w:rPr>
                <w:noProof/>
                <w:webHidden/>
              </w:rPr>
              <w:fldChar w:fldCharType="end"/>
            </w:r>
          </w:hyperlink>
        </w:p>
        <w:p w14:paraId="0179824C" w14:textId="4B8205A4" w:rsidR="001378AF" w:rsidRDefault="00751C19">
          <w:pPr>
            <w:pStyle w:val="Sadraj1"/>
            <w:rPr>
              <w:rFonts w:eastAsiaTheme="minorEastAsia"/>
              <w:noProof/>
              <w:lang w:eastAsia="hr-HR"/>
            </w:rPr>
          </w:pPr>
          <w:hyperlink w:anchor="_Toc97123861" w:history="1">
            <w:r w:rsidR="001378AF" w:rsidRPr="007F0949">
              <w:rPr>
                <w:rStyle w:val="Hiperveza"/>
                <w:noProof/>
              </w:rPr>
              <w:t>6.1.5. Instrumenti u funkciji unaprjeđenja gradske uprave</w:t>
            </w:r>
            <w:r w:rsidR="001378AF">
              <w:rPr>
                <w:noProof/>
                <w:webHidden/>
              </w:rPr>
              <w:tab/>
            </w:r>
            <w:r w:rsidR="001378AF">
              <w:rPr>
                <w:noProof/>
                <w:webHidden/>
              </w:rPr>
              <w:fldChar w:fldCharType="begin"/>
            </w:r>
            <w:r w:rsidR="001378AF">
              <w:rPr>
                <w:noProof/>
                <w:webHidden/>
              </w:rPr>
              <w:instrText xml:space="preserve"> PAGEREF _Toc97123861 \h </w:instrText>
            </w:r>
            <w:r w:rsidR="001378AF">
              <w:rPr>
                <w:noProof/>
                <w:webHidden/>
              </w:rPr>
            </w:r>
            <w:r w:rsidR="001378AF">
              <w:rPr>
                <w:noProof/>
                <w:webHidden/>
              </w:rPr>
              <w:fldChar w:fldCharType="separate"/>
            </w:r>
            <w:r w:rsidR="001378AF">
              <w:rPr>
                <w:noProof/>
                <w:webHidden/>
              </w:rPr>
              <w:t>138</w:t>
            </w:r>
            <w:r w:rsidR="001378AF">
              <w:rPr>
                <w:noProof/>
                <w:webHidden/>
              </w:rPr>
              <w:fldChar w:fldCharType="end"/>
            </w:r>
          </w:hyperlink>
        </w:p>
        <w:p w14:paraId="2D883FC7" w14:textId="62FE40D9" w:rsidR="001378AF" w:rsidRDefault="00751C19">
          <w:pPr>
            <w:pStyle w:val="Sadraj1"/>
            <w:rPr>
              <w:rFonts w:eastAsiaTheme="minorEastAsia"/>
              <w:noProof/>
              <w:lang w:eastAsia="hr-HR"/>
            </w:rPr>
          </w:pPr>
          <w:hyperlink w:anchor="_Toc97123862" w:history="1">
            <w:r w:rsidR="001378AF" w:rsidRPr="007F0949">
              <w:rPr>
                <w:rStyle w:val="Hiperveza"/>
                <w:noProof/>
              </w:rPr>
              <w:t>6.2. URBANA SIGURNOST / SIGURNOSNI POKAZATELJI</w:t>
            </w:r>
            <w:r w:rsidR="001378AF">
              <w:rPr>
                <w:noProof/>
                <w:webHidden/>
              </w:rPr>
              <w:tab/>
            </w:r>
            <w:r w:rsidR="001378AF">
              <w:rPr>
                <w:noProof/>
                <w:webHidden/>
              </w:rPr>
              <w:fldChar w:fldCharType="begin"/>
            </w:r>
            <w:r w:rsidR="001378AF">
              <w:rPr>
                <w:noProof/>
                <w:webHidden/>
              </w:rPr>
              <w:instrText xml:space="preserve"> PAGEREF _Toc97123862 \h </w:instrText>
            </w:r>
            <w:r w:rsidR="001378AF">
              <w:rPr>
                <w:noProof/>
                <w:webHidden/>
              </w:rPr>
            </w:r>
            <w:r w:rsidR="001378AF">
              <w:rPr>
                <w:noProof/>
                <w:webHidden/>
              </w:rPr>
              <w:fldChar w:fldCharType="separate"/>
            </w:r>
            <w:r w:rsidR="001378AF">
              <w:rPr>
                <w:noProof/>
                <w:webHidden/>
              </w:rPr>
              <w:t>140</w:t>
            </w:r>
            <w:r w:rsidR="001378AF">
              <w:rPr>
                <w:noProof/>
                <w:webHidden/>
              </w:rPr>
              <w:fldChar w:fldCharType="end"/>
            </w:r>
          </w:hyperlink>
        </w:p>
        <w:p w14:paraId="5F03888A" w14:textId="6C71B91A" w:rsidR="001378AF" w:rsidRDefault="00751C19">
          <w:pPr>
            <w:pStyle w:val="Sadraj1"/>
            <w:rPr>
              <w:rFonts w:eastAsiaTheme="minorEastAsia"/>
              <w:noProof/>
              <w:lang w:eastAsia="hr-HR"/>
            </w:rPr>
          </w:pPr>
          <w:hyperlink w:anchor="_Toc97123863" w:history="1">
            <w:r w:rsidR="001378AF" w:rsidRPr="007F0949">
              <w:rPr>
                <w:rStyle w:val="Hiperveza"/>
                <w:noProof/>
              </w:rPr>
              <w:t>6.3. FINANCIJSKI IZVORI ZA RAZVOJNE PROJEKTE I ZA FUNKCIONIRANJE GRADA</w:t>
            </w:r>
            <w:r w:rsidR="001378AF">
              <w:rPr>
                <w:noProof/>
                <w:webHidden/>
              </w:rPr>
              <w:tab/>
            </w:r>
            <w:r w:rsidR="001378AF">
              <w:rPr>
                <w:noProof/>
                <w:webHidden/>
              </w:rPr>
              <w:fldChar w:fldCharType="begin"/>
            </w:r>
            <w:r w:rsidR="001378AF">
              <w:rPr>
                <w:noProof/>
                <w:webHidden/>
              </w:rPr>
              <w:instrText xml:space="preserve"> PAGEREF _Toc97123863 \h </w:instrText>
            </w:r>
            <w:r w:rsidR="001378AF">
              <w:rPr>
                <w:noProof/>
                <w:webHidden/>
              </w:rPr>
            </w:r>
            <w:r w:rsidR="001378AF">
              <w:rPr>
                <w:noProof/>
                <w:webHidden/>
              </w:rPr>
              <w:fldChar w:fldCharType="separate"/>
            </w:r>
            <w:r w:rsidR="001378AF">
              <w:rPr>
                <w:noProof/>
                <w:webHidden/>
              </w:rPr>
              <w:t>142</w:t>
            </w:r>
            <w:r w:rsidR="001378AF">
              <w:rPr>
                <w:noProof/>
                <w:webHidden/>
              </w:rPr>
              <w:fldChar w:fldCharType="end"/>
            </w:r>
          </w:hyperlink>
        </w:p>
        <w:p w14:paraId="2599F3E8" w14:textId="49FCEECE" w:rsidR="001378AF" w:rsidRDefault="00751C19">
          <w:pPr>
            <w:pStyle w:val="Sadraj1"/>
            <w:rPr>
              <w:rFonts w:eastAsiaTheme="minorEastAsia"/>
              <w:noProof/>
              <w:lang w:eastAsia="hr-HR"/>
            </w:rPr>
          </w:pPr>
          <w:hyperlink w:anchor="_Toc97123864" w:history="1">
            <w:r w:rsidR="001378AF" w:rsidRPr="007F0949">
              <w:rPr>
                <w:rStyle w:val="Hiperveza"/>
                <w:noProof/>
              </w:rPr>
              <w:t>6.4. REGIONALNA I MEĐUNARODNA SURADNJA</w:t>
            </w:r>
            <w:r w:rsidR="001378AF">
              <w:rPr>
                <w:noProof/>
                <w:webHidden/>
              </w:rPr>
              <w:tab/>
            </w:r>
            <w:r w:rsidR="001378AF">
              <w:rPr>
                <w:noProof/>
                <w:webHidden/>
              </w:rPr>
              <w:fldChar w:fldCharType="begin"/>
            </w:r>
            <w:r w:rsidR="001378AF">
              <w:rPr>
                <w:noProof/>
                <w:webHidden/>
              </w:rPr>
              <w:instrText xml:space="preserve"> PAGEREF _Toc97123864 \h </w:instrText>
            </w:r>
            <w:r w:rsidR="001378AF">
              <w:rPr>
                <w:noProof/>
                <w:webHidden/>
              </w:rPr>
            </w:r>
            <w:r w:rsidR="001378AF">
              <w:rPr>
                <w:noProof/>
                <w:webHidden/>
              </w:rPr>
              <w:fldChar w:fldCharType="separate"/>
            </w:r>
            <w:r w:rsidR="001378AF">
              <w:rPr>
                <w:noProof/>
                <w:webHidden/>
              </w:rPr>
              <w:t>143</w:t>
            </w:r>
            <w:r w:rsidR="001378AF">
              <w:rPr>
                <w:noProof/>
                <w:webHidden/>
              </w:rPr>
              <w:fldChar w:fldCharType="end"/>
            </w:r>
          </w:hyperlink>
        </w:p>
        <w:p w14:paraId="1E2EDE4E" w14:textId="6C6E3D46" w:rsidR="001378AF" w:rsidRDefault="00751C19">
          <w:pPr>
            <w:pStyle w:val="Sadraj1"/>
            <w:rPr>
              <w:rFonts w:eastAsiaTheme="minorEastAsia"/>
              <w:noProof/>
              <w:lang w:eastAsia="hr-HR"/>
            </w:rPr>
          </w:pPr>
          <w:hyperlink w:anchor="_Toc97123865" w:history="1">
            <w:r w:rsidR="001378AF" w:rsidRPr="007F0949">
              <w:rPr>
                <w:rStyle w:val="Hiperveza"/>
                <w:noProof/>
              </w:rPr>
              <w:t>6.4.1. Regionalna suradnja i koordinacija</w:t>
            </w:r>
            <w:r w:rsidR="001378AF">
              <w:rPr>
                <w:noProof/>
                <w:webHidden/>
              </w:rPr>
              <w:tab/>
            </w:r>
            <w:r w:rsidR="001378AF">
              <w:rPr>
                <w:noProof/>
                <w:webHidden/>
              </w:rPr>
              <w:fldChar w:fldCharType="begin"/>
            </w:r>
            <w:r w:rsidR="001378AF">
              <w:rPr>
                <w:noProof/>
                <w:webHidden/>
              </w:rPr>
              <w:instrText xml:space="preserve"> PAGEREF _Toc97123865 \h </w:instrText>
            </w:r>
            <w:r w:rsidR="001378AF">
              <w:rPr>
                <w:noProof/>
                <w:webHidden/>
              </w:rPr>
            </w:r>
            <w:r w:rsidR="001378AF">
              <w:rPr>
                <w:noProof/>
                <w:webHidden/>
              </w:rPr>
              <w:fldChar w:fldCharType="separate"/>
            </w:r>
            <w:r w:rsidR="001378AF">
              <w:rPr>
                <w:noProof/>
                <w:webHidden/>
              </w:rPr>
              <w:t>143</w:t>
            </w:r>
            <w:r w:rsidR="001378AF">
              <w:rPr>
                <w:noProof/>
                <w:webHidden/>
              </w:rPr>
              <w:fldChar w:fldCharType="end"/>
            </w:r>
          </w:hyperlink>
        </w:p>
        <w:p w14:paraId="071313B5" w14:textId="0AB3EBE8" w:rsidR="001378AF" w:rsidRDefault="00751C19">
          <w:pPr>
            <w:pStyle w:val="Sadraj1"/>
            <w:rPr>
              <w:rFonts w:eastAsiaTheme="minorEastAsia"/>
              <w:noProof/>
              <w:lang w:eastAsia="hr-HR"/>
            </w:rPr>
          </w:pPr>
          <w:hyperlink w:anchor="_Toc97123866" w:history="1">
            <w:r w:rsidR="001378AF" w:rsidRPr="007F0949">
              <w:rPr>
                <w:rStyle w:val="Hiperveza"/>
                <w:noProof/>
              </w:rPr>
              <w:t>6.4.2. Međunarodna suradnja</w:t>
            </w:r>
            <w:r w:rsidR="001378AF">
              <w:rPr>
                <w:noProof/>
                <w:webHidden/>
              </w:rPr>
              <w:tab/>
            </w:r>
            <w:r w:rsidR="001378AF">
              <w:rPr>
                <w:noProof/>
                <w:webHidden/>
              </w:rPr>
              <w:fldChar w:fldCharType="begin"/>
            </w:r>
            <w:r w:rsidR="001378AF">
              <w:rPr>
                <w:noProof/>
                <w:webHidden/>
              </w:rPr>
              <w:instrText xml:space="preserve"> PAGEREF _Toc97123866 \h </w:instrText>
            </w:r>
            <w:r w:rsidR="001378AF">
              <w:rPr>
                <w:noProof/>
                <w:webHidden/>
              </w:rPr>
            </w:r>
            <w:r w:rsidR="001378AF">
              <w:rPr>
                <w:noProof/>
                <w:webHidden/>
              </w:rPr>
              <w:fldChar w:fldCharType="separate"/>
            </w:r>
            <w:r w:rsidR="001378AF">
              <w:rPr>
                <w:noProof/>
                <w:webHidden/>
              </w:rPr>
              <w:t>145</w:t>
            </w:r>
            <w:r w:rsidR="001378AF">
              <w:rPr>
                <w:noProof/>
                <w:webHidden/>
              </w:rPr>
              <w:fldChar w:fldCharType="end"/>
            </w:r>
          </w:hyperlink>
        </w:p>
        <w:p w14:paraId="01E7B12B" w14:textId="2C2A2FF3" w:rsidR="001378AF" w:rsidRDefault="00751C19">
          <w:pPr>
            <w:pStyle w:val="Sadraj1"/>
            <w:rPr>
              <w:rFonts w:eastAsiaTheme="minorEastAsia"/>
              <w:noProof/>
              <w:lang w:eastAsia="hr-HR"/>
            </w:rPr>
          </w:pPr>
          <w:hyperlink w:anchor="_Toc97123867" w:history="1">
            <w:r w:rsidR="001378AF" w:rsidRPr="007F0949">
              <w:rPr>
                <w:rStyle w:val="Hiperveza"/>
                <w:noProof/>
              </w:rPr>
              <w:t>6.5. RAZVOJNI SEKTORSKI DOKUMENTI</w:t>
            </w:r>
            <w:r w:rsidR="001378AF">
              <w:rPr>
                <w:noProof/>
                <w:webHidden/>
              </w:rPr>
              <w:tab/>
            </w:r>
            <w:r w:rsidR="001378AF">
              <w:rPr>
                <w:noProof/>
                <w:webHidden/>
              </w:rPr>
              <w:fldChar w:fldCharType="begin"/>
            </w:r>
            <w:r w:rsidR="001378AF">
              <w:rPr>
                <w:noProof/>
                <w:webHidden/>
              </w:rPr>
              <w:instrText xml:space="preserve"> PAGEREF _Toc97123867 \h </w:instrText>
            </w:r>
            <w:r w:rsidR="001378AF">
              <w:rPr>
                <w:noProof/>
                <w:webHidden/>
              </w:rPr>
            </w:r>
            <w:r w:rsidR="001378AF">
              <w:rPr>
                <w:noProof/>
                <w:webHidden/>
              </w:rPr>
              <w:fldChar w:fldCharType="separate"/>
            </w:r>
            <w:r w:rsidR="001378AF">
              <w:rPr>
                <w:noProof/>
                <w:webHidden/>
              </w:rPr>
              <w:t>146</w:t>
            </w:r>
            <w:r w:rsidR="001378AF">
              <w:rPr>
                <w:noProof/>
                <w:webHidden/>
              </w:rPr>
              <w:fldChar w:fldCharType="end"/>
            </w:r>
          </w:hyperlink>
        </w:p>
        <w:p w14:paraId="30846AC1" w14:textId="379316BF" w:rsidR="001378AF" w:rsidRDefault="00751C19">
          <w:pPr>
            <w:pStyle w:val="Sadraj1"/>
            <w:rPr>
              <w:rFonts w:eastAsiaTheme="minorEastAsia"/>
              <w:noProof/>
              <w:lang w:eastAsia="hr-HR"/>
            </w:rPr>
          </w:pPr>
          <w:hyperlink w:anchor="_Toc97123868" w:history="1">
            <w:r w:rsidR="001378AF" w:rsidRPr="007F0949">
              <w:rPr>
                <w:rStyle w:val="Hiperveza"/>
                <w:noProof/>
              </w:rPr>
              <w:t>6.5.1. Razvojni sektorski planovi, programi, strategije</w:t>
            </w:r>
            <w:r w:rsidR="001378AF">
              <w:rPr>
                <w:noProof/>
                <w:webHidden/>
              </w:rPr>
              <w:tab/>
            </w:r>
            <w:r w:rsidR="001378AF">
              <w:rPr>
                <w:noProof/>
                <w:webHidden/>
              </w:rPr>
              <w:fldChar w:fldCharType="begin"/>
            </w:r>
            <w:r w:rsidR="001378AF">
              <w:rPr>
                <w:noProof/>
                <w:webHidden/>
              </w:rPr>
              <w:instrText xml:space="preserve"> PAGEREF _Toc97123868 \h </w:instrText>
            </w:r>
            <w:r w:rsidR="001378AF">
              <w:rPr>
                <w:noProof/>
                <w:webHidden/>
              </w:rPr>
            </w:r>
            <w:r w:rsidR="001378AF">
              <w:rPr>
                <w:noProof/>
                <w:webHidden/>
              </w:rPr>
              <w:fldChar w:fldCharType="separate"/>
            </w:r>
            <w:r w:rsidR="001378AF">
              <w:rPr>
                <w:noProof/>
                <w:webHidden/>
              </w:rPr>
              <w:t>146</w:t>
            </w:r>
            <w:r w:rsidR="001378AF">
              <w:rPr>
                <w:noProof/>
                <w:webHidden/>
              </w:rPr>
              <w:fldChar w:fldCharType="end"/>
            </w:r>
          </w:hyperlink>
        </w:p>
        <w:p w14:paraId="6300476E" w14:textId="63D40385" w:rsidR="001378AF" w:rsidRDefault="00751C19">
          <w:pPr>
            <w:pStyle w:val="Sadraj1"/>
            <w:rPr>
              <w:rFonts w:eastAsiaTheme="minorEastAsia"/>
              <w:noProof/>
              <w:lang w:eastAsia="hr-HR"/>
            </w:rPr>
          </w:pPr>
          <w:hyperlink w:anchor="_Toc97123869" w:history="1">
            <w:r w:rsidR="001378AF" w:rsidRPr="007F0949">
              <w:rPr>
                <w:rStyle w:val="Hiperveza"/>
                <w:noProof/>
              </w:rPr>
              <w:t>6.5.2. Sustav planiranja i upravljanja glavnim razvojnim projektima</w:t>
            </w:r>
            <w:r w:rsidR="001378AF">
              <w:rPr>
                <w:noProof/>
                <w:webHidden/>
              </w:rPr>
              <w:tab/>
            </w:r>
            <w:r w:rsidR="001378AF">
              <w:rPr>
                <w:noProof/>
                <w:webHidden/>
              </w:rPr>
              <w:fldChar w:fldCharType="begin"/>
            </w:r>
            <w:r w:rsidR="001378AF">
              <w:rPr>
                <w:noProof/>
                <w:webHidden/>
              </w:rPr>
              <w:instrText xml:space="preserve"> PAGEREF _Toc97123869 \h </w:instrText>
            </w:r>
            <w:r w:rsidR="001378AF">
              <w:rPr>
                <w:noProof/>
                <w:webHidden/>
              </w:rPr>
            </w:r>
            <w:r w:rsidR="001378AF">
              <w:rPr>
                <w:noProof/>
                <w:webHidden/>
              </w:rPr>
              <w:fldChar w:fldCharType="separate"/>
            </w:r>
            <w:r w:rsidR="001378AF">
              <w:rPr>
                <w:noProof/>
                <w:webHidden/>
              </w:rPr>
              <w:t>146</w:t>
            </w:r>
            <w:r w:rsidR="001378AF">
              <w:rPr>
                <w:noProof/>
                <w:webHidden/>
              </w:rPr>
              <w:fldChar w:fldCharType="end"/>
            </w:r>
          </w:hyperlink>
        </w:p>
        <w:p w14:paraId="1CC12539" w14:textId="691B45D4" w:rsidR="001378AF" w:rsidRDefault="00751C19">
          <w:pPr>
            <w:pStyle w:val="Sadraj1"/>
            <w:rPr>
              <w:rFonts w:eastAsiaTheme="minorEastAsia"/>
              <w:noProof/>
              <w:lang w:eastAsia="hr-HR"/>
            </w:rPr>
          </w:pPr>
          <w:hyperlink w:anchor="_Toc97123870" w:history="1">
            <w:r w:rsidR="001378AF" w:rsidRPr="007F0949">
              <w:rPr>
                <w:rStyle w:val="Hiperveza"/>
                <w:noProof/>
              </w:rPr>
              <w:t>6.5.3. Korištenje sredstava EU fondova i EU projekti Grada Zagreba</w:t>
            </w:r>
            <w:r w:rsidR="001378AF">
              <w:rPr>
                <w:noProof/>
                <w:webHidden/>
              </w:rPr>
              <w:tab/>
            </w:r>
            <w:r w:rsidR="001378AF">
              <w:rPr>
                <w:noProof/>
                <w:webHidden/>
              </w:rPr>
              <w:fldChar w:fldCharType="begin"/>
            </w:r>
            <w:r w:rsidR="001378AF">
              <w:rPr>
                <w:noProof/>
                <w:webHidden/>
              </w:rPr>
              <w:instrText xml:space="preserve"> PAGEREF _Toc97123870 \h </w:instrText>
            </w:r>
            <w:r w:rsidR="001378AF">
              <w:rPr>
                <w:noProof/>
                <w:webHidden/>
              </w:rPr>
            </w:r>
            <w:r w:rsidR="001378AF">
              <w:rPr>
                <w:noProof/>
                <w:webHidden/>
              </w:rPr>
              <w:fldChar w:fldCharType="separate"/>
            </w:r>
            <w:r w:rsidR="001378AF">
              <w:rPr>
                <w:noProof/>
                <w:webHidden/>
              </w:rPr>
              <w:t>147</w:t>
            </w:r>
            <w:r w:rsidR="001378AF">
              <w:rPr>
                <w:noProof/>
                <w:webHidden/>
              </w:rPr>
              <w:fldChar w:fldCharType="end"/>
            </w:r>
          </w:hyperlink>
        </w:p>
        <w:p w14:paraId="38BDC284" w14:textId="4ABD48C0" w:rsidR="001378AF" w:rsidRDefault="00751C19">
          <w:pPr>
            <w:pStyle w:val="Sadraj1"/>
            <w:rPr>
              <w:rFonts w:eastAsiaTheme="minorEastAsia"/>
              <w:noProof/>
              <w:lang w:eastAsia="hr-HR"/>
            </w:rPr>
          </w:pPr>
          <w:hyperlink w:anchor="_Toc97123871" w:history="1">
            <w:r w:rsidR="001378AF" w:rsidRPr="007F0949">
              <w:rPr>
                <w:rStyle w:val="Hiperveza"/>
                <w:noProof/>
                <w:lang w:bidi="hi-IN"/>
              </w:rPr>
              <w:t>6.5.4. Strateške zone</w:t>
            </w:r>
            <w:r w:rsidR="001378AF">
              <w:rPr>
                <w:noProof/>
                <w:webHidden/>
              </w:rPr>
              <w:tab/>
            </w:r>
            <w:r w:rsidR="001378AF">
              <w:rPr>
                <w:noProof/>
                <w:webHidden/>
              </w:rPr>
              <w:fldChar w:fldCharType="begin"/>
            </w:r>
            <w:r w:rsidR="001378AF">
              <w:rPr>
                <w:noProof/>
                <w:webHidden/>
              </w:rPr>
              <w:instrText xml:space="preserve"> PAGEREF _Toc97123871 \h </w:instrText>
            </w:r>
            <w:r w:rsidR="001378AF">
              <w:rPr>
                <w:noProof/>
                <w:webHidden/>
              </w:rPr>
            </w:r>
            <w:r w:rsidR="001378AF">
              <w:rPr>
                <w:noProof/>
                <w:webHidden/>
              </w:rPr>
              <w:fldChar w:fldCharType="separate"/>
            </w:r>
            <w:r w:rsidR="001378AF">
              <w:rPr>
                <w:noProof/>
                <w:webHidden/>
              </w:rPr>
              <w:t>152</w:t>
            </w:r>
            <w:r w:rsidR="001378AF">
              <w:rPr>
                <w:noProof/>
                <w:webHidden/>
              </w:rPr>
              <w:fldChar w:fldCharType="end"/>
            </w:r>
          </w:hyperlink>
        </w:p>
        <w:p w14:paraId="62DC0E61" w14:textId="46348B55" w:rsidR="001378AF" w:rsidRDefault="00751C19">
          <w:pPr>
            <w:pStyle w:val="Sadraj1"/>
            <w:rPr>
              <w:rFonts w:eastAsiaTheme="minorEastAsia"/>
              <w:noProof/>
              <w:lang w:eastAsia="hr-HR"/>
            </w:rPr>
          </w:pPr>
          <w:hyperlink w:anchor="_Toc97123872" w:history="1">
            <w:r w:rsidR="001378AF" w:rsidRPr="007F0949">
              <w:rPr>
                <w:rStyle w:val="Hiperveza"/>
                <w:noProof/>
              </w:rPr>
              <w:t>SWOT ANALIZA</w:t>
            </w:r>
            <w:r w:rsidR="001378AF">
              <w:rPr>
                <w:noProof/>
                <w:webHidden/>
              </w:rPr>
              <w:tab/>
            </w:r>
            <w:r w:rsidR="001378AF">
              <w:rPr>
                <w:noProof/>
                <w:webHidden/>
              </w:rPr>
              <w:fldChar w:fldCharType="begin"/>
            </w:r>
            <w:r w:rsidR="001378AF">
              <w:rPr>
                <w:noProof/>
                <w:webHidden/>
              </w:rPr>
              <w:instrText xml:space="preserve"> PAGEREF _Toc97123872 \h </w:instrText>
            </w:r>
            <w:r w:rsidR="001378AF">
              <w:rPr>
                <w:noProof/>
                <w:webHidden/>
              </w:rPr>
            </w:r>
            <w:r w:rsidR="001378AF">
              <w:rPr>
                <w:noProof/>
                <w:webHidden/>
              </w:rPr>
              <w:fldChar w:fldCharType="separate"/>
            </w:r>
            <w:r w:rsidR="001378AF">
              <w:rPr>
                <w:noProof/>
                <w:webHidden/>
              </w:rPr>
              <w:t>158</w:t>
            </w:r>
            <w:r w:rsidR="001378AF">
              <w:rPr>
                <w:noProof/>
                <w:webHidden/>
              </w:rPr>
              <w:fldChar w:fldCharType="end"/>
            </w:r>
          </w:hyperlink>
        </w:p>
        <w:p w14:paraId="2F208392" w14:textId="2FE7B3F3" w:rsidR="001378AF" w:rsidRDefault="00751C19">
          <w:pPr>
            <w:pStyle w:val="Sadraj1"/>
            <w:rPr>
              <w:rFonts w:eastAsiaTheme="minorEastAsia"/>
              <w:noProof/>
              <w:lang w:eastAsia="hr-HR"/>
            </w:rPr>
          </w:pPr>
          <w:hyperlink w:anchor="_Toc97123873" w:history="1">
            <w:r w:rsidR="001378AF" w:rsidRPr="007F0949">
              <w:rPr>
                <w:rStyle w:val="Hiperveza"/>
                <w:noProof/>
              </w:rPr>
              <w:t>SWOT - Društvo (društvene djelatnosti, prava i participacija građana, upravljanje razvojem)</w:t>
            </w:r>
            <w:r w:rsidR="001378AF">
              <w:rPr>
                <w:noProof/>
                <w:webHidden/>
              </w:rPr>
              <w:tab/>
            </w:r>
            <w:r w:rsidR="001378AF">
              <w:rPr>
                <w:noProof/>
                <w:webHidden/>
              </w:rPr>
              <w:fldChar w:fldCharType="begin"/>
            </w:r>
            <w:r w:rsidR="001378AF">
              <w:rPr>
                <w:noProof/>
                <w:webHidden/>
              </w:rPr>
              <w:instrText xml:space="preserve"> PAGEREF _Toc97123873 \h </w:instrText>
            </w:r>
            <w:r w:rsidR="001378AF">
              <w:rPr>
                <w:noProof/>
                <w:webHidden/>
              </w:rPr>
            </w:r>
            <w:r w:rsidR="001378AF">
              <w:rPr>
                <w:noProof/>
                <w:webHidden/>
              </w:rPr>
              <w:fldChar w:fldCharType="separate"/>
            </w:r>
            <w:r w:rsidR="001378AF">
              <w:rPr>
                <w:noProof/>
                <w:webHidden/>
              </w:rPr>
              <w:t>158</w:t>
            </w:r>
            <w:r w:rsidR="001378AF">
              <w:rPr>
                <w:noProof/>
                <w:webHidden/>
              </w:rPr>
              <w:fldChar w:fldCharType="end"/>
            </w:r>
          </w:hyperlink>
        </w:p>
        <w:p w14:paraId="0D6433D6" w14:textId="14E270B9" w:rsidR="001378AF" w:rsidRDefault="00751C19">
          <w:pPr>
            <w:pStyle w:val="Sadraj1"/>
            <w:rPr>
              <w:rFonts w:eastAsiaTheme="minorEastAsia"/>
              <w:noProof/>
              <w:lang w:eastAsia="hr-HR"/>
            </w:rPr>
          </w:pPr>
          <w:hyperlink w:anchor="_Toc97123874" w:history="1">
            <w:r w:rsidR="001378AF" w:rsidRPr="007F0949">
              <w:rPr>
                <w:rStyle w:val="Hiperveza"/>
                <w:noProof/>
              </w:rPr>
              <w:t>SWOT – Gospodarstvo  (gospodarske djelatnosti i infrastruktura, institucionalni okvir)</w:t>
            </w:r>
            <w:r w:rsidR="001378AF">
              <w:rPr>
                <w:noProof/>
                <w:webHidden/>
              </w:rPr>
              <w:tab/>
            </w:r>
            <w:r w:rsidR="001378AF">
              <w:rPr>
                <w:noProof/>
                <w:webHidden/>
              </w:rPr>
              <w:fldChar w:fldCharType="begin"/>
            </w:r>
            <w:r w:rsidR="001378AF">
              <w:rPr>
                <w:noProof/>
                <w:webHidden/>
              </w:rPr>
              <w:instrText xml:space="preserve"> PAGEREF _Toc97123874 \h </w:instrText>
            </w:r>
            <w:r w:rsidR="001378AF">
              <w:rPr>
                <w:noProof/>
                <w:webHidden/>
              </w:rPr>
            </w:r>
            <w:r w:rsidR="001378AF">
              <w:rPr>
                <w:noProof/>
                <w:webHidden/>
              </w:rPr>
              <w:fldChar w:fldCharType="separate"/>
            </w:r>
            <w:r w:rsidR="001378AF">
              <w:rPr>
                <w:noProof/>
                <w:webHidden/>
              </w:rPr>
              <w:t>161</w:t>
            </w:r>
            <w:r w:rsidR="001378AF">
              <w:rPr>
                <w:noProof/>
                <w:webHidden/>
              </w:rPr>
              <w:fldChar w:fldCharType="end"/>
            </w:r>
          </w:hyperlink>
        </w:p>
        <w:p w14:paraId="58254A45" w14:textId="11DF67DE" w:rsidR="001378AF" w:rsidRDefault="00751C19">
          <w:pPr>
            <w:pStyle w:val="Sadraj1"/>
            <w:rPr>
              <w:rFonts w:eastAsiaTheme="minorEastAsia"/>
              <w:noProof/>
              <w:lang w:eastAsia="hr-HR"/>
            </w:rPr>
          </w:pPr>
          <w:hyperlink w:anchor="_Toc97123875" w:history="1">
            <w:r w:rsidR="001378AF" w:rsidRPr="007F0949">
              <w:rPr>
                <w:rStyle w:val="Hiperveza"/>
                <w:noProof/>
              </w:rPr>
              <w:t>SWOT - Prostor  (prostorni resursi i upravljanje prostorom, komunalna i prometna infrastruktura)</w:t>
            </w:r>
            <w:r w:rsidR="001378AF">
              <w:rPr>
                <w:noProof/>
                <w:webHidden/>
              </w:rPr>
              <w:tab/>
            </w:r>
            <w:r w:rsidR="001378AF">
              <w:rPr>
                <w:noProof/>
                <w:webHidden/>
              </w:rPr>
              <w:fldChar w:fldCharType="begin"/>
            </w:r>
            <w:r w:rsidR="001378AF">
              <w:rPr>
                <w:noProof/>
                <w:webHidden/>
              </w:rPr>
              <w:instrText xml:space="preserve"> PAGEREF _Toc97123875 \h </w:instrText>
            </w:r>
            <w:r w:rsidR="001378AF">
              <w:rPr>
                <w:noProof/>
                <w:webHidden/>
              </w:rPr>
            </w:r>
            <w:r w:rsidR="001378AF">
              <w:rPr>
                <w:noProof/>
                <w:webHidden/>
              </w:rPr>
              <w:fldChar w:fldCharType="separate"/>
            </w:r>
            <w:r w:rsidR="001378AF">
              <w:rPr>
                <w:noProof/>
                <w:webHidden/>
              </w:rPr>
              <w:t>165</w:t>
            </w:r>
            <w:r w:rsidR="001378AF">
              <w:rPr>
                <w:noProof/>
                <w:webHidden/>
              </w:rPr>
              <w:fldChar w:fldCharType="end"/>
            </w:r>
          </w:hyperlink>
        </w:p>
        <w:p w14:paraId="299F1561" w14:textId="4C912C46" w:rsidR="001378AF" w:rsidRDefault="00751C19">
          <w:pPr>
            <w:pStyle w:val="Sadraj1"/>
            <w:rPr>
              <w:rFonts w:eastAsiaTheme="minorEastAsia"/>
              <w:noProof/>
              <w:lang w:eastAsia="hr-HR"/>
            </w:rPr>
          </w:pPr>
          <w:hyperlink w:anchor="_Toc97123876" w:history="1">
            <w:r w:rsidR="001378AF" w:rsidRPr="007F0949">
              <w:rPr>
                <w:rStyle w:val="Hiperveza"/>
                <w:noProof/>
              </w:rPr>
              <w:t>SWOT – Okoliš</w:t>
            </w:r>
            <w:r w:rsidR="001378AF">
              <w:rPr>
                <w:noProof/>
                <w:webHidden/>
              </w:rPr>
              <w:tab/>
            </w:r>
            <w:r w:rsidR="001378AF">
              <w:rPr>
                <w:noProof/>
                <w:webHidden/>
              </w:rPr>
              <w:fldChar w:fldCharType="begin"/>
            </w:r>
            <w:r w:rsidR="001378AF">
              <w:rPr>
                <w:noProof/>
                <w:webHidden/>
              </w:rPr>
              <w:instrText xml:space="preserve"> PAGEREF _Toc97123876 \h </w:instrText>
            </w:r>
            <w:r w:rsidR="001378AF">
              <w:rPr>
                <w:noProof/>
                <w:webHidden/>
              </w:rPr>
            </w:r>
            <w:r w:rsidR="001378AF">
              <w:rPr>
                <w:noProof/>
                <w:webHidden/>
              </w:rPr>
              <w:fldChar w:fldCharType="separate"/>
            </w:r>
            <w:r w:rsidR="001378AF">
              <w:rPr>
                <w:noProof/>
                <w:webHidden/>
              </w:rPr>
              <w:t>170</w:t>
            </w:r>
            <w:r w:rsidR="001378AF">
              <w:rPr>
                <w:noProof/>
                <w:webHidden/>
              </w:rPr>
              <w:fldChar w:fldCharType="end"/>
            </w:r>
          </w:hyperlink>
        </w:p>
        <w:p w14:paraId="22B8EBE4" w14:textId="785C4AF3" w:rsidR="006A5709" w:rsidRPr="001378AF" w:rsidRDefault="006A5709">
          <w:r>
            <w:rPr>
              <w:b/>
              <w:bCs/>
            </w:rPr>
            <w:fldChar w:fldCharType="end"/>
          </w:r>
        </w:p>
      </w:sdtContent>
    </w:sdt>
    <w:p w14:paraId="45222F84" w14:textId="07B43E19" w:rsidR="00B24871" w:rsidRDefault="00B24871">
      <w:pPr>
        <w:rPr>
          <w:rFonts w:ascii="Calibri" w:eastAsia="Calibri" w:hAnsi="Calibri" w:cs="Times New Roman"/>
          <w:b/>
          <w:bCs/>
          <w:color w:val="0070C0"/>
          <w:kern w:val="32"/>
          <w:sz w:val="28"/>
          <w:szCs w:val="28"/>
          <w:lang w:eastAsia="hr-HR"/>
        </w:rPr>
      </w:pPr>
    </w:p>
    <w:p w14:paraId="361A58C9" w14:textId="683B4710" w:rsidR="00205F96" w:rsidRDefault="00205F96" w:rsidP="001978C6">
      <w:pPr>
        <w:sectPr w:rsidR="00205F96" w:rsidSect="0054047D">
          <w:footerReference w:type="default" r:id="rId8"/>
          <w:type w:val="continuous"/>
          <w:pgSz w:w="11906" w:h="16838"/>
          <w:pgMar w:top="567" w:right="1417" w:bottom="1417" w:left="1417" w:header="708" w:footer="708" w:gutter="0"/>
          <w:pgNumType w:start="1" w:chapStyle="1"/>
          <w:cols w:space="708"/>
          <w:titlePg/>
          <w:docGrid w:linePitch="360"/>
        </w:sectPr>
      </w:pPr>
    </w:p>
    <w:p w14:paraId="621D37C2" w14:textId="39275797" w:rsidR="006A0206" w:rsidRPr="006A0206" w:rsidRDefault="006A0206" w:rsidP="002137CD">
      <w:pPr>
        <w:pStyle w:val="Stil1"/>
        <w:rPr>
          <w:rStyle w:val="Istaknutareferenca"/>
          <w:b/>
          <w:bCs/>
          <w:smallCaps w:val="0"/>
          <w:color w:val="0070C0"/>
          <w:spacing w:val="0"/>
        </w:rPr>
      </w:pPr>
      <w:bookmarkStart w:id="1" w:name="_Toc97123772"/>
      <w:r w:rsidRPr="006A0206">
        <w:rPr>
          <w:rStyle w:val="Istaknutareferenca"/>
          <w:b/>
          <w:bCs/>
          <w:smallCaps w:val="0"/>
          <w:color w:val="0070C0"/>
          <w:spacing w:val="0"/>
        </w:rPr>
        <w:lastRenderedPageBreak/>
        <w:t>ANALIZA STANJA</w:t>
      </w:r>
      <w:bookmarkEnd w:id="1"/>
    </w:p>
    <w:p w14:paraId="287874B7" w14:textId="0202B3A3" w:rsidR="00C17261" w:rsidRPr="00CD14A3" w:rsidRDefault="00C17261" w:rsidP="00BA4CA0">
      <w:pPr>
        <w:pStyle w:val="Stil1"/>
        <w:rPr>
          <w:rStyle w:val="Istaknutareferenca"/>
          <w:b/>
          <w:bCs/>
          <w:smallCaps w:val="0"/>
          <w:color w:val="0070C0"/>
          <w:spacing w:val="0"/>
        </w:rPr>
      </w:pPr>
      <w:bookmarkStart w:id="2" w:name="_Toc97123773"/>
      <w:r w:rsidRPr="00CD14A3">
        <w:rPr>
          <w:rStyle w:val="Istaknutareferenca"/>
          <w:b/>
          <w:bCs/>
          <w:smallCaps w:val="0"/>
          <w:color w:val="0070C0"/>
          <w:spacing w:val="0"/>
        </w:rPr>
        <w:t xml:space="preserve">1. </w:t>
      </w:r>
      <w:r w:rsidR="000438CA" w:rsidRPr="00CD14A3">
        <w:rPr>
          <w:rStyle w:val="Istaknutareferenca"/>
          <w:b/>
          <w:bCs/>
          <w:smallCaps w:val="0"/>
          <w:color w:val="0070C0"/>
          <w:spacing w:val="0"/>
        </w:rPr>
        <w:t>OSNOVNI PODACI O GRADU</w:t>
      </w:r>
      <w:bookmarkEnd w:id="2"/>
    </w:p>
    <w:p w14:paraId="302251AB" w14:textId="09E25824" w:rsidR="00C17261" w:rsidRPr="00BA4CA0" w:rsidRDefault="00C17261" w:rsidP="00BA4CA0">
      <w:pPr>
        <w:pStyle w:val="Stil2"/>
        <w:rPr>
          <w:rStyle w:val="Istaknutareferenca"/>
          <w:b/>
          <w:bCs/>
          <w:smallCaps w:val="0"/>
          <w:color w:val="0070C0"/>
          <w:spacing w:val="0"/>
        </w:rPr>
      </w:pPr>
      <w:bookmarkStart w:id="3" w:name="_Toc97123774"/>
      <w:r w:rsidRPr="00BA4CA0">
        <w:rPr>
          <w:rStyle w:val="Istaknutareferenca"/>
          <w:b/>
          <w:bCs/>
          <w:smallCaps w:val="0"/>
          <w:color w:val="0070C0"/>
          <w:spacing w:val="0"/>
        </w:rPr>
        <w:t>1.1. GEOGRAFSKA, KULTURNA I PRIRODNA OBILJEŽJA GRADA ZAGREBA</w:t>
      </w:r>
      <w:bookmarkEnd w:id="3"/>
    </w:p>
    <w:p w14:paraId="2FA3E803" w14:textId="3CE51E26" w:rsidR="00C17261" w:rsidRDefault="00C17261" w:rsidP="00BA4CA0">
      <w:pPr>
        <w:pStyle w:val="Stil2"/>
        <w:rPr>
          <w:rStyle w:val="Istaknutareferenca"/>
          <w:b/>
          <w:bCs/>
          <w:smallCaps w:val="0"/>
          <w:color w:val="0070C0"/>
          <w:spacing w:val="0"/>
        </w:rPr>
      </w:pPr>
      <w:bookmarkStart w:id="4" w:name="_Toc97123775"/>
      <w:r w:rsidRPr="00BA4CA0">
        <w:rPr>
          <w:rStyle w:val="Istaknutareferenca"/>
          <w:b/>
          <w:bCs/>
          <w:smallCaps w:val="0"/>
          <w:color w:val="0070C0"/>
          <w:spacing w:val="0"/>
        </w:rPr>
        <w:t>1.1.1. Geoprometni položaj i osnovna obilježja Grada Zagreba</w:t>
      </w:r>
      <w:bookmarkEnd w:id="4"/>
      <w:r w:rsidRPr="00BA4CA0">
        <w:rPr>
          <w:rStyle w:val="Istaknutareferenca"/>
          <w:b/>
          <w:bCs/>
          <w:smallCaps w:val="0"/>
          <w:color w:val="0070C0"/>
          <w:spacing w:val="0"/>
        </w:rPr>
        <w:t xml:space="preserve"> </w:t>
      </w:r>
    </w:p>
    <w:p w14:paraId="72FE1530" w14:textId="77777777" w:rsidR="00696143" w:rsidRDefault="00696143" w:rsidP="00696143">
      <w:pPr>
        <w:spacing w:after="200" w:line="240" w:lineRule="auto"/>
        <w:jc w:val="both"/>
        <w:rPr>
          <w:rFonts w:ascii="Calibri" w:eastAsia="Calibri" w:hAnsi="Calibri" w:cs="Calibri"/>
          <w:bCs/>
        </w:rPr>
      </w:pPr>
      <w:r w:rsidRPr="00B42611">
        <w:rPr>
          <w:rFonts w:ascii="Calibri" w:eastAsia="Calibri" w:hAnsi="Calibri" w:cs="Calibri"/>
        </w:rPr>
        <w:t>Grad Zagreb je samostalna, jedinstvena teritorijalna i upravna jedinica sa statusom županije.</w:t>
      </w:r>
      <w:r>
        <w:rPr>
          <w:rFonts w:ascii="Calibri" w:eastAsia="Calibri" w:hAnsi="Calibri" w:cs="Calibri"/>
        </w:rPr>
        <w:t xml:space="preserve"> P</w:t>
      </w:r>
      <w:r w:rsidRPr="001141A9">
        <w:rPr>
          <w:rFonts w:ascii="Calibri" w:eastAsia="Calibri" w:hAnsi="Calibri" w:cs="Calibri"/>
        </w:rPr>
        <w:t>ovršinom zauzima 641,32 km2  što čini 1,13% površine Republike Hrvatske</w:t>
      </w:r>
      <w:r>
        <w:rPr>
          <w:rFonts w:ascii="Calibri" w:eastAsia="Calibri" w:hAnsi="Calibri" w:cs="Calibri"/>
        </w:rPr>
        <w:t>. Procijenjeno je da u Gradu Zagrebu živi 807.254 stanovnika</w:t>
      </w:r>
      <w:r>
        <w:rPr>
          <w:rStyle w:val="Referencafusnote"/>
          <w:rFonts w:ascii="Calibri" w:eastAsia="Calibri" w:hAnsi="Calibri" w:cs="Calibri"/>
        </w:rPr>
        <w:footnoteReference w:id="1"/>
      </w:r>
      <w:r>
        <w:rPr>
          <w:rFonts w:ascii="Calibri" w:eastAsia="Calibri" w:hAnsi="Calibri" w:cs="Calibri"/>
        </w:rPr>
        <w:t xml:space="preserve"> u </w:t>
      </w:r>
      <w:r w:rsidRPr="001141A9">
        <w:rPr>
          <w:rFonts w:ascii="Calibri" w:eastAsia="Calibri" w:hAnsi="Calibri" w:cs="Calibri"/>
        </w:rPr>
        <w:t>68 naselja</w:t>
      </w:r>
      <w:r>
        <w:rPr>
          <w:rStyle w:val="Referencafusnote"/>
          <w:rFonts w:ascii="Calibri" w:eastAsia="Calibri" w:hAnsi="Calibri" w:cs="Calibri"/>
        </w:rPr>
        <w:footnoteReference w:id="2"/>
      </w:r>
      <w:r>
        <w:rPr>
          <w:rFonts w:ascii="Calibri" w:eastAsia="Calibri" w:hAnsi="Calibri" w:cs="Calibri"/>
        </w:rPr>
        <w:t xml:space="preserve">. </w:t>
      </w:r>
      <w:r w:rsidRPr="00B42611">
        <w:rPr>
          <w:rFonts w:ascii="Calibri" w:eastAsia="Calibri" w:hAnsi="Calibri" w:cs="Calibri"/>
        </w:rPr>
        <w:t xml:space="preserve">Graniči sa Zagrebačkom i Krapinsko-zagorskom županijom. </w:t>
      </w:r>
      <w:r w:rsidRPr="00B42611">
        <w:rPr>
          <w:rFonts w:ascii="Calibri" w:eastAsia="Calibri" w:hAnsi="Calibri" w:cs="Calibri"/>
          <w:bCs/>
        </w:rPr>
        <w:t xml:space="preserve">Položaj Zagreba u srednjoeuropskom prostoru obilježava međuodnos tri najveća grada koja povezuje povijest i sadašnjost: Zagreba, Beča i Budimpešte. Potreba za povezivanjem srednjoeuropskog prostora s Jadranskim morem čini </w:t>
      </w:r>
      <w:r>
        <w:rPr>
          <w:rFonts w:ascii="Calibri" w:eastAsia="Calibri" w:hAnsi="Calibri" w:cs="Calibri"/>
          <w:bCs/>
        </w:rPr>
        <w:t>ga</w:t>
      </w:r>
      <w:r w:rsidRPr="00B42611">
        <w:rPr>
          <w:rFonts w:ascii="Calibri" w:eastAsia="Calibri" w:hAnsi="Calibri" w:cs="Calibri"/>
          <w:bCs/>
        </w:rPr>
        <w:t xml:space="preserve"> jed</w:t>
      </w:r>
      <w:r>
        <w:rPr>
          <w:rFonts w:ascii="Calibri" w:eastAsia="Calibri" w:hAnsi="Calibri" w:cs="Calibri"/>
          <w:bCs/>
        </w:rPr>
        <w:t>nim</w:t>
      </w:r>
      <w:r w:rsidRPr="00B42611">
        <w:rPr>
          <w:rFonts w:ascii="Calibri" w:eastAsia="Calibri" w:hAnsi="Calibri" w:cs="Calibri"/>
          <w:bCs/>
        </w:rPr>
        <w:t xml:space="preserve"> od najistaknutijih zajedničkih interesa.</w:t>
      </w:r>
    </w:p>
    <w:p w14:paraId="666C4C7D" w14:textId="77777777" w:rsidR="00C17261" w:rsidRPr="00B42611" w:rsidRDefault="00C17261" w:rsidP="00C17261">
      <w:pPr>
        <w:spacing w:after="200" w:line="240" w:lineRule="auto"/>
        <w:jc w:val="both"/>
        <w:rPr>
          <w:rFonts w:ascii="Calibri" w:eastAsia="Calibri" w:hAnsi="Calibri" w:cs="Calibri"/>
          <w:bCs/>
        </w:rPr>
      </w:pPr>
      <w:r w:rsidRPr="00B42611">
        <w:rPr>
          <w:rFonts w:ascii="Calibri" w:eastAsia="Calibri" w:hAnsi="Calibri" w:cs="Calibri"/>
          <w:b/>
          <w:bCs/>
        </w:rPr>
        <w:t>Povezanost s europskim prostorom</w:t>
      </w:r>
      <w:r w:rsidRPr="00B42611">
        <w:rPr>
          <w:rFonts w:ascii="Calibri" w:eastAsia="Calibri" w:hAnsi="Calibri" w:cs="Calibri"/>
          <w:bCs/>
        </w:rPr>
        <w:t>.</w:t>
      </w:r>
      <w:r w:rsidRPr="00B42611">
        <w:rPr>
          <w:rFonts w:ascii="Calibri" w:eastAsia="Calibri" w:hAnsi="Calibri" w:cs="Calibri"/>
          <w:b/>
        </w:rPr>
        <w:t xml:space="preserve"> </w:t>
      </w:r>
      <w:r w:rsidRPr="00B42611">
        <w:rPr>
          <w:rFonts w:ascii="Calibri" w:eastAsia="Calibri" w:hAnsi="Calibri" w:cs="Calibri"/>
        </w:rPr>
        <w:t>Grad Zagreb nalazi se na Mediteranskom koridoru</w:t>
      </w:r>
      <w:r w:rsidRPr="00B42611">
        <w:rPr>
          <w:rFonts w:ascii="Calibri" w:eastAsia="Calibri" w:hAnsi="Calibri" w:cs="Calibri"/>
          <w:vertAlign w:val="superscript"/>
        </w:rPr>
        <w:footnoteReference w:id="3"/>
      </w:r>
      <w:r w:rsidRPr="00B42611">
        <w:rPr>
          <w:rFonts w:ascii="Calibri" w:eastAsia="Calibri" w:hAnsi="Calibri" w:cs="Calibri"/>
        </w:rPr>
        <w:t>: X-(Salzburg – Ljubljana – Zagreb – Thessaloniki), i Vb (Rijeka – Zagreb – Budimpešta). Mreža autocesta približila je Hrvatsku Europi i pozitivno utjecala na regionalnu integraciju Hrvatske sa Zagrebom kao nacionalnim središtem. Sve hrvatske autoceste (A1,</w:t>
      </w:r>
      <w:r>
        <w:rPr>
          <w:rFonts w:ascii="Calibri" w:eastAsia="Calibri" w:hAnsi="Calibri" w:cs="Calibri"/>
        </w:rPr>
        <w:t xml:space="preserve"> A2, </w:t>
      </w:r>
      <w:r w:rsidRPr="00B42611">
        <w:rPr>
          <w:rFonts w:ascii="Calibri" w:eastAsia="Calibri" w:hAnsi="Calibri" w:cs="Calibri"/>
        </w:rPr>
        <w:t>A3, A4, A6 i A11) imaju svoje ishodište na Zagrebačkoj obilaznici.</w:t>
      </w:r>
      <w:r>
        <w:rPr>
          <w:rFonts w:ascii="Calibri" w:eastAsia="Calibri" w:hAnsi="Calibri" w:cs="Calibri"/>
        </w:rPr>
        <w:t xml:space="preserve"> </w:t>
      </w:r>
    </w:p>
    <w:p w14:paraId="63BF513E" w14:textId="7279B5E7" w:rsidR="00C17261" w:rsidRPr="00B42611" w:rsidRDefault="00696143" w:rsidP="00C17261">
      <w:pPr>
        <w:tabs>
          <w:tab w:val="left" w:pos="-720"/>
        </w:tabs>
        <w:suppressAutoHyphens/>
        <w:spacing w:after="200" w:line="240" w:lineRule="auto"/>
        <w:ind w:right="-2"/>
        <w:jc w:val="both"/>
        <w:rPr>
          <w:rFonts w:ascii="Calibri" w:eastAsia="Calibri" w:hAnsi="Calibri" w:cs="Times New Roman"/>
        </w:rPr>
      </w:pPr>
      <w:r w:rsidRPr="00B42611">
        <w:rPr>
          <w:rFonts w:ascii="Calibri" w:eastAsia="Calibri" w:hAnsi="Calibri" w:cs="Calibri"/>
          <w:b/>
        </w:rPr>
        <w:t xml:space="preserve">Integriranje hrvatskoga prostora. </w:t>
      </w:r>
      <w:r w:rsidRPr="00B42611">
        <w:rPr>
          <w:rFonts w:ascii="Calibri" w:eastAsia="Calibri" w:hAnsi="Calibri" w:cs="Calibri"/>
          <w:bCs/>
        </w:rPr>
        <w:t xml:space="preserve">Zagreb je na spoju dvaju ključnih hrvatskih i europskih prostora - podunavskog i jadranskog. Ujedno ima središnji položaj u odnosu na tri sekundarna hrvatska središta - Rijeku, Split i Osijek i na većinu središta nižeg reda. </w:t>
      </w:r>
      <w:r w:rsidRPr="00B42611">
        <w:rPr>
          <w:rFonts w:ascii="Calibri" w:eastAsia="Calibri" w:hAnsi="Calibri" w:cs="Times New Roman"/>
        </w:rPr>
        <w:t>Značajna je i uloga Grada Zagreba prema njegovoj široj metropolitanskoj regiji</w:t>
      </w:r>
      <w:r w:rsidRPr="00987DA3">
        <w:t xml:space="preserve"> </w:t>
      </w:r>
      <w:r>
        <w:t>koja obuhvaća Zagrebačku županiju i veći dio Krapinsko – zagorske županije te čini Zagrebačku aglomeraciju</w:t>
      </w:r>
      <w:r w:rsidRPr="00A33E06">
        <w:t xml:space="preserve">. </w:t>
      </w:r>
      <w:r w:rsidRPr="004B3489">
        <w:t xml:space="preserve">Na ovom području </w:t>
      </w:r>
      <w:r>
        <w:t xml:space="preserve">koje obuhvaća Grad Zagreb, Zagrebačku županiju i Krapinsko – zagorsku županiju </w:t>
      </w:r>
      <w:r w:rsidRPr="004B3489">
        <w:t>živi 1.240.515</w:t>
      </w:r>
      <w:r>
        <w:t xml:space="preserve"> stanovnika</w:t>
      </w:r>
      <w:r w:rsidRPr="004B3489">
        <w:t xml:space="preserve"> </w:t>
      </w:r>
      <w:r w:rsidRPr="00682BD4">
        <w:t>prema popisu stanovništva iz 2011. godine</w:t>
      </w:r>
      <w:r w:rsidRPr="004B3489">
        <w:t>, odnosno 29 % stanovništva RH (DZS, 2011)</w:t>
      </w:r>
      <w:r w:rsidRPr="00B42611">
        <w:rPr>
          <w:rFonts w:ascii="Calibri" w:eastAsia="Calibri" w:hAnsi="Calibri" w:cs="Times New Roman"/>
        </w:rPr>
        <w:t xml:space="preserve">. Iz prostora </w:t>
      </w:r>
      <w:r>
        <w:t>spomenutih</w:t>
      </w:r>
      <w:r w:rsidRPr="00B42611">
        <w:rPr>
          <w:rFonts w:ascii="Calibri" w:eastAsia="Calibri" w:hAnsi="Calibri" w:cs="Times New Roman"/>
        </w:rPr>
        <w:t xml:space="preserve"> dviju susjednih županija Grad Zagreb dobiva dio potrebnih prirodnih resursa, hranu, radnu snagu koja dnevno migrira u grad na posao, radi školovanja i sl.</w:t>
      </w:r>
      <w:r>
        <w:t xml:space="preserve"> Također je utvrđena snažna dnevna migracija građana Zagreba prema susjednim županijama ponajviše radi odlaska na posao obzirom na postojanje proizvodnih pogona te uslužnih i  trgovačkih tvrtki smještenih van administrativnih granica Grada Zagreba. </w:t>
      </w:r>
      <w:r w:rsidRPr="00B42611">
        <w:rPr>
          <w:rFonts w:ascii="Calibri" w:eastAsia="Calibri" w:hAnsi="Calibri" w:cs="Times New Roman"/>
        </w:rPr>
        <w:t>U prostoru</w:t>
      </w:r>
      <w:r w:rsidRPr="00987DA3">
        <w:t xml:space="preserve"> </w:t>
      </w:r>
      <w:r>
        <w:t>koji okružuje Grad Zagreb</w:t>
      </w:r>
      <w:r w:rsidRPr="00A33E06">
        <w:t xml:space="preserve"> </w:t>
      </w:r>
      <w:r>
        <w:t>stanovnici Grada</w:t>
      </w:r>
      <w:r w:rsidRPr="00B42611">
        <w:rPr>
          <w:rFonts w:ascii="Calibri" w:eastAsia="Calibri" w:hAnsi="Calibri" w:cs="Times New Roman"/>
        </w:rPr>
        <w:t xml:space="preserve"> ostvaruj</w:t>
      </w:r>
      <w:r>
        <w:t>u</w:t>
      </w:r>
      <w:r w:rsidRPr="00A33E06">
        <w:t xml:space="preserve"> </w:t>
      </w:r>
      <w:r>
        <w:t>svoje</w:t>
      </w:r>
      <w:r w:rsidRPr="00B42611">
        <w:rPr>
          <w:rFonts w:ascii="Calibri" w:eastAsia="Calibri" w:hAnsi="Calibri" w:cs="Times New Roman"/>
        </w:rPr>
        <w:t xml:space="preserve"> potrebe za boravkom u prirodi, rekreacijom, sekundarnim, ali sve više i primarnim stanovanjem</w:t>
      </w:r>
      <w:r w:rsidRPr="00E176AA">
        <w:t xml:space="preserve"> </w:t>
      </w:r>
      <w:r>
        <w:t>i odlaskom na posao</w:t>
      </w:r>
      <w:r w:rsidRPr="00B42611">
        <w:rPr>
          <w:rFonts w:ascii="Calibri" w:eastAsia="Calibri" w:hAnsi="Calibri" w:cs="Times New Roman"/>
        </w:rPr>
        <w:t xml:space="preserve"> što pojačava intenzitet</w:t>
      </w:r>
      <w:r>
        <w:rPr>
          <w:rFonts w:ascii="Calibri" w:eastAsia="Calibri" w:hAnsi="Calibri" w:cs="Times New Roman"/>
        </w:rPr>
        <w:t>:</w:t>
      </w:r>
      <w:r w:rsidRPr="00B42611">
        <w:rPr>
          <w:rFonts w:ascii="Calibri" w:eastAsia="Calibri" w:hAnsi="Calibri" w:cs="Times New Roman"/>
        </w:rPr>
        <w:t xml:space="preserve"> dnevnih migracija, proces suburbanizacije </w:t>
      </w:r>
      <w:r>
        <w:t xml:space="preserve">, potrebu zajedničkog planiranja bitnih razvojnih projekata, razvoja infrastrukture i razvoja gospodarstva, potrebu integracije sustava javnog prijevoza putnika, razvoj proizvodno poduzetničkih zona </w:t>
      </w:r>
      <w:r w:rsidRPr="00B42611">
        <w:rPr>
          <w:rFonts w:ascii="Calibri" w:eastAsia="Calibri" w:hAnsi="Calibri" w:cs="Times New Roman"/>
        </w:rPr>
        <w:t>i poticanje rasta gradova i naselja u zagrebačkoj</w:t>
      </w:r>
      <w:r>
        <w:rPr>
          <w:rFonts w:ascii="Calibri" w:eastAsia="Calibri" w:hAnsi="Calibri" w:cs="Times New Roman"/>
        </w:rPr>
        <w:t xml:space="preserve"> </w:t>
      </w:r>
      <w:r>
        <w:t>aglomeraciji</w:t>
      </w:r>
      <w:r w:rsidRPr="00B42611">
        <w:rPr>
          <w:rFonts w:ascii="Calibri" w:eastAsia="Calibri" w:hAnsi="Calibri" w:cs="Times New Roman"/>
        </w:rPr>
        <w:t xml:space="preserve">. </w:t>
      </w:r>
    </w:p>
    <w:tbl>
      <w:tblPr>
        <w:tblW w:w="5000" w:type="pct"/>
        <w:tblLook w:val="01E0" w:firstRow="1" w:lastRow="1" w:firstColumn="1" w:lastColumn="1" w:noHBand="0" w:noVBand="0"/>
      </w:tblPr>
      <w:tblGrid>
        <w:gridCol w:w="4467"/>
        <w:gridCol w:w="4605"/>
      </w:tblGrid>
      <w:tr w:rsidR="00C17261" w:rsidRPr="00B42611" w14:paraId="3F6CF86F" w14:textId="77777777" w:rsidTr="00F50578">
        <w:tc>
          <w:tcPr>
            <w:tcW w:w="2462" w:type="pct"/>
            <w:shd w:val="clear" w:color="auto" w:fill="CCCCCC"/>
          </w:tcPr>
          <w:p w14:paraId="3D9C9EB3"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RAZVOJNI PROBLEMI</w:t>
            </w:r>
          </w:p>
        </w:tc>
        <w:tc>
          <w:tcPr>
            <w:tcW w:w="2538" w:type="pct"/>
            <w:shd w:val="clear" w:color="auto" w:fill="AFD7FF"/>
          </w:tcPr>
          <w:p w14:paraId="3C811770"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tc>
      </w:tr>
      <w:tr w:rsidR="00C17261" w:rsidRPr="00B42611" w14:paraId="7AA9B56B" w14:textId="77777777" w:rsidTr="00F50578">
        <w:trPr>
          <w:trHeight w:val="284"/>
        </w:trPr>
        <w:tc>
          <w:tcPr>
            <w:tcW w:w="2462" w:type="pct"/>
            <w:shd w:val="clear" w:color="auto" w:fill="CCCCCC"/>
          </w:tcPr>
          <w:p w14:paraId="52837E82" w14:textId="77777777" w:rsidR="00C17261" w:rsidRPr="00B42611" w:rsidRDefault="00C17261" w:rsidP="00165C16">
            <w:pPr>
              <w:numPr>
                <w:ilvl w:val="0"/>
                <w:numId w:val="1"/>
              </w:numPr>
              <w:tabs>
                <w:tab w:val="num" w:pos="284"/>
              </w:tabs>
              <w:spacing w:before="60" w:after="60" w:line="240" w:lineRule="auto"/>
              <w:ind w:left="284"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geoprometni položaj Grada Zagreba se u osmišljavanju njegovog razvoja </w:t>
            </w:r>
            <w:r>
              <w:rPr>
                <w:rFonts w:ascii="Calibri" w:eastAsia="Times New Roman" w:hAnsi="Calibri" w:cs="Calibri"/>
                <w:sz w:val="18"/>
                <w:szCs w:val="18"/>
                <w:lang w:eastAsia="hr-HR"/>
              </w:rPr>
              <w:t xml:space="preserve">dovoljno </w:t>
            </w:r>
            <w:r w:rsidRPr="00B42611">
              <w:rPr>
                <w:rFonts w:ascii="Calibri" w:eastAsia="Times New Roman" w:hAnsi="Calibri" w:cs="Calibri"/>
                <w:sz w:val="18"/>
                <w:szCs w:val="18"/>
                <w:lang w:eastAsia="hr-HR"/>
              </w:rPr>
              <w:t>ne percipira kao važan razvojni potencijal</w:t>
            </w:r>
          </w:p>
          <w:p w14:paraId="235F5973" w14:textId="77777777" w:rsidR="00C17261" w:rsidRPr="00B42611" w:rsidRDefault="00C17261" w:rsidP="00165C16">
            <w:pPr>
              <w:numPr>
                <w:ilvl w:val="0"/>
                <w:numId w:val="1"/>
              </w:numPr>
              <w:tabs>
                <w:tab w:val="num" w:pos="284"/>
              </w:tabs>
              <w:spacing w:before="60" w:after="60" w:line="240" w:lineRule="auto"/>
              <w:ind w:left="284"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nedovoljno jasno artikulirani i operacionalizirani i smisao i ciljevi umrežavanja Grada Zagreba sa susjednim europskim metropolama i mogućnost da se suradnja koristi za njegov razvoj </w:t>
            </w:r>
          </w:p>
          <w:p w14:paraId="1BF765D3" w14:textId="77777777" w:rsidR="00C17261" w:rsidRPr="00B42611" w:rsidRDefault="00C17261" w:rsidP="00165C16">
            <w:pPr>
              <w:numPr>
                <w:ilvl w:val="0"/>
                <w:numId w:val="1"/>
              </w:numPr>
              <w:tabs>
                <w:tab w:val="num" w:pos="284"/>
              </w:tabs>
              <w:spacing w:before="60" w:after="60" w:line="240" w:lineRule="auto"/>
              <w:ind w:left="284"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lastRenderedPageBreak/>
              <w:t>nelogične upravno-teritorijalne granice Grada Zagreba</w:t>
            </w:r>
          </w:p>
          <w:p w14:paraId="7D0A0958" w14:textId="77777777" w:rsidR="00C17261" w:rsidRDefault="00C17261" w:rsidP="00165C16">
            <w:pPr>
              <w:numPr>
                <w:ilvl w:val="0"/>
                <w:numId w:val="1"/>
              </w:numPr>
              <w:tabs>
                <w:tab w:val="num" w:pos="284"/>
              </w:tabs>
              <w:spacing w:before="60" w:after="60" w:line="240" w:lineRule="auto"/>
              <w:ind w:left="284"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smještaj značajnih prirodnih i razvojnih resursa izvan granica Grada Zagreba (podzemne zalihe pitke vode</w:t>
            </w:r>
            <w:r>
              <w:rPr>
                <w:rFonts w:ascii="Calibri" w:hAnsi="Calibri" w:cs="Calibri"/>
                <w:sz w:val="18"/>
                <w:szCs w:val="18"/>
              </w:rPr>
              <w:t>, proizvodni pogoni</w:t>
            </w:r>
            <w:r w:rsidRPr="00B42611">
              <w:rPr>
                <w:rFonts w:ascii="Calibri" w:eastAsia="Times New Roman" w:hAnsi="Calibri" w:cs="Calibri"/>
                <w:sz w:val="18"/>
                <w:szCs w:val="18"/>
                <w:lang w:eastAsia="hr-HR"/>
              </w:rPr>
              <w:t xml:space="preserve">...) </w:t>
            </w:r>
          </w:p>
          <w:p w14:paraId="05156FEE" w14:textId="77777777" w:rsidR="00C17261" w:rsidRPr="00B42611" w:rsidRDefault="00C17261" w:rsidP="00165C16">
            <w:pPr>
              <w:numPr>
                <w:ilvl w:val="0"/>
                <w:numId w:val="1"/>
              </w:numPr>
              <w:tabs>
                <w:tab w:val="num" w:pos="284"/>
              </w:tabs>
              <w:spacing w:before="60" w:after="60" w:line="240" w:lineRule="auto"/>
              <w:ind w:left="284" w:hanging="284"/>
              <w:rPr>
                <w:rFonts w:ascii="Calibri" w:eastAsia="Times New Roman" w:hAnsi="Calibri" w:cs="Calibri"/>
                <w:sz w:val="18"/>
                <w:szCs w:val="18"/>
                <w:lang w:eastAsia="hr-HR"/>
              </w:rPr>
            </w:pPr>
            <w:r>
              <w:rPr>
                <w:rFonts w:ascii="Calibri" w:hAnsi="Calibri" w:cs="Calibri"/>
                <w:sz w:val="18"/>
                <w:szCs w:val="18"/>
              </w:rPr>
              <w:t>nedovoljna integracija sa susjednim županijama</w:t>
            </w:r>
          </w:p>
        </w:tc>
        <w:tc>
          <w:tcPr>
            <w:tcW w:w="2538" w:type="pct"/>
            <w:shd w:val="clear" w:color="auto" w:fill="AFD7FF"/>
          </w:tcPr>
          <w:p w14:paraId="2273B3C9"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lastRenderedPageBreak/>
              <w:t xml:space="preserve">vrednovati geoprometni položaj Grada Zagreba kao razvojni potencijal i resurs za jačanje njegove konkurentnosti </w:t>
            </w:r>
          </w:p>
          <w:p w14:paraId="4BC4F3F2" w14:textId="72BC0EA9" w:rsidR="00C17261" w:rsidRPr="00B42611" w:rsidRDefault="00763BD5"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763BD5">
              <w:rPr>
                <w:rFonts w:ascii="Calibri" w:eastAsia="Times New Roman" w:hAnsi="Calibri" w:cs="Calibri"/>
                <w:sz w:val="18"/>
                <w:szCs w:val="18"/>
                <w:lang w:eastAsia="hr-HR"/>
              </w:rPr>
              <w:t xml:space="preserve">razvijati, planirati i koristiti </w:t>
            </w:r>
            <w:r w:rsidR="00C17261" w:rsidRPr="00B42611">
              <w:rPr>
                <w:rFonts w:ascii="Calibri" w:eastAsia="Times New Roman" w:hAnsi="Calibri" w:cs="Calibri"/>
                <w:sz w:val="18"/>
                <w:szCs w:val="18"/>
                <w:lang w:eastAsia="hr-HR"/>
              </w:rPr>
              <w:t>postojeće pogodnosti geoprometnog položaja Grada Zagreba kako bi on preuzeo ulogu gospodarskog, financijskog</w:t>
            </w:r>
            <w:r w:rsidR="00C17261">
              <w:rPr>
                <w:rFonts w:ascii="Calibri" w:eastAsia="Times New Roman" w:hAnsi="Calibri" w:cs="Calibri"/>
                <w:sz w:val="18"/>
                <w:szCs w:val="18"/>
                <w:lang w:eastAsia="hr-HR"/>
              </w:rPr>
              <w:t>,</w:t>
            </w:r>
            <w:r w:rsidR="00C17261" w:rsidRPr="00B42611">
              <w:rPr>
                <w:rFonts w:ascii="Calibri" w:eastAsia="Times New Roman" w:hAnsi="Calibri" w:cs="Calibri"/>
                <w:sz w:val="18"/>
                <w:szCs w:val="18"/>
                <w:lang w:eastAsia="hr-HR"/>
              </w:rPr>
              <w:t xml:space="preserve"> političkog, tehnološkog, kulturnog i sportskog lidera u široj regiji </w:t>
            </w:r>
          </w:p>
          <w:p w14:paraId="5DCF6128" w14:textId="7246A5CE" w:rsidR="00C17261" w:rsidRPr="00B42611" w:rsidRDefault="00CC73D5"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lastRenderedPageBreak/>
              <w:t>umrežiti</w:t>
            </w:r>
            <w:r w:rsidR="00C17261" w:rsidRPr="00B42611">
              <w:rPr>
                <w:rFonts w:ascii="Calibri" w:eastAsia="Times New Roman" w:hAnsi="Calibri" w:cs="Calibri"/>
                <w:sz w:val="18"/>
                <w:szCs w:val="18"/>
                <w:lang w:eastAsia="hr-HR"/>
              </w:rPr>
              <w:t xml:space="preserve"> Grad Zagreb sa susjednim europskim metropolama i </w:t>
            </w:r>
            <w:r w:rsidR="00ED1B03">
              <w:rPr>
                <w:rFonts w:ascii="Calibri" w:eastAsia="Times New Roman" w:hAnsi="Calibri" w:cs="Calibri"/>
                <w:sz w:val="18"/>
                <w:szCs w:val="18"/>
                <w:lang w:eastAsia="hr-HR"/>
              </w:rPr>
              <w:t>poticati</w:t>
            </w:r>
            <w:r w:rsidR="00ED1B03" w:rsidRPr="00B42611">
              <w:rPr>
                <w:rFonts w:ascii="Calibri" w:eastAsia="Times New Roman" w:hAnsi="Calibri" w:cs="Calibri"/>
                <w:sz w:val="18"/>
                <w:szCs w:val="18"/>
                <w:lang w:eastAsia="hr-HR"/>
              </w:rPr>
              <w:t xml:space="preserve"> </w:t>
            </w:r>
            <w:r w:rsidR="00C17261" w:rsidRPr="00B42611">
              <w:rPr>
                <w:rFonts w:ascii="Calibri" w:eastAsia="Times New Roman" w:hAnsi="Calibri" w:cs="Calibri"/>
                <w:sz w:val="18"/>
                <w:szCs w:val="18"/>
                <w:lang w:eastAsia="hr-HR"/>
              </w:rPr>
              <w:t xml:space="preserve">da se suradnja iskoristi za njegov razvoj i jačanje konkurentskog položaja </w:t>
            </w:r>
          </w:p>
          <w:p w14:paraId="77CF17FD" w14:textId="77777777" w:rsidR="00C17261" w:rsidRPr="0042495E"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ojačati svijest o nužnosti razvoja cjelokupnog “zagrebačkog prostora” kroz partnerski i participativni pristup</w:t>
            </w:r>
          </w:p>
          <w:p w14:paraId="2AB4F1B7" w14:textId="44043C6E" w:rsidR="00C17261" w:rsidRPr="00B42611" w:rsidRDefault="00CC73D5" w:rsidP="00B36478">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lang w:eastAsia="hr-HR"/>
              </w:rPr>
            </w:pPr>
            <w:r>
              <w:rPr>
                <w:rFonts w:ascii="Calibri" w:hAnsi="Calibri" w:cs="Calibri"/>
                <w:sz w:val="18"/>
                <w:szCs w:val="18"/>
              </w:rPr>
              <w:t xml:space="preserve">poticati suradnju Grada Zagreba </w:t>
            </w:r>
            <w:r w:rsidR="00E40242">
              <w:rPr>
                <w:rFonts w:ascii="Calibri" w:hAnsi="Calibri" w:cs="Calibri"/>
                <w:sz w:val="18"/>
                <w:szCs w:val="18"/>
              </w:rPr>
              <w:t>sa susjednim županijama, prvenstveno</w:t>
            </w:r>
            <w:r w:rsidR="00E40242">
              <w:t xml:space="preserve"> </w:t>
            </w:r>
            <w:r w:rsidR="00E40242" w:rsidRPr="00E40242">
              <w:rPr>
                <w:rFonts w:ascii="Calibri" w:hAnsi="Calibri" w:cs="Calibri"/>
                <w:sz w:val="18"/>
                <w:szCs w:val="18"/>
              </w:rPr>
              <w:t>Zagrebačkom županijom i Krapinsko – zagorskom županijom</w:t>
            </w:r>
            <w:r w:rsidR="00E40242">
              <w:rPr>
                <w:rFonts w:ascii="Calibri" w:hAnsi="Calibri" w:cs="Calibri"/>
                <w:sz w:val="18"/>
                <w:szCs w:val="18"/>
              </w:rPr>
              <w:t xml:space="preserve">, kroz zajedničke razvojne projekte </w:t>
            </w:r>
          </w:p>
        </w:tc>
      </w:tr>
    </w:tbl>
    <w:p w14:paraId="6A9DF7F4" w14:textId="066B8DC4" w:rsidR="00C17261" w:rsidRPr="002137CD" w:rsidRDefault="00C17261" w:rsidP="009121D4">
      <w:pPr>
        <w:pStyle w:val="Stil2"/>
        <w:rPr>
          <w:rStyle w:val="Istaknutareferenca"/>
          <w:b/>
          <w:bCs/>
          <w:smallCaps w:val="0"/>
          <w:color w:val="0070C0"/>
          <w:spacing w:val="0"/>
        </w:rPr>
      </w:pPr>
      <w:bookmarkStart w:id="5" w:name="_Toc97123776"/>
      <w:r w:rsidRPr="002137CD">
        <w:rPr>
          <w:rStyle w:val="Istaknutareferenca"/>
          <w:b/>
          <w:bCs/>
          <w:smallCaps w:val="0"/>
          <w:color w:val="0070C0"/>
          <w:spacing w:val="0"/>
        </w:rPr>
        <w:lastRenderedPageBreak/>
        <w:t>1.1.2. Prirodno - geografska obilježja</w:t>
      </w:r>
      <w:bookmarkEnd w:id="5"/>
    </w:p>
    <w:p w14:paraId="493E4B2B"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
          <w:lang w:eastAsia="hr-HR"/>
        </w:rPr>
        <w:t>Geološka obilježja i obilježja tla.</w:t>
      </w:r>
      <w:r w:rsidRPr="00B42611">
        <w:rPr>
          <w:rFonts w:ascii="Calibri" w:eastAsia="Times New Roman" w:hAnsi="Calibri" w:cs="Calibri"/>
          <w:bCs/>
          <w:lang w:eastAsia="hr-HR"/>
        </w:rPr>
        <w:t xml:space="preserve"> Prostor Grada Zagreba složenog je geološkog sastava. Glavninu prostora Grada čine mlađe tercijarne naslage znatnim dijelom pokrivene najmlađim pleistocenskim i holocenskim pokrovom. Područje obuhvaća dugačka i široka aluvijalna ravan uz Savu koja se pruža pravcem sjeverozapad-jugoistok. Aluvijalna ravan pokrivena je najmlađim riječnim naplavinama, a u gornjim slojevima je šljunak, valutice, pijesak i mulj. U istočnom dijelu aluvijalna ravan Save postupno se diže prema sjeveru i prelazi u pleistocenska uzvišenja te u prigorja Medvednice. U sastavu prigorja zastupljene su neogenske tvorevine, a u nižim dijelovima pleistocenski sedimenti. Medvednicu u osnovnom sastavu čine starije stijene paleozojske i trijasne starosti – većinom od karbonskih brusilovaca, zelenih škriljavaca te vapnenaca i dolomita gornje krede. Pedološki sloj oblikuju automorfna i hidromorfna tla, koja su raširena sukladno postanku (pribrežja, nizinsko područje, brežuljkasto područje). Na području Grada Zagreba identificirana su ležišta tehničko-građevnog kamena, ciglarske gline, građevnog pijeska i šljunka, arhitektonsko građevnog kamena i geotermalnih voda </w:t>
      </w:r>
      <w:r w:rsidRPr="00B42611">
        <w:rPr>
          <w:rFonts w:ascii="Calibri" w:eastAsia="Times New Roman" w:hAnsi="Calibri" w:cs="Calibri"/>
          <w:bCs/>
          <w:vertAlign w:val="superscript"/>
          <w:lang w:eastAsia="hr-HR"/>
        </w:rPr>
        <w:footnoteReference w:id="4"/>
      </w:r>
      <w:r w:rsidRPr="00B42611">
        <w:rPr>
          <w:rFonts w:ascii="Calibri" w:eastAsia="Times New Roman" w:hAnsi="Calibri" w:cs="Calibri"/>
          <w:bCs/>
          <w:lang w:eastAsia="hr-HR"/>
        </w:rPr>
        <w:t xml:space="preserve">(pet mineralnih sirovina različitog stupnja perspektive na području Grada Zagreba). Trenutno se na prostoru Grada od mineralnih sirovina stvarno eksploatira jedino geotermalna energija, a prisutan je problem ilegalne eksploatacije šljunka. </w:t>
      </w:r>
      <w:bookmarkStart w:id="6" w:name="_Toc365465855"/>
      <w:bookmarkStart w:id="7" w:name="_Toc398642030"/>
    </w:p>
    <w:bookmarkEnd w:id="6"/>
    <w:bookmarkEnd w:id="7"/>
    <w:p w14:paraId="75D6904D" w14:textId="77777777" w:rsidR="00C17261" w:rsidRDefault="00C17261" w:rsidP="00C17261">
      <w:pPr>
        <w:spacing w:after="200" w:line="240" w:lineRule="auto"/>
        <w:jc w:val="both"/>
        <w:rPr>
          <w:rFonts w:ascii="Calibri" w:eastAsia="Times New Roman" w:hAnsi="Calibri" w:cs="Calibri"/>
          <w:bCs/>
          <w:lang w:eastAsia="hr-HR"/>
        </w:rPr>
      </w:pPr>
      <w:r w:rsidRPr="00B42611">
        <w:rPr>
          <w:rFonts w:ascii="Calibri" w:eastAsia="Times New Roman" w:hAnsi="Calibri" w:cs="Calibri"/>
          <w:b/>
          <w:lang w:eastAsia="hr-HR"/>
        </w:rPr>
        <w:t xml:space="preserve">Erozija i nestabilnost. </w:t>
      </w:r>
      <w:r w:rsidRPr="00B42611">
        <w:rPr>
          <w:rFonts w:ascii="Calibri" w:eastAsia="Times New Roman" w:hAnsi="Calibri" w:cs="Calibri"/>
          <w:bCs/>
          <w:lang w:eastAsia="hr-HR"/>
        </w:rPr>
        <w:t>Nagnuti tereni na području Grada izloženi su eroziji tla vodom različitog intenziteta ovisno o količini i intenzitetu oborina i svojstvima tla. Posljedica erozije tla s padina nije samo nepovratni gubitak tla nego i onečišćenje vode. Jedan od oblika incidenata na gradskom prostoru je i pojava klizišta na terenima koji su prije početka građevinskih zahvata bili u stanju labilne ravnoteže ili čak predstavljaju i aktivna klizišta. Na području Grada to je posebno podsljemenska zona i prostor Vukomeričkih gorica.</w:t>
      </w:r>
    </w:p>
    <w:p w14:paraId="436AD874" w14:textId="77777777" w:rsidR="00C17261" w:rsidRDefault="00C17261" w:rsidP="00C17261">
      <w:pPr>
        <w:spacing w:after="200" w:line="240" w:lineRule="auto"/>
        <w:jc w:val="both"/>
        <w:rPr>
          <w:rFonts w:ascii="Calibri" w:eastAsia="Calibri" w:hAnsi="Calibri" w:cs="Calibri"/>
          <w:bCs/>
        </w:rPr>
      </w:pPr>
      <w:r w:rsidRPr="003B68D9">
        <w:rPr>
          <w:rFonts w:ascii="Calibri" w:eastAsia="Calibri" w:hAnsi="Calibri" w:cs="Calibri"/>
          <w:b/>
        </w:rPr>
        <w:t>Potres.</w:t>
      </w:r>
      <w:r w:rsidRPr="003B68D9">
        <w:rPr>
          <w:rFonts w:ascii="Calibri" w:eastAsia="Calibri" w:hAnsi="Calibri" w:cs="Calibri"/>
          <w:bCs/>
        </w:rPr>
        <w:t xml:space="preserve"> Seizmičnost na području Grada Zagreba posljedica je intenzivnih tektonskih pokreta i iznosi VII-IX stupnjeva Mercalli-Cancani-Siebergove (MCS) ljestvice. Zona najveće seizmičke aktivnosti proteže se od Podsuseda do Sesveta, njezina širina je od 7 do 10 kilometara. Najugroženije područje u Gradu Zagrebu obuhvaća gradske četvrti: Gornji Grad-Medveščak, Črnomerec, Podsused – Vrapče i četvrt Donji grad. </w:t>
      </w:r>
      <w:r w:rsidRPr="002C503E">
        <w:rPr>
          <w:rFonts w:ascii="Calibri" w:eastAsia="Calibri" w:hAnsi="Calibri" w:cs="Calibri"/>
          <w:bCs/>
        </w:rPr>
        <w:t xml:space="preserve">22. ožujka 2020. Zagreb i šire zagrebačko područje pogodio je snažan potres magnitude M=5.5, </w:t>
      </w:r>
      <w:r w:rsidRPr="008A5152">
        <w:rPr>
          <w:rFonts w:ascii="Calibri" w:eastAsia="Calibri" w:hAnsi="Calibri" w:cs="Calibri"/>
          <w:bCs/>
        </w:rPr>
        <w:t>sa žarištem na dubini oko 10 km koji je preliminarno ocijenjen intenzitetom VII. stupnja MCS ljestvice u epicentralnom području Markuševca i Čučerja.</w:t>
      </w:r>
      <w:r>
        <w:rPr>
          <w:rFonts w:ascii="Calibri" w:eastAsia="Calibri" w:hAnsi="Calibri" w:cs="Calibri"/>
          <w:bCs/>
        </w:rPr>
        <w:t xml:space="preserve"> </w:t>
      </w:r>
      <w:r w:rsidRPr="0002550B">
        <w:rPr>
          <w:rFonts w:ascii="Calibri" w:eastAsia="Calibri" w:hAnsi="Calibri" w:cs="Calibri"/>
          <w:bCs/>
        </w:rPr>
        <w:t>Ubrzo nakon glavnog potresa uslijedio je još jedan jaki potres magnitude 5.0 po Richteru</w:t>
      </w:r>
      <w:r>
        <w:rPr>
          <w:rFonts w:ascii="Calibri" w:eastAsia="Calibri" w:hAnsi="Calibri" w:cs="Calibri"/>
          <w:bCs/>
        </w:rPr>
        <w:t>. N</w:t>
      </w:r>
      <w:r w:rsidRPr="002C503E">
        <w:rPr>
          <w:rFonts w:ascii="Calibri" w:eastAsia="Calibri" w:hAnsi="Calibri" w:cs="Calibri"/>
          <w:bCs/>
        </w:rPr>
        <w:t xml:space="preserve">akon </w:t>
      </w:r>
      <w:r>
        <w:rPr>
          <w:rFonts w:ascii="Calibri" w:eastAsia="Calibri" w:hAnsi="Calibri" w:cs="Calibri"/>
          <w:bCs/>
        </w:rPr>
        <w:t xml:space="preserve">toga, </w:t>
      </w:r>
      <w:r w:rsidRPr="002C503E">
        <w:rPr>
          <w:rFonts w:ascii="Calibri" w:eastAsia="Calibri" w:hAnsi="Calibri" w:cs="Calibri"/>
          <w:bCs/>
        </w:rPr>
        <w:t>uslijedili</w:t>
      </w:r>
      <w:r>
        <w:rPr>
          <w:rFonts w:ascii="Calibri" w:eastAsia="Calibri" w:hAnsi="Calibri" w:cs="Calibri"/>
          <w:bCs/>
        </w:rPr>
        <w:t xml:space="preserve"> su</w:t>
      </w:r>
      <w:r w:rsidRPr="002C503E">
        <w:rPr>
          <w:rFonts w:ascii="Calibri" w:eastAsia="Calibri" w:hAnsi="Calibri" w:cs="Calibri"/>
          <w:bCs/>
        </w:rPr>
        <w:t xml:space="preserve"> brojni naknadni potresi.</w:t>
      </w:r>
      <w:r w:rsidRPr="002C503E">
        <w:t xml:space="preserve"> </w:t>
      </w:r>
      <w:r>
        <w:rPr>
          <w:rFonts w:ascii="Calibri" w:eastAsia="Calibri" w:hAnsi="Calibri" w:cs="Calibri"/>
          <w:bCs/>
        </w:rPr>
        <w:t>Do kraja travnja</w:t>
      </w:r>
      <w:r w:rsidRPr="002C503E">
        <w:rPr>
          <w:rFonts w:ascii="Calibri" w:eastAsia="Calibri" w:hAnsi="Calibri" w:cs="Calibri"/>
          <w:bCs/>
        </w:rPr>
        <w:t xml:space="preserve"> je nakon 22.ožujka 2020. zabilježeno oko 145 potresa koje su osjetili građani (magnitude iznad 1.3), dok su seizmografi zabilježili još oko 850 potresa magnituda manjih od 1.3.</w:t>
      </w:r>
      <w:r>
        <w:rPr>
          <w:rStyle w:val="Referencafusnote"/>
          <w:rFonts w:ascii="Calibri" w:eastAsia="Calibri" w:hAnsi="Calibri" w:cs="Calibri"/>
          <w:bCs/>
        </w:rPr>
        <w:footnoteReference w:id="5"/>
      </w:r>
      <w:r>
        <w:rPr>
          <w:rFonts w:ascii="Calibri" w:eastAsia="Calibri" w:hAnsi="Calibri" w:cs="Calibri"/>
          <w:bCs/>
        </w:rPr>
        <w:t xml:space="preserve"> Posljedice za Zagreb imali su i potresi u Sisačko- moslavačkoj županiji. </w:t>
      </w:r>
      <w:r w:rsidRPr="00F8215B">
        <w:rPr>
          <w:rFonts w:ascii="Calibri" w:eastAsia="Calibri" w:hAnsi="Calibri" w:cs="Calibri"/>
          <w:bCs/>
        </w:rPr>
        <w:t xml:space="preserve">28. prosinca 2020. u 6 sati i 28 minute dogodio se jak potres magnitude M=5.0 s epicentrom kod Petrinje. Isti dan uslijedilo je još nekoliko jačih potresa, a </w:t>
      </w:r>
      <w:r w:rsidRPr="00F8215B">
        <w:rPr>
          <w:rFonts w:ascii="Calibri" w:eastAsia="Calibri" w:hAnsi="Calibri" w:cs="Calibri"/>
          <w:bCs/>
        </w:rPr>
        <w:lastRenderedPageBreak/>
        <w:t xml:space="preserve">naredni dan 29. prosinca 2020. u 12 sati i 19 minuta područje oko Petrinje pogodio je razoran potres magnitude M=6.2 </w:t>
      </w:r>
      <w:r>
        <w:rPr>
          <w:rFonts w:ascii="Calibri" w:eastAsia="Calibri" w:hAnsi="Calibri" w:cs="Calibri"/>
          <w:bCs/>
        </w:rPr>
        <w:t xml:space="preserve">čiji je intenzitet u epicentru </w:t>
      </w:r>
      <w:r w:rsidRPr="00F8215B">
        <w:rPr>
          <w:rFonts w:ascii="Calibri" w:eastAsia="Calibri" w:hAnsi="Calibri" w:cs="Calibri"/>
          <w:bCs/>
        </w:rPr>
        <w:t>ocijenjen na VIII-IX stupnjeva EMS ljestvice</w:t>
      </w:r>
      <w:r>
        <w:rPr>
          <w:rStyle w:val="Referencafusnote"/>
          <w:rFonts w:ascii="Calibri" w:eastAsia="Calibri" w:hAnsi="Calibri" w:cs="Calibri"/>
          <w:bCs/>
        </w:rPr>
        <w:footnoteReference w:id="6"/>
      </w:r>
      <w:r>
        <w:rPr>
          <w:rFonts w:ascii="Calibri" w:eastAsia="Calibri" w:hAnsi="Calibri" w:cs="Calibri"/>
          <w:bCs/>
        </w:rPr>
        <w:t>.</w:t>
      </w:r>
    </w:p>
    <w:p w14:paraId="74FEA4FE" w14:textId="77777777" w:rsidR="00C17261" w:rsidRPr="00B42611" w:rsidRDefault="00C17261" w:rsidP="00C17261">
      <w:pPr>
        <w:spacing w:after="200" w:line="240" w:lineRule="auto"/>
        <w:jc w:val="both"/>
        <w:rPr>
          <w:rFonts w:ascii="Calibri" w:eastAsia="Times New Roman" w:hAnsi="Calibri" w:cs="Calibri"/>
          <w:bCs/>
          <w:lang w:eastAsia="hr-HR"/>
        </w:rPr>
      </w:pPr>
      <w:r w:rsidRPr="00B42611">
        <w:rPr>
          <w:rFonts w:ascii="Calibri" w:eastAsia="Times New Roman" w:hAnsi="Calibri" w:cs="Calibri"/>
          <w:b/>
          <w:bCs/>
          <w:lang w:eastAsia="hr-HR"/>
        </w:rPr>
        <w:t xml:space="preserve">Poljoprivredno zemljište. </w:t>
      </w:r>
      <w:r w:rsidRPr="00B42611">
        <w:rPr>
          <w:rFonts w:ascii="Calibri" w:eastAsia="Times New Roman" w:hAnsi="Calibri" w:cs="Calibri"/>
          <w:bCs/>
          <w:lang w:eastAsia="hr-HR"/>
        </w:rPr>
        <w:t>Poljoprivredno zemljište se kontinuirano prenamjenjuje u nepoljoprivredne svrhe. Najveći gubitak poljoprivrednog zemljišta zbog izgradnje odvija se baš na najvrjednijim tlima (tlima najbolje klase uporabne</w:t>
      </w:r>
      <w:r>
        <w:rPr>
          <w:rFonts w:ascii="Calibri" w:eastAsia="Times New Roman" w:hAnsi="Calibri" w:cs="Calibri"/>
          <w:bCs/>
          <w:lang w:eastAsia="hr-HR"/>
        </w:rPr>
        <w:t xml:space="preserve"> </w:t>
      </w:r>
      <w:r w:rsidRPr="00B42611">
        <w:rPr>
          <w:rFonts w:ascii="Calibri" w:eastAsia="Times New Roman" w:hAnsi="Calibri" w:cs="Calibri"/>
          <w:bCs/>
          <w:lang w:eastAsia="hr-HR"/>
        </w:rPr>
        <w:t>vrijednosti) u dolini Save (k.o. Blato, Brezovica, Klara, Jakuševec, Čehi, Demerje). Gubitak poljodjelskog tla izražen je u svim kategorijama. Najizrazitije je smanjenje površine pašnjaka, ali je znatno i smanjenje površine oranica i vrtova, osobito u urbanim sredinama.</w:t>
      </w:r>
    </w:p>
    <w:tbl>
      <w:tblPr>
        <w:tblW w:w="5087" w:type="pct"/>
        <w:shd w:val="clear" w:color="auto" w:fill="CCCCCC"/>
        <w:tblLook w:val="01E0" w:firstRow="1" w:lastRow="1" w:firstColumn="1" w:lastColumn="1" w:noHBand="0" w:noVBand="0"/>
      </w:tblPr>
      <w:tblGrid>
        <w:gridCol w:w="4615"/>
        <w:gridCol w:w="4615"/>
      </w:tblGrid>
      <w:tr w:rsidR="00C17261" w:rsidRPr="00B42611" w14:paraId="68781210" w14:textId="77777777" w:rsidTr="00F50578">
        <w:trPr>
          <w:trHeight w:val="4056"/>
        </w:trPr>
        <w:tc>
          <w:tcPr>
            <w:tcW w:w="2500" w:type="pct"/>
            <w:shd w:val="clear" w:color="auto" w:fill="CCCCCC"/>
            <w:vAlign w:val="center"/>
          </w:tcPr>
          <w:p w14:paraId="680C8FB8"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RAZVOJNI PROBLEMI</w:t>
            </w:r>
          </w:p>
          <w:p w14:paraId="44F271F7"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trajna konverzija tla najbolje uporabne vrijednosti u nepoljoprivredne svrhe</w:t>
            </w:r>
          </w:p>
          <w:p w14:paraId="190B320C" w14:textId="1646EB16" w:rsidR="00FD578D" w:rsidRPr="00FD578D" w:rsidRDefault="00FD578D" w:rsidP="00FD578D">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FD578D">
              <w:rPr>
                <w:rFonts w:ascii="Calibri" w:eastAsia="Times New Roman" w:hAnsi="Calibri" w:cs="Calibri"/>
                <w:sz w:val="18"/>
                <w:szCs w:val="18"/>
                <w:lang w:eastAsia="hr-HR"/>
              </w:rPr>
              <w:t>izgradnja na nestabilnim padinama s potencijalnim aktiviranjem klizišta</w:t>
            </w:r>
          </w:p>
          <w:p w14:paraId="5273CD99"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nepostojanje cjelovitog Registra klizišta koji bi se kontinuirano ažurirao, što bi olakšalo izdavanje raznih dozvola i planiranje prostora.</w:t>
            </w:r>
          </w:p>
          <w:p w14:paraId="3FA3437E"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ne</w:t>
            </w:r>
            <w:r w:rsidRPr="00B42611">
              <w:rPr>
                <w:rFonts w:ascii="Calibri" w:eastAsia="Times New Roman" w:hAnsi="Calibri" w:cs="Calibri"/>
                <w:sz w:val="18"/>
                <w:szCs w:val="18"/>
                <w:lang w:eastAsia="hr-HR"/>
              </w:rPr>
              <w:t xml:space="preserve">adekvatna seizmička mikrozonacija radi kvalitetnije procjene ugroze od potresa </w:t>
            </w:r>
          </w:p>
          <w:p w14:paraId="75611B9A"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pretvaranje nesaniranih kopova u divlje deponije</w:t>
            </w:r>
          </w:p>
          <w:p w14:paraId="296CD331"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ilegalna eksploatacija šljunka</w:t>
            </w:r>
          </w:p>
          <w:p w14:paraId="4EEEB62C" w14:textId="77777777" w:rsidR="00C17261" w:rsidRPr="00B42611" w:rsidRDefault="00C17261" w:rsidP="00165C16">
            <w:pPr>
              <w:numPr>
                <w:ilvl w:val="0"/>
                <w:numId w:val="1"/>
              </w:numPr>
              <w:tabs>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ugroženost kvalitete tla zbog neracionalne uporabe gnojiva, pesticida i nekontroliranog ispuštanja nepročišćenih otpadnih voda</w:t>
            </w:r>
          </w:p>
        </w:tc>
        <w:tc>
          <w:tcPr>
            <w:tcW w:w="2500" w:type="pct"/>
            <w:shd w:val="clear" w:color="auto" w:fill="99CCFF"/>
            <w:vAlign w:val="center"/>
          </w:tcPr>
          <w:p w14:paraId="36CF98BE"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p w14:paraId="552373EF"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transparentnim planskim propozicijama ograničiti nekontrolirano širenje građevinskih područja </w:t>
            </w:r>
          </w:p>
          <w:p w14:paraId="4C237988" w14:textId="5A7BDE7A"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sanira</w:t>
            </w:r>
            <w:r w:rsidR="00037EF0">
              <w:rPr>
                <w:rFonts w:ascii="Calibri" w:eastAsia="Times New Roman" w:hAnsi="Calibri" w:cs="Calibri"/>
                <w:sz w:val="18"/>
                <w:szCs w:val="18"/>
                <w:lang w:eastAsia="hr-HR"/>
              </w:rPr>
              <w:t>ti</w:t>
            </w:r>
            <w:r w:rsidRPr="00B42611">
              <w:rPr>
                <w:rFonts w:ascii="Calibri" w:eastAsia="Times New Roman" w:hAnsi="Calibri" w:cs="Calibri"/>
                <w:sz w:val="18"/>
                <w:szCs w:val="18"/>
                <w:lang w:eastAsia="hr-HR"/>
              </w:rPr>
              <w:t xml:space="preserve"> nestabiln</w:t>
            </w:r>
            <w:r w:rsidR="00037EF0">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padin</w:t>
            </w:r>
            <w:r w:rsidR="00037EF0">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sukladno inženjersko-geološkim podlogama</w:t>
            </w:r>
          </w:p>
          <w:p w14:paraId="07FA2ADB" w14:textId="260B1902" w:rsidR="00C17261" w:rsidRPr="00B42611" w:rsidRDefault="00FD578D"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ažurirati</w:t>
            </w:r>
            <w:r w:rsidR="00C17261" w:rsidRPr="00B42611">
              <w:rPr>
                <w:rFonts w:ascii="Calibri" w:eastAsia="Times New Roman" w:hAnsi="Calibri" w:cs="Calibri"/>
                <w:sz w:val="18"/>
                <w:szCs w:val="18"/>
                <w:lang w:eastAsia="hr-HR"/>
              </w:rPr>
              <w:t xml:space="preserve"> regist</w:t>
            </w:r>
            <w:r w:rsidR="00DE4C0F">
              <w:rPr>
                <w:rFonts w:ascii="Calibri" w:eastAsia="Times New Roman" w:hAnsi="Calibri" w:cs="Calibri"/>
                <w:sz w:val="18"/>
                <w:szCs w:val="18"/>
                <w:lang w:eastAsia="hr-HR"/>
              </w:rPr>
              <w:t>ar</w:t>
            </w:r>
            <w:r w:rsidR="00C17261" w:rsidRPr="00B42611">
              <w:rPr>
                <w:rFonts w:ascii="Calibri" w:eastAsia="Times New Roman" w:hAnsi="Calibri" w:cs="Calibri"/>
                <w:sz w:val="18"/>
                <w:szCs w:val="18"/>
                <w:lang w:eastAsia="hr-HR"/>
              </w:rPr>
              <w:t xml:space="preserve"> klizišta</w:t>
            </w:r>
          </w:p>
          <w:p w14:paraId="234ABBDF" w14:textId="147F19C5"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nastav</w:t>
            </w:r>
            <w:r w:rsidR="00037EF0">
              <w:rPr>
                <w:rFonts w:ascii="Calibri" w:eastAsia="Times New Roman" w:hAnsi="Calibri" w:cs="Calibri"/>
                <w:sz w:val="18"/>
                <w:szCs w:val="18"/>
                <w:lang w:eastAsia="hr-HR"/>
              </w:rPr>
              <w:t>it</w:t>
            </w:r>
            <w:r w:rsidR="00DE4C0F">
              <w:rPr>
                <w:rFonts w:ascii="Calibri" w:eastAsia="Times New Roman" w:hAnsi="Calibri" w:cs="Calibri"/>
                <w:sz w:val="18"/>
                <w:szCs w:val="18"/>
                <w:lang w:eastAsia="hr-HR"/>
              </w:rPr>
              <w:t>i</w:t>
            </w:r>
            <w:r w:rsidRPr="00B42611">
              <w:rPr>
                <w:rFonts w:ascii="Calibri" w:eastAsia="Times New Roman" w:hAnsi="Calibri" w:cs="Calibri"/>
                <w:sz w:val="18"/>
                <w:szCs w:val="18"/>
                <w:lang w:eastAsia="hr-HR"/>
              </w:rPr>
              <w:t xml:space="preserve"> </w:t>
            </w:r>
            <w:r w:rsidR="00DE4C0F">
              <w:rPr>
                <w:rFonts w:ascii="Calibri" w:eastAsia="Times New Roman" w:hAnsi="Calibri" w:cs="Calibri"/>
                <w:sz w:val="18"/>
                <w:szCs w:val="18"/>
                <w:lang w:eastAsia="hr-HR"/>
              </w:rPr>
              <w:t>izradu</w:t>
            </w:r>
            <w:r w:rsidRPr="00B42611">
              <w:rPr>
                <w:rFonts w:ascii="Calibri" w:eastAsia="Times New Roman" w:hAnsi="Calibri" w:cs="Calibri"/>
                <w:sz w:val="18"/>
                <w:szCs w:val="18"/>
                <w:lang w:eastAsia="hr-HR"/>
              </w:rPr>
              <w:t xml:space="preserve"> seizmičke mikrozonacije</w:t>
            </w:r>
          </w:p>
          <w:p w14:paraId="05162937" w14:textId="21F7CAF9"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jača</w:t>
            </w:r>
            <w:r w:rsidR="00037EF0">
              <w:rPr>
                <w:rFonts w:ascii="Calibri" w:eastAsia="Times New Roman" w:hAnsi="Calibri" w:cs="Calibri"/>
                <w:sz w:val="18"/>
                <w:szCs w:val="18"/>
                <w:lang w:eastAsia="hr-HR"/>
              </w:rPr>
              <w:t>ti</w:t>
            </w:r>
            <w:r w:rsidRPr="00B42611">
              <w:rPr>
                <w:rFonts w:ascii="Calibri" w:eastAsia="Times New Roman" w:hAnsi="Calibri" w:cs="Calibri"/>
                <w:sz w:val="18"/>
                <w:szCs w:val="18"/>
                <w:lang w:eastAsia="hr-HR"/>
              </w:rPr>
              <w:t xml:space="preserve"> svijest</w:t>
            </w:r>
            <w:r w:rsidR="00037EF0">
              <w:rPr>
                <w:rFonts w:ascii="Calibri" w:eastAsia="Times New Roman" w:hAnsi="Calibri" w:cs="Calibri"/>
                <w:sz w:val="18"/>
                <w:szCs w:val="18"/>
                <w:lang w:eastAsia="hr-HR"/>
              </w:rPr>
              <w:t xml:space="preserve"> </w:t>
            </w:r>
            <w:r w:rsidRPr="00B42611">
              <w:rPr>
                <w:rFonts w:ascii="Calibri" w:eastAsia="Times New Roman" w:hAnsi="Calibri" w:cs="Calibri"/>
                <w:sz w:val="18"/>
                <w:szCs w:val="18"/>
                <w:lang w:eastAsia="hr-HR"/>
              </w:rPr>
              <w:t>o važnosti tla kao elementa biosfere</w:t>
            </w:r>
          </w:p>
          <w:p w14:paraId="3E37D63B" w14:textId="7DC78E4D"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kontinuiran</w:t>
            </w:r>
            <w:r w:rsidR="00037EF0">
              <w:rPr>
                <w:rFonts w:ascii="Calibri" w:eastAsia="Times New Roman" w:hAnsi="Calibri" w:cs="Calibri"/>
                <w:sz w:val="18"/>
                <w:szCs w:val="18"/>
                <w:lang w:eastAsia="hr-HR"/>
              </w:rPr>
              <w:t>o</w:t>
            </w:r>
            <w:r w:rsidRPr="00B42611">
              <w:rPr>
                <w:rFonts w:ascii="Calibri" w:eastAsia="Times New Roman" w:hAnsi="Calibri" w:cs="Calibri"/>
                <w:sz w:val="18"/>
                <w:szCs w:val="18"/>
                <w:lang w:eastAsia="hr-HR"/>
              </w:rPr>
              <w:t xml:space="preserve"> prov</w:t>
            </w:r>
            <w:r w:rsidR="00037EF0">
              <w:rPr>
                <w:rFonts w:ascii="Calibri" w:eastAsia="Times New Roman" w:hAnsi="Calibri" w:cs="Calibri"/>
                <w:sz w:val="18"/>
                <w:szCs w:val="18"/>
                <w:lang w:eastAsia="hr-HR"/>
              </w:rPr>
              <w:t>oditi</w:t>
            </w:r>
            <w:r w:rsidRPr="00B42611">
              <w:rPr>
                <w:rFonts w:ascii="Calibri" w:eastAsia="Times New Roman" w:hAnsi="Calibri" w:cs="Calibri"/>
                <w:sz w:val="18"/>
                <w:szCs w:val="18"/>
                <w:lang w:eastAsia="hr-HR"/>
              </w:rPr>
              <w:t xml:space="preserve"> analiz</w:t>
            </w:r>
            <w:r w:rsidR="00037EF0">
              <w:rPr>
                <w:rFonts w:ascii="Calibri" w:eastAsia="Times New Roman" w:hAnsi="Calibri" w:cs="Calibri"/>
                <w:sz w:val="18"/>
                <w:szCs w:val="18"/>
                <w:lang w:eastAsia="hr-HR"/>
              </w:rPr>
              <w:t>u</w:t>
            </w:r>
            <w:r w:rsidRPr="00B42611">
              <w:rPr>
                <w:rFonts w:ascii="Calibri" w:eastAsia="Times New Roman" w:hAnsi="Calibri" w:cs="Calibri"/>
                <w:sz w:val="18"/>
                <w:szCs w:val="18"/>
                <w:lang w:eastAsia="hr-HR"/>
              </w:rPr>
              <w:t xml:space="preserve"> t</w:t>
            </w:r>
            <w:r w:rsidR="00DE4C0F">
              <w:rPr>
                <w:rFonts w:ascii="Calibri" w:eastAsia="Times New Roman" w:hAnsi="Calibri" w:cs="Calibri"/>
                <w:sz w:val="18"/>
                <w:szCs w:val="18"/>
                <w:lang w:eastAsia="hr-HR"/>
              </w:rPr>
              <w:t>la te</w:t>
            </w:r>
            <w:r w:rsidRPr="00B42611">
              <w:rPr>
                <w:rFonts w:ascii="Calibri" w:eastAsia="Times New Roman" w:hAnsi="Calibri" w:cs="Calibri"/>
                <w:sz w:val="18"/>
                <w:szCs w:val="18"/>
                <w:lang w:eastAsia="hr-HR"/>
              </w:rPr>
              <w:t xml:space="preserve"> sustavno poduzim</w:t>
            </w:r>
            <w:r w:rsidR="00037EF0">
              <w:rPr>
                <w:rFonts w:ascii="Calibri" w:eastAsia="Times New Roman" w:hAnsi="Calibri" w:cs="Calibri"/>
                <w:sz w:val="18"/>
                <w:szCs w:val="18"/>
                <w:lang w:eastAsia="hr-HR"/>
              </w:rPr>
              <w:t>ati</w:t>
            </w:r>
            <w:r w:rsidRPr="00B42611">
              <w:rPr>
                <w:rFonts w:ascii="Calibri" w:eastAsia="Times New Roman" w:hAnsi="Calibri" w:cs="Calibri"/>
                <w:sz w:val="18"/>
                <w:szCs w:val="18"/>
                <w:lang w:eastAsia="hr-HR"/>
              </w:rPr>
              <w:t xml:space="preserve"> mjer</w:t>
            </w:r>
            <w:r w:rsidR="00037EF0">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u očuvanju n</w:t>
            </w:r>
            <w:r w:rsidR="00DE4C0F">
              <w:rPr>
                <w:rFonts w:ascii="Calibri" w:eastAsia="Times New Roman" w:hAnsi="Calibri" w:cs="Calibri"/>
                <w:sz w:val="18"/>
                <w:szCs w:val="18"/>
                <w:lang w:eastAsia="hr-HR"/>
              </w:rPr>
              <w:t>jegove</w:t>
            </w:r>
            <w:r w:rsidRPr="00B42611">
              <w:rPr>
                <w:rFonts w:ascii="Calibri" w:eastAsia="Times New Roman" w:hAnsi="Calibri" w:cs="Calibri"/>
                <w:sz w:val="18"/>
                <w:szCs w:val="18"/>
                <w:lang w:eastAsia="hr-HR"/>
              </w:rPr>
              <w:t xml:space="preserve"> čistoće</w:t>
            </w:r>
          </w:p>
          <w:p w14:paraId="7F22788F" w14:textId="4F42CB45" w:rsidR="00C17261" w:rsidRPr="00B42611" w:rsidRDefault="00CD61EF" w:rsidP="00165C16">
            <w:pPr>
              <w:numPr>
                <w:ilvl w:val="0"/>
                <w:numId w:val="1"/>
              </w:numPr>
              <w:tabs>
                <w:tab w:val="num" w:pos="284"/>
              </w:tabs>
              <w:spacing w:before="60" w:beforeAutospacing="1" w:after="60" w:afterAutospacing="1" w:line="240" w:lineRule="auto"/>
              <w:ind w:left="284" w:right="-2" w:hanging="284"/>
              <w:rPr>
                <w:rFonts w:ascii="Calibri" w:eastAsia="Times New Roman" w:hAnsi="Calibri" w:cs="Calibri"/>
                <w:b/>
                <w:sz w:val="18"/>
                <w:szCs w:val="18"/>
                <w:lang w:eastAsia="hr-HR"/>
              </w:rPr>
            </w:pPr>
            <w:r>
              <w:rPr>
                <w:rFonts w:ascii="Calibri" w:eastAsia="Times New Roman" w:hAnsi="Calibri" w:cs="Calibri"/>
                <w:sz w:val="18"/>
                <w:szCs w:val="18"/>
                <w:lang w:eastAsia="hr-HR"/>
              </w:rPr>
              <w:t xml:space="preserve">provoditi </w:t>
            </w:r>
            <w:r w:rsidR="00C17261" w:rsidRPr="00B42611">
              <w:rPr>
                <w:rFonts w:ascii="Calibri" w:eastAsia="Times New Roman" w:hAnsi="Calibri" w:cs="Calibri"/>
                <w:sz w:val="18"/>
                <w:szCs w:val="18"/>
                <w:lang w:eastAsia="hr-HR"/>
              </w:rPr>
              <w:t>edukacij</w:t>
            </w:r>
            <w:r>
              <w:rPr>
                <w:rFonts w:ascii="Calibri" w:eastAsia="Times New Roman" w:hAnsi="Calibri" w:cs="Calibri"/>
                <w:sz w:val="18"/>
                <w:szCs w:val="18"/>
                <w:lang w:eastAsia="hr-HR"/>
              </w:rPr>
              <w:t>u</w:t>
            </w:r>
            <w:r w:rsidR="00C17261" w:rsidRPr="00B42611">
              <w:rPr>
                <w:rFonts w:ascii="Calibri" w:eastAsia="Times New Roman" w:hAnsi="Calibri" w:cs="Calibri"/>
                <w:sz w:val="18"/>
                <w:szCs w:val="18"/>
                <w:lang w:eastAsia="hr-HR"/>
              </w:rPr>
              <w:t xml:space="preserve"> poljoprivrednika o racionalnoj primjeni gnojiva i pesticida i primjeni “zelene gnojidbe”</w:t>
            </w:r>
          </w:p>
        </w:tc>
      </w:tr>
    </w:tbl>
    <w:p w14:paraId="5359EFD9" w14:textId="77777777" w:rsidR="007773DF" w:rsidRDefault="007773DF" w:rsidP="00C17261">
      <w:pPr>
        <w:tabs>
          <w:tab w:val="left" w:pos="-720"/>
        </w:tabs>
        <w:suppressAutoHyphens/>
        <w:spacing w:after="200" w:line="240" w:lineRule="auto"/>
        <w:ind w:right="-2"/>
        <w:jc w:val="both"/>
        <w:rPr>
          <w:rFonts w:ascii="Calibri" w:eastAsia="Calibri" w:hAnsi="Calibri" w:cs="Calibri"/>
          <w:b/>
        </w:rPr>
      </w:pPr>
    </w:p>
    <w:p w14:paraId="3618B6D1" w14:textId="41994C67" w:rsidR="007773DF" w:rsidRDefault="00C17261" w:rsidP="00C17261">
      <w:pPr>
        <w:tabs>
          <w:tab w:val="left" w:pos="-720"/>
        </w:tabs>
        <w:suppressAutoHyphens/>
        <w:spacing w:after="200" w:line="240" w:lineRule="auto"/>
        <w:ind w:right="-2"/>
        <w:jc w:val="both"/>
        <w:rPr>
          <w:rFonts w:ascii="Calibri" w:eastAsia="Calibri" w:hAnsi="Calibri" w:cs="Calibri"/>
          <w:b/>
        </w:rPr>
      </w:pPr>
      <w:r w:rsidRPr="00CC422F">
        <w:rPr>
          <w:rFonts w:ascii="Calibri" w:eastAsia="Calibri" w:hAnsi="Calibri" w:cs="Calibri"/>
          <w:b/>
        </w:rPr>
        <w:t>Klimatska obilježja.</w:t>
      </w:r>
      <w:r w:rsidRPr="00CC422F">
        <w:rPr>
          <w:rFonts w:ascii="Calibri" w:eastAsia="Calibri" w:hAnsi="Calibri" w:cs="Calibri"/>
          <w:bCs/>
        </w:rPr>
        <w:t xml:space="preserve"> Prema geografskom smještaju, područje Grada Zagreba spada u umjerene širine u kojima su razvijena sva četiri godišnja doba. U 2019. godini za postaju Zagreb-Grič srednja godišnja temperatura zraka iznosila je 14,2°C zbog čega je 2019. godina najtoplija godina postaje Zagreb-Grič od početka meteoroloških motrenja 1862. Očigledan je i dalje pozitivan trend srednje godišnje temperature zraka (1,1 °C/100 god) za Zagreb-Grič. Navedeno ukazuje na činjenicu da temperatura zraka u Hrvatskoj i dalje prati trend globalnog zatopljenja s izvjesnim međugodišnjim kolebanjima.</w:t>
      </w:r>
      <w:r w:rsidRPr="00CC422F">
        <w:rPr>
          <w:rFonts w:ascii="Calibri" w:eastAsia="Calibri" w:hAnsi="Calibri" w:cs="Calibri"/>
          <w:bCs/>
          <w:vertAlign w:val="superscript"/>
        </w:rPr>
        <w:footnoteReference w:id="7"/>
      </w:r>
      <w:r w:rsidRPr="00CC422F">
        <w:rPr>
          <w:rFonts w:ascii="Calibri" w:eastAsia="Calibri" w:hAnsi="Calibri" w:cs="Calibri"/>
          <w:bCs/>
        </w:rPr>
        <w:t xml:space="preserve"> Najviša srednja prosječna temperatura zraka u Zagrebu 2019. bila je u lipnju (24,8°C). Godišnja količina oborina u 20</w:t>
      </w:r>
      <w:r>
        <w:rPr>
          <w:rFonts w:ascii="Calibri" w:eastAsia="Calibri" w:hAnsi="Calibri" w:cs="Calibri"/>
          <w:bCs/>
        </w:rPr>
        <w:t>20</w:t>
      </w:r>
      <w:r w:rsidRPr="00CC422F">
        <w:rPr>
          <w:rFonts w:ascii="Calibri" w:eastAsia="Calibri" w:hAnsi="Calibri" w:cs="Calibri"/>
          <w:bCs/>
        </w:rPr>
        <w:t xml:space="preserve">. iznosila je  </w:t>
      </w:r>
      <w:r>
        <w:rPr>
          <w:rFonts w:ascii="Calibri" w:eastAsia="Calibri" w:hAnsi="Calibri" w:cs="Calibri"/>
          <w:bCs/>
        </w:rPr>
        <w:t xml:space="preserve">972,0 </w:t>
      </w:r>
      <w:r w:rsidRPr="00CC422F">
        <w:rPr>
          <w:rFonts w:ascii="Calibri" w:eastAsia="Calibri" w:hAnsi="Calibri" w:cs="Calibri"/>
          <w:bCs/>
        </w:rPr>
        <w:t>mm</w:t>
      </w:r>
      <w:r w:rsidRPr="00CC422F">
        <w:rPr>
          <w:rFonts w:ascii="Calibri" w:eastAsia="Calibri" w:hAnsi="Calibri" w:cs="Calibri"/>
          <w:bCs/>
          <w:vertAlign w:val="superscript"/>
        </w:rPr>
        <w:footnoteReference w:id="8"/>
      </w:r>
      <w:r w:rsidRPr="00CC422F">
        <w:rPr>
          <w:rFonts w:ascii="Calibri" w:eastAsia="Calibri" w:hAnsi="Calibri" w:cs="Calibri"/>
          <w:bCs/>
        </w:rPr>
        <w:t xml:space="preserve">. Godišnji hod pokazuje dva maksimuma: jedan u rano ljeto (kontinentalni utjecaj), drugi u jesen (maritimni utjecaj). Najmanja količina padalina zabilježena je u  </w:t>
      </w:r>
      <w:r>
        <w:rPr>
          <w:rFonts w:ascii="Calibri" w:eastAsia="Calibri" w:hAnsi="Calibri" w:cs="Calibri"/>
          <w:bCs/>
        </w:rPr>
        <w:t>siječnju 2020</w:t>
      </w:r>
      <w:r w:rsidRPr="00CC422F">
        <w:rPr>
          <w:rFonts w:ascii="Calibri" w:eastAsia="Calibri" w:hAnsi="Calibri" w:cs="Calibri"/>
          <w:bCs/>
        </w:rPr>
        <w:t>. Gradsko područje Zagreba ima manje od 40 dana sa snježnim pokrivačem, a prostori južno od grada preko 40 dana. Maksimalna visina snijega je u gradu i nizinskim predjelima 50-80 cm, a na Medvednici preko 100 cm (90 dana sa snijegom). Vlaga zraka se na gradskom području Zagreba u prosjeku kreće od 60-70%. Dominantna strujanja zraka na zagrebačkom području su iz smjerova NE i WSW. Prosječno godišnje trajanje sijanja sunca kreće se u vrijednostima do 1.808 sati (stanica Zagreb-Maksimir). Maksimum naoblake u prosincu povezan je s najvećom ciklonalnom aktivnošću, a minimum je u kolovozu.</w:t>
      </w:r>
      <w:r w:rsidRPr="00CC422F">
        <w:rPr>
          <w:rFonts w:ascii="Calibri" w:eastAsia="Calibri" w:hAnsi="Calibri" w:cs="Calibri"/>
          <w:b/>
        </w:rPr>
        <w:t xml:space="preserve"> </w:t>
      </w:r>
    </w:p>
    <w:p w14:paraId="3114E482" w14:textId="77777777" w:rsidR="00A35A5B" w:rsidRDefault="00A35A5B" w:rsidP="00C17261">
      <w:pPr>
        <w:tabs>
          <w:tab w:val="left" w:pos="-720"/>
        </w:tabs>
        <w:suppressAutoHyphens/>
        <w:spacing w:after="200" w:line="240" w:lineRule="auto"/>
        <w:ind w:right="-2"/>
        <w:jc w:val="both"/>
        <w:rPr>
          <w:rFonts w:ascii="Calibri" w:eastAsia="Calibri" w:hAnsi="Calibri" w:cs="Calibri"/>
          <w:b/>
        </w:rPr>
      </w:pPr>
    </w:p>
    <w:tbl>
      <w:tblPr>
        <w:tblW w:w="5000" w:type="pct"/>
        <w:tblLook w:val="01E0" w:firstRow="1" w:lastRow="1" w:firstColumn="1" w:lastColumn="1" w:noHBand="0" w:noVBand="0"/>
      </w:tblPr>
      <w:tblGrid>
        <w:gridCol w:w="4536"/>
        <w:gridCol w:w="4536"/>
      </w:tblGrid>
      <w:tr w:rsidR="00C17261" w:rsidRPr="00CC422F" w14:paraId="2D7E306D" w14:textId="77777777" w:rsidTr="00F50578">
        <w:tc>
          <w:tcPr>
            <w:tcW w:w="2500" w:type="pct"/>
            <w:shd w:val="clear" w:color="auto" w:fill="CCCCCC"/>
          </w:tcPr>
          <w:p w14:paraId="59A9699D" w14:textId="77777777" w:rsidR="00C17261" w:rsidRPr="00CC422F" w:rsidRDefault="00C17261" w:rsidP="00F50578">
            <w:pPr>
              <w:spacing w:before="60" w:after="60" w:line="240" w:lineRule="auto"/>
              <w:jc w:val="both"/>
              <w:rPr>
                <w:rFonts w:ascii="Calibri" w:eastAsia="Times New Roman" w:hAnsi="Calibri" w:cs="Calibri"/>
                <w:b/>
                <w:sz w:val="18"/>
                <w:szCs w:val="18"/>
                <w:lang w:eastAsia="hr-HR"/>
              </w:rPr>
            </w:pPr>
            <w:r w:rsidRPr="00CC422F">
              <w:rPr>
                <w:rFonts w:ascii="Calibri" w:eastAsia="Times New Roman" w:hAnsi="Calibri" w:cs="Calibri"/>
                <w:b/>
                <w:sz w:val="18"/>
                <w:szCs w:val="18"/>
                <w:lang w:eastAsia="hr-HR"/>
              </w:rPr>
              <w:t>RAZVOJNI PROBLEMI</w:t>
            </w:r>
          </w:p>
        </w:tc>
        <w:tc>
          <w:tcPr>
            <w:tcW w:w="2500" w:type="pct"/>
            <w:shd w:val="clear" w:color="auto" w:fill="99CCFF"/>
          </w:tcPr>
          <w:p w14:paraId="534587F9" w14:textId="77777777" w:rsidR="00C17261" w:rsidRPr="00CC422F" w:rsidRDefault="00C17261" w:rsidP="00F50578">
            <w:pPr>
              <w:spacing w:before="60" w:after="60" w:line="240" w:lineRule="auto"/>
              <w:jc w:val="both"/>
              <w:rPr>
                <w:rFonts w:ascii="Calibri" w:eastAsia="Times New Roman" w:hAnsi="Calibri" w:cs="Calibri"/>
                <w:b/>
                <w:sz w:val="18"/>
                <w:szCs w:val="18"/>
                <w:lang w:eastAsia="hr-HR"/>
              </w:rPr>
            </w:pPr>
            <w:r w:rsidRPr="00CC422F">
              <w:rPr>
                <w:rFonts w:ascii="Calibri" w:eastAsia="Times New Roman" w:hAnsi="Calibri" w:cs="Calibri"/>
                <w:b/>
                <w:sz w:val="18"/>
                <w:szCs w:val="18"/>
                <w:lang w:eastAsia="hr-HR"/>
              </w:rPr>
              <w:t>RAZVOJNE POTREBE</w:t>
            </w:r>
          </w:p>
        </w:tc>
      </w:tr>
      <w:tr w:rsidR="00C17261" w:rsidRPr="00CC422F" w14:paraId="16F47C64" w14:textId="77777777" w:rsidTr="00F50578">
        <w:trPr>
          <w:trHeight w:val="1193"/>
        </w:trPr>
        <w:tc>
          <w:tcPr>
            <w:tcW w:w="2500" w:type="pct"/>
            <w:shd w:val="clear" w:color="auto" w:fill="CCCCCC"/>
          </w:tcPr>
          <w:p w14:paraId="5D149EB0" w14:textId="77777777" w:rsidR="00C17261" w:rsidRPr="00CC422F" w:rsidRDefault="00C17261" w:rsidP="00165C16">
            <w:pPr>
              <w:numPr>
                <w:ilvl w:val="0"/>
                <w:numId w:val="1"/>
              </w:numPr>
              <w:tabs>
                <w:tab w:val="clear" w:pos="720"/>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sidRPr="00CC422F">
              <w:rPr>
                <w:rFonts w:ascii="Calibri" w:eastAsia="Times New Roman" w:hAnsi="Calibri" w:cs="Calibri"/>
                <w:sz w:val="18"/>
                <w:szCs w:val="18"/>
                <w:lang w:eastAsia="hr-HR"/>
              </w:rPr>
              <w:lastRenderedPageBreak/>
              <w:t>sve veći negativni utjecaji globalnog zatopljenja (povećanje broja ekstremnih klimatskih događaja)</w:t>
            </w:r>
          </w:p>
          <w:p w14:paraId="7B189EA6" w14:textId="77777777" w:rsidR="00C17261" w:rsidRPr="00CC422F" w:rsidRDefault="00C17261" w:rsidP="00165C16">
            <w:pPr>
              <w:numPr>
                <w:ilvl w:val="0"/>
                <w:numId w:val="1"/>
              </w:numPr>
              <w:tabs>
                <w:tab w:val="clear" w:pos="720"/>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sidRPr="00CC422F">
              <w:rPr>
                <w:rFonts w:ascii="Calibri" w:eastAsia="Times New Roman" w:hAnsi="Calibri" w:cs="Calibri"/>
                <w:sz w:val="18"/>
                <w:szCs w:val="18"/>
                <w:lang w:eastAsia="hr-HR"/>
              </w:rPr>
              <w:t>nedovoljno ulaganje u povećanje energetske učinkovitosti objekata (poslovne i stambene zgrade, obiteljske kuće)</w:t>
            </w:r>
          </w:p>
        </w:tc>
        <w:tc>
          <w:tcPr>
            <w:tcW w:w="2500" w:type="pct"/>
            <w:shd w:val="clear" w:color="auto" w:fill="99CCFF"/>
          </w:tcPr>
          <w:p w14:paraId="7A8B48E7" w14:textId="1F46BA7A" w:rsidR="00C17261" w:rsidRPr="00CC422F" w:rsidRDefault="008262ED" w:rsidP="00165C16">
            <w:pPr>
              <w:numPr>
                <w:ilvl w:val="0"/>
                <w:numId w:val="1"/>
              </w:numPr>
              <w:tabs>
                <w:tab w:val="clear" w:pos="720"/>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a</w:t>
            </w:r>
            <w:r w:rsidR="00C17261" w:rsidRPr="00CC422F">
              <w:rPr>
                <w:rFonts w:ascii="Calibri" w:eastAsia="Times New Roman" w:hAnsi="Calibri" w:cs="Calibri"/>
                <w:sz w:val="18"/>
                <w:szCs w:val="18"/>
                <w:lang w:eastAsia="hr-HR"/>
              </w:rPr>
              <w:t>ktivno provo</w:t>
            </w:r>
            <w:r w:rsidR="00037EF0">
              <w:rPr>
                <w:rFonts w:ascii="Calibri" w:eastAsia="Times New Roman" w:hAnsi="Calibri" w:cs="Calibri"/>
                <w:sz w:val="18"/>
                <w:szCs w:val="18"/>
                <w:lang w:eastAsia="hr-HR"/>
              </w:rPr>
              <w:t>diti</w:t>
            </w:r>
            <w:r w:rsidR="00C17261" w:rsidRPr="00CC422F">
              <w:rPr>
                <w:rFonts w:ascii="Calibri" w:eastAsia="Times New Roman" w:hAnsi="Calibri" w:cs="Calibri"/>
                <w:sz w:val="18"/>
                <w:szCs w:val="18"/>
                <w:lang w:eastAsia="hr-HR"/>
              </w:rPr>
              <w:t xml:space="preserve"> mjer</w:t>
            </w:r>
            <w:r w:rsidR="00037EF0">
              <w:rPr>
                <w:rFonts w:ascii="Calibri" w:eastAsia="Times New Roman" w:hAnsi="Calibri" w:cs="Calibri"/>
                <w:sz w:val="18"/>
                <w:szCs w:val="18"/>
                <w:lang w:eastAsia="hr-HR"/>
              </w:rPr>
              <w:t>e</w:t>
            </w:r>
            <w:r w:rsidR="00C17261" w:rsidRPr="00CC422F">
              <w:rPr>
                <w:rFonts w:ascii="Calibri" w:eastAsia="Times New Roman" w:hAnsi="Calibri" w:cs="Calibri"/>
                <w:sz w:val="18"/>
                <w:szCs w:val="18"/>
                <w:lang w:eastAsia="hr-HR"/>
              </w:rPr>
              <w:t xml:space="preserve"> definiran</w:t>
            </w:r>
            <w:r w:rsidR="00037EF0">
              <w:rPr>
                <w:rFonts w:ascii="Calibri" w:eastAsia="Times New Roman" w:hAnsi="Calibri" w:cs="Calibri"/>
                <w:sz w:val="18"/>
                <w:szCs w:val="18"/>
                <w:lang w:eastAsia="hr-HR"/>
              </w:rPr>
              <w:t>e</w:t>
            </w:r>
            <w:r w:rsidR="00C17261" w:rsidRPr="00CC422F">
              <w:rPr>
                <w:rFonts w:ascii="Calibri" w:eastAsia="Times New Roman" w:hAnsi="Calibri" w:cs="Calibri"/>
                <w:sz w:val="18"/>
                <w:szCs w:val="18"/>
                <w:lang w:eastAsia="hr-HR"/>
              </w:rPr>
              <w:t xml:space="preserve"> u Akcijskom planu energetski održivog razvitka i prilagodbe klimatskim promjenama Grada Zagreba</w:t>
            </w:r>
          </w:p>
          <w:p w14:paraId="4C78B6D6" w14:textId="1EC16C28" w:rsidR="00C17261" w:rsidRPr="00CC422F" w:rsidRDefault="008262ED" w:rsidP="00165C16">
            <w:pPr>
              <w:numPr>
                <w:ilvl w:val="0"/>
                <w:numId w:val="1"/>
              </w:numPr>
              <w:tabs>
                <w:tab w:val="clear" w:pos="720"/>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u</w:t>
            </w:r>
            <w:r w:rsidR="00C17261" w:rsidRPr="00CC422F">
              <w:rPr>
                <w:rFonts w:ascii="Calibri" w:eastAsia="Times New Roman" w:hAnsi="Calibri" w:cs="Calibri"/>
                <w:sz w:val="18"/>
                <w:szCs w:val="18"/>
                <w:lang w:eastAsia="hr-HR"/>
              </w:rPr>
              <w:t>građiva</w:t>
            </w:r>
            <w:r w:rsidR="00037EF0">
              <w:rPr>
                <w:rFonts w:ascii="Calibri" w:eastAsia="Times New Roman" w:hAnsi="Calibri" w:cs="Calibri"/>
                <w:sz w:val="18"/>
                <w:szCs w:val="18"/>
                <w:lang w:eastAsia="hr-HR"/>
              </w:rPr>
              <w:t>ti</w:t>
            </w:r>
            <w:r w:rsidR="00C17261" w:rsidRPr="00CC422F">
              <w:rPr>
                <w:rFonts w:ascii="Calibri" w:eastAsia="Times New Roman" w:hAnsi="Calibri" w:cs="Calibri"/>
                <w:sz w:val="18"/>
                <w:szCs w:val="18"/>
                <w:lang w:eastAsia="hr-HR"/>
              </w:rPr>
              <w:t xml:space="preserve"> energetsk</w:t>
            </w:r>
            <w:r w:rsidR="00037EF0">
              <w:rPr>
                <w:rFonts w:ascii="Calibri" w:eastAsia="Times New Roman" w:hAnsi="Calibri" w:cs="Calibri"/>
                <w:sz w:val="18"/>
                <w:szCs w:val="18"/>
                <w:lang w:eastAsia="hr-HR"/>
              </w:rPr>
              <w:t>e</w:t>
            </w:r>
            <w:r w:rsidR="00C17261" w:rsidRPr="00CC422F">
              <w:rPr>
                <w:rFonts w:ascii="Calibri" w:eastAsia="Times New Roman" w:hAnsi="Calibri" w:cs="Calibri"/>
                <w:sz w:val="18"/>
                <w:szCs w:val="18"/>
                <w:lang w:eastAsia="hr-HR"/>
              </w:rPr>
              <w:t xml:space="preserve"> i klimatsk</w:t>
            </w:r>
            <w:r w:rsidR="00037EF0">
              <w:rPr>
                <w:rFonts w:ascii="Calibri" w:eastAsia="Times New Roman" w:hAnsi="Calibri" w:cs="Calibri"/>
                <w:sz w:val="18"/>
                <w:szCs w:val="18"/>
                <w:lang w:eastAsia="hr-HR"/>
              </w:rPr>
              <w:t>e</w:t>
            </w:r>
            <w:r w:rsidR="00C17261" w:rsidRPr="00CC422F">
              <w:rPr>
                <w:rFonts w:ascii="Calibri" w:eastAsia="Times New Roman" w:hAnsi="Calibri" w:cs="Calibri"/>
                <w:sz w:val="18"/>
                <w:szCs w:val="18"/>
                <w:lang w:eastAsia="hr-HR"/>
              </w:rPr>
              <w:t xml:space="preserve"> paramet</w:t>
            </w:r>
            <w:r w:rsidR="00037EF0">
              <w:rPr>
                <w:rFonts w:ascii="Calibri" w:eastAsia="Times New Roman" w:hAnsi="Calibri" w:cs="Calibri"/>
                <w:sz w:val="18"/>
                <w:szCs w:val="18"/>
                <w:lang w:eastAsia="hr-HR"/>
              </w:rPr>
              <w:t>re</w:t>
            </w:r>
            <w:r w:rsidR="00C17261" w:rsidRPr="00CC422F">
              <w:rPr>
                <w:rFonts w:ascii="Calibri" w:eastAsia="Times New Roman" w:hAnsi="Calibri" w:cs="Calibri"/>
                <w:sz w:val="18"/>
                <w:szCs w:val="18"/>
                <w:lang w:eastAsia="hr-HR"/>
              </w:rPr>
              <w:t xml:space="preserve"> u procese prostornog i budžetnog planiranja</w:t>
            </w:r>
          </w:p>
          <w:p w14:paraId="4E0AFF64" w14:textId="7220ADDF" w:rsidR="00C17261" w:rsidRPr="00CC422F" w:rsidRDefault="00C17261" w:rsidP="00165C16">
            <w:pPr>
              <w:numPr>
                <w:ilvl w:val="0"/>
                <w:numId w:val="1"/>
              </w:numPr>
              <w:tabs>
                <w:tab w:val="clear" w:pos="720"/>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sidRPr="00CC422F">
              <w:rPr>
                <w:rFonts w:ascii="Calibri" w:eastAsia="Times New Roman" w:hAnsi="Calibri" w:cs="Calibri"/>
                <w:sz w:val="18"/>
                <w:szCs w:val="18"/>
                <w:lang w:eastAsia="hr-HR"/>
              </w:rPr>
              <w:t>uskla</w:t>
            </w:r>
            <w:r w:rsidR="00037EF0">
              <w:rPr>
                <w:rFonts w:ascii="Calibri" w:eastAsia="Times New Roman" w:hAnsi="Calibri" w:cs="Calibri"/>
                <w:sz w:val="18"/>
                <w:szCs w:val="18"/>
                <w:lang w:eastAsia="hr-HR"/>
              </w:rPr>
              <w:t>diti</w:t>
            </w:r>
            <w:r w:rsidRPr="00CC422F">
              <w:rPr>
                <w:rFonts w:ascii="Calibri" w:eastAsia="Times New Roman" w:hAnsi="Calibri" w:cs="Calibri"/>
                <w:sz w:val="18"/>
                <w:szCs w:val="18"/>
                <w:lang w:eastAsia="hr-HR"/>
              </w:rPr>
              <w:t xml:space="preserve"> sv</w:t>
            </w:r>
            <w:r w:rsidR="00037EF0">
              <w:rPr>
                <w:rFonts w:ascii="Calibri" w:eastAsia="Times New Roman" w:hAnsi="Calibri" w:cs="Calibri"/>
                <w:sz w:val="18"/>
                <w:szCs w:val="18"/>
                <w:lang w:eastAsia="hr-HR"/>
              </w:rPr>
              <w:t>e</w:t>
            </w:r>
            <w:r w:rsidRPr="00CC422F">
              <w:rPr>
                <w:rFonts w:ascii="Calibri" w:eastAsia="Times New Roman" w:hAnsi="Calibri" w:cs="Calibri"/>
                <w:sz w:val="18"/>
                <w:szCs w:val="18"/>
                <w:lang w:eastAsia="hr-HR"/>
              </w:rPr>
              <w:t xml:space="preserve"> aktivnosti s Europskim zelenim planom</w:t>
            </w:r>
          </w:p>
        </w:tc>
      </w:tr>
    </w:tbl>
    <w:p w14:paraId="3C54D2BC" w14:textId="77777777" w:rsidR="00C17261" w:rsidRPr="00CC422F" w:rsidRDefault="00C17261" w:rsidP="00C17261">
      <w:pPr>
        <w:tabs>
          <w:tab w:val="left" w:pos="-720"/>
        </w:tabs>
        <w:suppressAutoHyphens/>
        <w:spacing w:after="200" w:line="240" w:lineRule="auto"/>
        <w:ind w:right="-2"/>
        <w:jc w:val="both"/>
        <w:rPr>
          <w:rFonts w:ascii="Calibri" w:eastAsia="Calibri" w:hAnsi="Calibri" w:cs="Calibri"/>
          <w:b/>
        </w:rPr>
      </w:pPr>
    </w:p>
    <w:p w14:paraId="1D2537F0" w14:textId="77777777" w:rsidR="00C17261" w:rsidRPr="00720B2D" w:rsidRDefault="00C17261" w:rsidP="00C17261">
      <w:pPr>
        <w:tabs>
          <w:tab w:val="left" w:pos="-720"/>
        </w:tabs>
        <w:suppressAutoHyphens/>
        <w:spacing w:after="200" w:line="240" w:lineRule="auto"/>
        <w:ind w:right="-2"/>
        <w:jc w:val="both"/>
        <w:rPr>
          <w:rFonts w:ascii="Calibri" w:eastAsia="Calibri" w:hAnsi="Calibri" w:cs="Calibri"/>
          <w:bCs/>
        </w:rPr>
      </w:pPr>
      <w:r w:rsidRPr="00BF07AD">
        <w:rPr>
          <w:rFonts w:ascii="Calibri" w:eastAsia="Calibri" w:hAnsi="Calibri" w:cs="Times New Roman"/>
          <w:b/>
          <w:bCs/>
        </w:rPr>
        <w:t xml:space="preserve">Šume. </w:t>
      </w:r>
      <w:r w:rsidRPr="00BF07AD">
        <w:rPr>
          <w:rFonts w:ascii="Calibri" w:eastAsia="Calibri" w:hAnsi="Calibri" w:cs="Times New Roman"/>
        </w:rPr>
        <w:t xml:space="preserve">Na području Grada Zagreba nalazi se 19.196 ha šuma, od čega državnih šuma kojima gospodare Hrvatske šume ima 8.791 ha, državnih šuma koje koriste drugi pravni subjekti (Šumarski fakultet, Vlada RH) 899 ha, a privatne pravne i fizičke osobe posjeduju 9.506 ha šuma. Udio površine državnih i privatnih šuma, zbog procesa povrata imovine, mijenja se gotovo na dnevnoj razini u korist privatnih šuma. Najniži vegetacijski pojas zastupljen je </w:t>
      </w:r>
      <w:r>
        <w:rPr>
          <w:rFonts w:ascii="Calibri" w:eastAsia="Calibri" w:hAnsi="Calibri" w:cs="Times New Roman"/>
        </w:rPr>
        <w:t xml:space="preserve">u </w:t>
      </w:r>
      <w:r w:rsidRPr="00BF07AD">
        <w:rPr>
          <w:rFonts w:ascii="Calibri" w:eastAsia="Calibri" w:hAnsi="Calibri" w:cs="Times New Roman"/>
        </w:rPr>
        <w:t>zajednicama poplavnih šuma vrba i topola, crne johe s trušljikom, poljskog jasena s kasnim drijemovcem, hrasta lužnjaka s velikom žutilovkom te hrasta lužnjaka i običnog graba. U brežuljkastom vegetacijskom pojasu nalazi se Ilirska šuma hrasta kitnjaka i običnog graba s biskupskom kapicom te šuma hrasta kitnjaka i pitomog kestena s enklavama termofilnih šuma kao što su acidotermofilna šuma hrasta kitnjaka i sitnocvjetoga petoprsta, kontinentalna šuma hrasta medunca i crnog graba te šuma hrasta kitnjaka sa jesenskom šašikom. Slijedeć</w:t>
      </w:r>
      <w:r>
        <w:rPr>
          <w:rFonts w:ascii="Calibri" w:eastAsia="Calibri" w:hAnsi="Calibri" w:cs="Times New Roman"/>
        </w:rPr>
        <w:t>u</w:t>
      </w:r>
      <w:r w:rsidRPr="00BF07AD">
        <w:rPr>
          <w:rFonts w:ascii="Calibri" w:eastAsia="Calibri" w:hAnsi="Calibri" w:cs="Times New Roman"/>
        </w:rPr>
        <w:t xml:space="preserve"> klimazonalnu diferencijaciju šumskog prostora šume hrasta kitnjaka i običnog graba smjenjuje bukova šuma s lazarkinjom i bukova šuma s bjelkastom kapicom. Od 600 do 1.000 m nmv karakterizira rasprostranjenost panonske bukovo jelove šume s brdskom vlasuljom. U posebnim sinekološkim uvjetima razvijaju se sastojine gorskog javora i običnog jasena s gronjastim vratićem i šuma velelisne lipe i tise.</w:t>
      </w:r>
    </w:p>
    <w:tbl>
      <w:tblPr>
        <w:tblW w:w="5000" w:type="pct"/>
        <w:tblLook w:val="01E0" w:firstRow="1" w:lastRow="1" w:firstColumn="1" w:lastColumn="1" w:noHBand="0" w:noVBand="0"/>
      </w:tblPr>
      <w:tblGrid>
        <w:gridCol w:w="4536"/>
        <w:gridCol w:w="4536"/>
      </w:tblGrid>
      <w:tr w:rsidR="00C17261" w:rsidRPr="00B42611" w14:paraId="6FF91415" w14:textId="77777777" w:rsidTr="00F50578">
        <w:tc>
          <w:tcPr>
            <w:tcW w:w="2500" w:type="pct"/>
            <w:shd w:val="clear" w:color="auto" w:fill="CCCCCC"/>
          </w:tcPr>
          <w:p w14:paraId="1A8FB4AC"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sz w:val="24"/>
                <w:szCs w:val="24"/>
                <w:lang w:eastAsia="hr-HR"/>
              </w:rPr>
              <w:t xml:space="preserve"> </w:t>
            </w:r>
            <w:r w:rsidRPr="00B42611">
              <w:rPr>
                <w:rFonts w:ascii="Calibri" w:eastAsia="Times New Roman" w:hAnsi="Calibri" w:cs="Calibri"/>
                <w:b/>
                <w:sz w:val="18"/>
                <w:szCs w:val="18"/>
                <w:lang w:eastAsia="hr-HR"/>
              </w:rPr>
              <w:t>RAZVOJNI PROBLEMI</w:t>
            </w:r>
          </w:p>
        </w:tc>
        <w:tc>
          <w:tcPr>
            <w:tcW w:w="2500" w:type="pct"/>
            <w:shd w:val="clear" w:color="auto" w:fill="99CCFF"/>
          </w:tcPr>
          <w:p w14:paraId="1612F2CB"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tc>
      </w:tr>
      <w:tr w:rsidR="00C17261" w:rsidRPr="00B42611" w14:paraId="39763EFC" w14:textId="77777777" w:rsidTr="00F50578">
        <w:tc>
          <w:tcPr>
            <w:tcW w:w="2500" w:type="pct"/>
            <w:shd w:val="clear" w:color="auto" w:fill="CCCCCC"/>
          </w:tcPr>
          <w:p w14:paraId="41846EA0"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nedovoljna senzibiliziranost i educiranost javnosti za općekorisne funkcije šuma</w:t>
            </w:r>
          </w:p>
        </w:tc>
        <w:tc>
          <w:tcPr>
            <w:tcW w:w="2500" w:type="pct"/>
            <w:shd w:val="clear" w:color="auto" w:fill="99CCFF"/>
          </w:tcPr>
          <w:p w14:paraId="1094D9DA"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senzibilizirati javnost za šume u njihovu okruženju (kritična točka su šume u centru grada )</w:t>
            </w:r>
          </w:p>
        </w:tc>
      </w:tr>
      <w:tr w:rsidR="00C17261" w:rsidRPr="00B42611" w14:paraId="66A1EC93" w14:textId="77777777" w:rsidTr="00F50578">
        <w:tc>
          <w:tcPr>
            <w:tcW w:w="2500" w:type="pct"/>
            <w:shd w:val="clear" w:color="auto" w:fill="CCCCCC"/>
          </w:tcPr>
          <w:p w14:paraId="085B2BA2"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veliki udio privatnih usitnjenih šumskih parcela u ukupnoj površini šuma</w:t>
            </w:r>
          </w:p>
        </w:tc>
        <w:tc>
          <w:tcPr>
            <w:tcW w:w="2500" w:type="pct"/>
            <w:shd w:val="clear" w:color="auto" w:fill="99CCFF"/>
          </w:tcPr>
          <w:p w14:paraId="2CA5906A"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osigurati opstanak šume na malom posjedu privatnih šumovlasnika </w:t>
            </w:r>
          </w:p>
        </w:tc>
      </w:tr>
      <w:tr w:rsidR="00C17261" w:rsidRPr="00B42611" w14:paraId="693517AD" w14:textId="77777777" w:rsidTr="00F50578">
        <w:tc>
          <w:tcPr>
            <w:tcW w:w="2500" w:type="pct"/>
            <w:shd w:val="clear" w:color="auto" w:fill="CCCCCC"/>
          </w:tcPr>
          <w:p w14:paraId="6CFDBAD6"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nedovoljno definiran način upravljanja i mogućnosti korištenja</w:t>
            </w:r>
          </w:p>
          <w:p w14:paraId="5CF5921C"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neriješen imovinsko-pravni status šuma u vlasništvu fizičkih osoba</w:t>
            </w:r>
          </w:p>
          <w:p w14:paraId="53F32B71"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izrađeni i odobreni programi za privatne šume za svega jednu trećinu privatnih šuma na području Grada</w:t>
            </w:r>
          </w:p>
        </w:tc>
        <w:tc>
          <w:tcPr>
            <w:tcW w:w="2500" w:type="pct"/>
            <w:shd w:val="clear" w:color="auto" w:fill="99CCFF"/>
          </w:tcPr>
          <w:p w14:paraId="32D65DC7"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dovršiti i staviti u funkciju program gospodarenja privatnim šumama</w:t>
            </w:r>
          </w:p>
          <w:p w14:paraId="64D858F5" w14:textId="75B07E85"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r</w:t>
            </w:r>
            <w:r w:rsidR="00D800A3">
              <w:rPr>
                <w:rFonts w:ascii="Calibri" w:eastAsia="Times New Roman" w:hAnsi="Calibri" w:cs="Calibri"/>
                <w:sz w:val="18"/>
                <w:szCs w:val="18"/>
                <w:lang w:eastAsia="hr-HR"/>
              </w:rPr>
              <w:t>iješiti</w:t>
            </w:r>
            <w:r w:rsidRPr="00B42611">
              <w:rPr>
                <w:rFonts w:ascii="Calibri" w:eastAsia="Times New Roman" w:hAnsi="Calibri" w:cs="Calibri"/>
                <w:sz w:val="18"/>
                <w:szCs w:val="18"/>
                <w:lang w:eastAsia="hr-HR"/>
              </w:rPr>
              <w:t xml:space="preserve"> imovinsko-pravn</w:t>
            </w:r>
            <w:r w:rsidR="00D800A3">
              <w:rPr>
                <w:rFonts w:ascii="Calibri" w:eastAsia="Times New Roman" w:hAnsi="Calibri" w:cs="Calibri"/>
                <w:sz w:val="18"/>
                <w:szCs w:val="18"/>
                <w:lang w:eastAsia="hr-HR"/>
              </w:rPr>
              <w:t>i</w:t>
            </w:r>
            <w:r w:rsidRPr="00B42611">
              <w:rPr>
                <w:rFonts w:ascii="Calibri" w:eastAsia="Times New Roman" w:hAnsi="Calibri" w:cs="Calibri"/>
                <w:sz w:val="18"/>
                <w:szCs w:val="18"/>
                <w:lang w:eastAsia="hr-HR"/>
              </w:rPr>
              <w:t xml:space="preserve"> status šuma u vlasništvu fizičkih osoba</w:t>
            </w:r>
          </w:p>
          <w:p w14:paraId="5AD99BA6" w14:textId="73472EFC"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izrad</w:t>
            </w:r>
            <w:r w:rsidR="00D800A3">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program za gospodarenje šumama za preostale dvije trećine šuma u privatnom </w:t>
            </w:r>
            <w:r w:rsidRPr="00EA132A">
              <w:rPr>
                <w:rFonts w:ascii="Calibri" w:eastAsia="Times New Roman" w:hAnsi="Calibri" w:cs="Calibri"/>
                <w:sz w:val="18"/>
                <w:szCs w:val="18"/>
                <w:lang w:eastAsia="hr-HR"/>
              </w:rPr>
              <w:t>vlasništvu</w:t>
            </w:r>
            <w:r w:rsidRPr="00EA132A">
              <w:rPr>
                <w:rFonts w:ascii="Calibri" w:hAnsi="Calibri" w:cs="Calibri"/>
                <w:sz w:val="18"/>
                <w:szCs w:val="18"/>
              </w:rPr>
              <w:t xml:space="preserve"> te osigura</w:t>
            </w:r>
            <w:r w:rsidR="00D800A3">
              <w:rPr>
                <w:rFonts w:ascii="Calibri" w:hAnsi="Calibri" w:cs="Calibri"/>
                <w:sz w:val="18"/>
                <w:szCs w:val="18"/>
              </w:rPr>
              <w:t>ti</w:t>
            </w:r>
            <w:r w:rsidRPr="00EA132A">
              <w:rPr>
                <w:rFonts w:ascii="Calibri" w:hAnsi="Calibri" w:cs="Calibri"/>
                <w:sz w:val="18"/>
                <w:szCs w:val="18"/>
              </w:rPr>
              <w:t xml:space="preserve"> pravne podloge za provođenje programa</w:t>
            </w:r>
          </w:p>
        </w:tc>
      </w:tr>
    </w:tbl>
    <w:p w14:paraId="34DA4906"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
          <w:bCs/>
          <w:lang w:eastAsia="hr-HR"/>
        </w:rPr>
      </w:pPr>
    </w:p>
    <w:p w14:paraId="35304AB7"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lang w:eastAsia="hr-HR"/>
        </w:rPr>
      </w:pPr>
      <w:r w:rsidRPr="00B42611">
        <w:rPr>
          <w:rFonts w:ascii="Calibri" w:eastAsia="Times New Roman" w:hAnsi="Calibri" w:cs="Calibri"/>
          <w:b/>
          <w:bCs/>
          <w:lang w:eastAsia="hr-HR"/>
        </w:rPr>
        <w:t xml:space="preserve">Bioraznolikost. </w:t>
      </w:r>
      <w:r w:rsidRPr="00B42611">
        <w:rPr>
          <w:rFonts w:ascii="Calibri" w:eastAsia="Times New Roman" w:hAnsi="Calibri" w:cs="Calibri"/>
          <w:lang w:eastAsia="hr-HR"/>
        </w:rPr>
        <w:t>U Gradu Zagrebu još uvijek nedostaje cjelovita slika bioraznolikosti, jer su provedena samo fragmentarna istraživanja životinjskih, biljnih i gljiv</w:t>
      </w:r>
      <w:r>
        <w:rPr>
          <w:rFonts w:ascii="Calibri" w:eastAsia="Times New Roman" w:hAnsi="Calibri" w:cs="Calibri"/>
          <w:lang w:eastAsia="hr-HR"/>
        </w:rPr>
        <w:t>ljih v</w:t>
      </w:r>
      <w:r w:rsidRPr="00B42611">
        <w:rPr>
          <w:rFonts w:ascii="Calibri" w:eastAsia="Times New Roman" w:hAnsi="Calibri" w:cs="Calibri"/>
          <w:lang w:eastAsia="hr-HR"/>
        </w:rPr>
        <w:t>rsta, te utjecaja djelovanja čovjeka.</w:t>
      </w:r>
      <w:r w:rsidRPr="00B42611">
        <w:rPr>
          <w:rFonts w:ascii="Calibri" w:eastAsia="Times New Roman" w:hAnsi="Calibri" w:cs="Calibri"/>
          <w:i/>
          <w:iCs/>
          <w:sz w:val="16"/>
          <w:szCs w:val="16"/>
          <w:lang w:eastAsia="hr-HR"/>
        </w:rPr>
        <w:t xml:space="preserve"> </w:t>
      </w:r>
      <w:r w:rsidRPr="00B42611">
        <w:rPr>
          <w:rFonts w:ascii="Calibri" w:eastAsia="Times New Roman" w:hAnsi="Calibri" w:cs="Calibri"/>
          <w:lang w:eastAsia="hr-HR"/>
        </w:rPr>
        <w:t xml:space="preserve">Područje Grada ima floru, faunu i staništa tipična za južnije dijelove srednje Europe. Ukupno je dosad prema nacionalnoj klasifikaciji potvrđeno 63 različitih tipova staništa, 37 prirodnih i 26 antropogenih tipova. Lista staništa međutim još nije potpuna i novija istraživanja će doprinijeti točnijim saznanjima. </w:t>
      </w:r>
      <w:r w:rsidRPr="00B42611">
        <w:rPr>
          <w:rFonts w:ascii="Calibri" w:eastAsia="Times New Roman" w:hAnsi="Calibri" w:cs="Arial"/>
          <w:bCs/>
          <w:lang w:eastAsia="hr-HR"/>
        </w:rPr>
        <w:t>Ukupni broj vrsta gljiva, flore i faune nije poznat, iako je bilo pokušaja da se procijene biljke (&gt;1.160 vrsta).</w:t>
      </w:r>
      <w:r w:rsidRPr="00B42611">
        <w:rPr>
          <w:rFonts w:ascii="Arial" w:eastAsia="Times New Roman" w:hAnsi="Arial" w:cs="Arial"/>
          <w:bCs/>
          <w:lang w:eastAsia="hr-HR"/>
        </w:rPr>
        <w:t xml:space="preserve"> </w:t>
      </w:r>
      <w:r w:rsidRPr="00B42611">
        <w:rPr>
          <w:rFonts w:ascii="Calibri" w:eastAsia="Times New Roman" w:hAnsi="Calibri" w:cs="Calibri"/>
          <w:lang w:eastAsia="hr-HR"/>
        </w:rPr>
        <w:t>Zasad se zna samo približan broj zabilježenih autohtonih vrsta nekih skupina životinja: 65 sisavaca, 93 ptica gnjezdarica, 12 gmazova, 15 vodozemaca, 45 riba i 116 danjih leptira. Regionalnih endema</w:t>
      </w:r>
      <w:r>
        <w:rPr>
          <w:rFonts w:ascii="Calibri" w:eastAsia="Times New Roman" w:hAnsi="Calibri" w:cs="Calibri"/>
          <w:lang w:eastAsia="hr-HR"/>
        </w:rPr>
        <w:t>,</w:t>
      </w:r>
      <w:r w:rsidRPr="00B42611">
        <w:rPr>
          <w:rFonts w:ascii="Calibri" w:eastAsia="Times New Roman" w:hAnsi="Calibri" w:cs="Calibri"/>
          <w:lang w:eastAsia="hr-HR"/>
        </w:rPr>
        <w:t xml:space="preserve"> koji su zbog svog ograničenog rasprostranjenja globalno potencijalno najosjetljiviji</w:t>
      </w:r>
      <w:r>
        <w:rPr>
          <w:rFonts w:ascii="Calibri" w:eastAsia="Times New Roman" w:hAnsi="Calibri" w:cs="Calibri"/>
          <w:lang w:eastAsia="hr-HR"/>
        </w:rPr>
        <w:t>,</w:t>
      </w:r>
      <w:r w:rsidRPr="00B42611">
        <w:rPr>
          <w:rFonts w:ascii="Calibri" w:eastAsia="Times New Roman" w:hAnsi="Calibri" w:cs="Calibri"/>
          <w:lang w:eastAsia="hr-HR"/>
        </w:rPr>
        <w:t xml:space="preserve"> dosad je najviše nađeno u staništima izvora i intersticija rijeke Save i medvedničkih potoka, te u malobrojnim špiljama na Medvednici. Na području Grada Zagreba nalaz</w:t>
      </w:r>
      <w:r>
        <w:rPr>
          <w:rFonts w:ascii="Calibri" w:eastAsia="Times New Roman" w:hAnsi="Calibri" w:cs="Calibri"/>
          <w:lang w:eastAsia="hr-HR"/>
        </w:rPr>
        <w:t>i</w:t>
      </w:r>
      <w:r w:rsidRPr="00B42611">
        <w:rPr>
          <w:rFonts w:ascii="Calibri" w:eastAsia="Times New Roman" w:hAnsi="Calibri" w:cs="Calibri"/>
          <w:lang w:eastAsia="hr-HR"/>
        </w:rPr>
        <w:t xml:space="preserve"> se i </w:t>
      </w:r>
      <w:r w:rsidRPr="00E721D4">
        <w:rPr>
          <w:rFonts w:ascii="Calibri" w:hAnsi="Calibri" w:cs="Calibri"/>
        </w:rPr>
        <w:t>šest</w:t>
      </w:r>
      <w:r w:rsidRPr="00A33E06">
        <w:rPr>
          <w:rFonts w:ascii="Calibri" w:hAnsi="Calibri" w:cs="Calibri"/>
          <w:b/>
          <w:bCs/>
        </w:rPr>
        <w:t xml:space="preserve"> </w:t>
      </w:r>
      <w:r w:rsidRPr="00B42611">
        <w:rPr>
          <w:rFonts w:ascii="Calibri" w:eastAsia="Times New Roman" w:hAnsi="Calibri" w:cs="Calibri"/>
          <w:lang w:eastAsia="hr-HR"/>
        </w:rPr>
        <w:t xml:space="preserve">područja ekološke mreže Natura 2000 gdje je cilj upravo očuvanje nekih vrsta i staništa prema Direktivi o staništima. Novijim istraživanjima zabilježen je regionalni nestanak oko 7 vrsta staništa, uglavnom uz rijeku Savu poslije njena kanaliziranja. Ukupno je dokumentiran i regionalni nestanak oko 25 vrsta vaskularnih biljaka, 8 vrsta riba, 10 vrsta ptica, 9 vrsta danjih leptira, 8 vrsta sisavaca, 4 vrste vretenaca, 3 vrste vodozemaca, </w:t>
      </w:r>
      <w:r w:rsidRPr="00B42611">
        <w:rPr>
          <w:rFonts w:ascii="Calibri" w:eastAsia="Times New Roman" w:hAnsi="Calibri" w:cs="Calibri"/>
          <w:lang w:eastAsia="hr-HR"/>
        </w:rPr>
        <w:lastRenderedPageBreak/>
        <w:t>2 vrste rakova, po jedna vrsta kukaca obalčara i ravnokrilaca, te vjerojatno i jedne vrste zmije. Broj lokalno nestalih vrsta je sigurno daleko veći jer u prošlosti nikada nije bila obavljena sustavna inventarizacija flore i faune današnjeg područja Grada, a nije poznat ni cjeloviti popis danas živućih vrsta.</w:t>
      </w:r>
    </w:p>
    <w:p w14:paraId="18AF18AA"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i/>
          <w:iCs/>
          <w:sz w:val="16"/>
          <w:szCs w:val="16"/>
          <w:lang w:eastAsia="hr-HR"/>
        </w:rPr>
      </w:pPr>
    </w:p>
    <w:tbl>
      <w:tblPr>
        <w:tblW w:w="4983" w:type="pct"/>
        <w:tblLook w:val="01E0" w:firstRow="1" w:lastRow="1" w:firstColumn="1" w:lastColumn="1" w:noHBand="0" w:noVBand="0"/>
      </w:tblPr>
      <w:tblGrid>
        <w:gridCol w:w="4573"/>
        <w:gridCol w:w="4468"/>
      </w:tblGrid>
      <w:tr w:rsidR="00C17261" w:rsidRPr="00B42611" w14:paraId="37BAA5CB" w14:textId="77777777" w:rsidTr="00F50578">
        <w:trPr>
          <w:trHeight w:val="432"/>
        </w:trPr>
        <w:tc>
          <w:tcPr>
            <w:tcW w:w="2529" w:type="pct"/>
            <w:shd w:val="clear" w:color="auto" w:fill="CCCCCC"/>
          </w:tcPr>
          <w:p w14:paraId="1051DE7E"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RAZVOJNI PROBLEMI</w:t>
            </w:r>
          </w:p>
          <w:p w14:paraId="2FD14C1C" w14:textId="4152EC91"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edostatak planskog upravljanja bioraznolikošću</w:t>
            </w:r>
          </w:p>
          <w:p w14:paraId="0B619AD4" w14:textId="2E75AFD6"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edovoljna istraženost flore i faune</w:t>
            </w:r>
          </w:p>
          <w:p w14:paraId="3A7D6386" w14:textId="0E04E473"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edostatak detaljnije karte staništa Grada</w:t>
            </w:r>
          </w:p>
          <w:p w14:paraId="775FE178" w14:textId="20D4E3B3"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edovoljna educiranost građana o značenju bioraznolikosti</w:t>
            </w:r>
          </w:p>
          <w:p w14:paraId="3459B7F9" w14:textId="2AF6D7AB" w:rsidR="00C17261" w:rsidRPr="00B42611" w:rsidRDefault="008262ED" w:rsidP="00165C16">
            <w:pPr>
              <w:numPr>
                <w:ilvl w:val="0"/>
                <w:numId w:val="2"/>
              </w:numPr>
              <w:tabs>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f</w:t>
            </w:r>
            <w:r w:rsidR="00C17261" w:rsidRPr="00B42611">
              <w:rPr>
                <w:rFonts w:ascii="Calibri" w:eastAsia="Times New Roman" w:hAnsi="Calibri" w:cs="Calibri"/>
                <w:sz w:val="18"/>
                <w:szCs w:val="18"/>
                <w:lang w:eastAsia="hr-HR"/>
              </w:rPr>
              <w:t>ragmentacija, degradacija i nestanak staništa</w:t>
            </w:r>
          </w:p>
          <w:p w14:paraId="70F39D33" w14:textId="0D444EB8"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z</w:t>
            </w:r>
            <w:r w:rsidR="00C17261" w:rsidRPr="00B42611">
              <w:rPr>
                <w:rFonts w:ascii="Calibri" w:eastAsia="Times New Roman" w:hAnsi="Calibri" w:cs="Calibri"/>
                <w:sz w:val="18"/>
                <w:szCs w:val="18"/>
                <w:lang w:eastAsia="hr-HR"/>
              </w:rPr>
              <w:t xml:space="preserve">natna prisutnost invazivnih </w:t>
            </w:r>
            <w:r w:rsidR="00C17261">
              <w:rPr>
                <w:rFonts w:ascii="Calibri" w:hAnsi="Calibri" w:cs="Calibri"/>
                <w:sz w:val="18"/>
                <w:szCs w:val="18"/>
              </w:rPr>
              <w:t>stranih</w:t>
            </w:r>
            <w:r w:rsidR="00C17261" w:rsidRPr="00A33E06">
              <w:rPr>
                <w:rFonts w:ascii="Calibri" w:hAnsi="Calibri" w:cs="Calibri"/>
                <w:sz w:val="18"/>
                <w:szCs w:val="18"/>
              </w:rPr>
              <w:t xml:space="preserve"> </w:t>
            </w:r>
            <w:r w:rsidR="00C17261" w:rsidRPr="00B42611">
              <w:rPr>
                <w:rFonts w:ascii="Calibri" w:eastAsia="Times New Roman" w:hAnsi="Calibri" w:cs="Calibri"/>
                <w:sz w:val="18"/>
                <w:szCs w:val="18"/>
                <w:lang w:eastAsia="hr-HR"/>
              </w:rPr>
              <w:t>vrsta</w:t>
            </w:r>
          </w:p>
          <w:p w14:paraId="4CE2B43F" w14:textId="7D334902"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erazumijevanje usluga ekosustava koje pruža bioraznolikost</w:t>
            </w:r>
          </w:p>
          <w:p w14:paraId="3029C581" w14:textId="0B0E96D9"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edostatak pokazatelja stanj</w:t>
            </w:r>
            <w:r w:rsidR="00A72F2D">
              <w:rPr>
                <w:rFonts w:ascii="Calibri" w:eastAsia="Times New Roman" w:hAnsi="Calibri" w:cs="Calibri"/>
                <w:sz w:val="18"/>
                <w:szCs w:val="18"/>
                <w:lang w:eastAsia="hr-HR"/>
              </w:rPr>
              <w:t>a</w:t>
            </w:r>
            <w:r w:rsidR="00C17261" w:rsidRPr="00B42611">
              <w:rPr>
                <w:rFonts w:ascii="Calibri" w:eastAsia="Times New Roman" w:hAnsi="Calibri" w:cs="Calibri"/>
                <w:sz w:val="18"/>
                <w:szCs w:val="18"/>
                <w:lang w:eastAsia="hr-HR"/>
              </w:rPr>
              <w:t xml:space="preserve"> bioraznolikosti</w:t>
            </w:r>
          </w:p>
          <w:p w14:paraId="4D8ABFED" w14:textId="0D8C2BEF"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apuštanje tradicionalnih načina korištenja travnjaka u rubnim dijelovima Grada</w:t>
            </w:r>
          </w:p>
          <w:p w14:paraId="5EF1CDAC" w14:textId="669B0A6C"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hAnsi="Calibri" w:cs="Calibri"/>
                <w:sz w:val="18"/>
                <w:szCs w:val="18"/>
              </w:rPr>
              <w:t>n</w:t>
            </w:r>
            <w:r w:rsidR="00C17261">
              <w:rPr>
                <w:rFonts w:ascii="Calibri" w:hAnsi="Calibri" w:cs="Calibri"/>
                <w:sz w:val="18"/>
                <w:szCs w:val="18"/>
              </w:rPr>
              <w:t>edostatna sredstva</w:t>
            </w:r>
            <w:r w:rsidR="00C17261" w:rsidRPr="00B42611">
              <w:rPr>
                <w:rFonts w:ascii="Calibri" w:hAnsi="Calibri" w:cs="Calibri"/>
                <w:sz w:val="18"/>
                <w:szCs w:val="18"/>
              </w:rPr>
              <w:t xml:space="preserve"> za zaštit</w:t>
            </w:r>
            <w:r w:rsidR="00A72F2D">
              <w:rPr>
                <w:rFonts w:ascii="Calibri" w:hAnsi="Calibri" w:cs="Calibri"/>
                <w:sz w:val="18"/>
                <w:szCs w:val="18"/>
              </w:rPr>
              <w:t>u</w:t>
            </w:r>
            <w:r w:rsidR="00C17261" w:rsidRPr="00B42611">
              <w:rPr>
                <w:rFonts w:ascii="Calibri" w:hAnsi="Calibri" w:cs="Calibri"/>
                <w:sz w:val="18"/>
                <w:szCs w:val="18"/>
              </w:rPr>
              <w:t xml:space="preserve"> bioraznolikosti i povezanih usluga ekosustava </w:t>
            </w:r>
          </w:p>
          <w:p w14:paraId="7D6C32DF" w14:textId="4364832A"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w:t>
            </w:r>
            <w:r w:rsidR="00C17261" w:rsidRPr="00B42611">
              <w:rPr>
                <w:rFonts w:ascii="Calibri" w:eastAsia="Times New Roman" w:hAnsi="Calibri" w:cs="Calibri"/>
                <w:sz w:val="18"/>
                <w:szCs w:val="18"/>
                <w:lang w:eastAsia="hr-HR"/>
              </w:rPr>
              <w:t>edostatak ljudskih resursa za provođenje mjera zaštite bioraznolikosti i usluga ekosustava</w:t>
            </w:r>
          </w:p>
          <w:p w14:paraId="3AE88ABA" w14:textId="24A07732" w:rsidR="00C17261" w:rsidRPr="00B42611" w:rsidRDefault="008262ED" w:rsidP="00165C16">
            <w:pPr>
              <w:numPr>
                <w:ilvl w:val="0"/>
                <w:numId w:val="2"/>
              </w:numPr>
              <w:tabs>
                <w:tab w:val="num" w:pos="284"/>
              </w:tabs>
              <w:spacing w:before="60" w:beforeAutospacing="1" w:after="60" w:afterAutospacing="1" w:line="240" w:lineRule="auto"/>
              <w:ind w:left="284" w:right="-2" w:hanging="284"/>
              <w:rPr>
                <w:rFonts w:ascii="Calibri" w:eastAsia="Times New Roman" w:hAnsi="Calibri" w:cs="Calibri"/>
                <w:b/>
                <w:sz w:val="18"/>
                <w:szCs w:val="18"/>
                <w:lang w:eastAsia="hr-HR"/>
              </w:rPr>
            </w:pPr>
            <w:r>
              <w:rPr>
                <w:rFonts w:ascii="Calibri" w:eastAsia="Times New Roman" w:hAnsi="Calibri" w:cs="Calibri"/>
                <w:sz w:val="18"/>
                <w:szCs w:val="18"/>
                <w:lang w:eastAsia="hr-HR"/>
              </w:rPr>
              <w:t>p</w:t>
            </w:r>
            <w:r w:rsidR="00C17261" w:rsidRPr="00B42611">
              <w:rPr>
                <w:rFonts w:ascii="Calibri" w:eastAsia="Times New Roman" w:hAnsi="Calibri" w:cs="Calibri"/>
                <w:sz w:val="18"/>
                <w:szCs w:val="18"/>
                <w:lang w:eastAsia="hr-HR"/>
              </w:rPr>
              <w:t>renamjena šumskih zemljišta</w:t>
            </w:r>
          </w:p>
        </w:tc>
        <w:tc>
          <w:tcPr>
            <w:tcW w:w="2471" w:type="pct"/>
            <w:shd w:val="clear" w:color="auto" w:fill="99CCFF"/>
          </w:tcPr>
          <w:p w14:paraId="061EC2D6"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p w14:paraId="6525473C" w14:textId="75B8FFCF"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i</w:t>
            </w:r>
            <w:r w:rsidR="00C17261" w:rsidRPr="00B42611">
              <w:rPr>
                <w:rFonts w:ascii="Calibri" w:eastAsia="Times New Roman" w:hAnsi="Calibri" w:cs="Calibri"/>
                <w:sz w:val="18"/>
                <w:szCs w:val="18"/>
                <w:lang w:eastAsia="hr-HR"/>
              </w:rPr>
              <w:t>zraditi/revidirati Lokalni akcijski plan zaštite bioraznolikosti i odabranih vrsta i primjenjivati ga</w:t>
            </w:r>
          </w:p>
          <w:p w14:paraId="622AAB2D" w14:textId="4330ADA2"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hAnsi="Calibri" w:cs="Calibri"/>
                <w:sz w:val="18"/>
                <w:szCs w:val="18"/>
              </w:rPr>
              <w:t>p</w:t>
            </w:r>
            <w:r w:rsidR="00C17261">
              <w:rPr>
                <w:rFonts w:ascii="Calibri" w:hAnsi="Calibri" w:cs="Calibri"/>
                <w:sz w:val="18"/>
                <w:szCs w:val="18"/>
              </w:rPr>
              <w:t>rovoditi s</w:t>
            </w:r>
            <w:r w:rsidR="00C17261" w:rsidRPr="00B42611">
              <w:rPr>
                <w:rFonts w:ascii="Calibri" w:eastAsia="Times New Roman" w:hAnsi="Calibri" w:cs="Calibri"/>
                <w:sz w:val="18"/>
                <w:szCs w:val="18"/>
                <w:lang w:eastAsia="hr-HR"/>
              </w:rPr>
              <w:t>istematska istraživanja postavljanjem trajnih ploha, inventarizacija i praćenje bioraznolikosti</w:t>
            </w:r>
          </w:p>
          <w:p w14:paraId="19F5CA25" w14:textId="40FE0E53"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hAnsi="Calibri" w:cs="Calibri"/>
                <w:sz w:val="18"/>
                <w:szCs w:val="18"/>
              </w:rPr>
              <w:t>p</w:t>
            </w:r>
            <w:r w:rsidR="00C17261">
              <w:rPr>
                <w:rFonts w:ascii="Calibri" w:hAnsi="Calibri" w:cs="Calibri"/>
                <w:sz w:val="18"/>
                <w:szCs w:val="18"/>
              </w:rPr>
              <w:t>rovesti k</w:t>
            </w:r>
            <w:r w:rsidR="00C17261" w:rsidRPr="00B42611">
              <w:rPr>
                <w:rFonts w:ascii="Calibri" w:eastAsia="Times New Roman" w:hAnsi="Calibri" w:cs="Calibri"/>
                <w:sz w:val="18"/>
                <w:szCs w:val="18"/>
                <w:lang w:eastAsia="hr-HR"/>
              </w:rPr>
              <w:t>artiranje staništa Grada</w:t>
            </w:r>
          </w:p>
          <w:p w14:paraId="0558BD65" w14:textId="3B52A41D"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i</w:t>
            </w:r>
            <w:r w:rsidR="00C17261" w:rsidRPr="00B42611">
              <w:rPr>
                <w:rFonts w:ascii="Calibri" w:eastAsia="Times New Roman" w:hAnsi="Calibri" w:cs="Calibri"/>
                <w:sz w:val="18"/>
                <w:szCs w:val="18"/>
                <w:lang w:eastAsia="hr-HR"/>
              </w:rPr>
              <w:t>zrad</w:t>
            </w:r>
            <w:r w:rsidR="002E3A58">
              <w:rPr>
                <w:rFonts w:ascii="Calibri" w:eastAsia="Times New Roman" w:hAnsi="Calibri" w:cs="Calibri"/>
                <w:sz w:val="18"/>
                <w:szCs w:val="18"/>
                <w:lang w:eastAsia="hr-HR"/>
              </w:rPr>
              <w:t>iti</w:t>
            </w:r>
            <w:r w:rsidR="00C17261" w:rsidRPr="00B42611">
              <w:rPr>
                <w:rFonts w:ascii="Calibri" w:eastAsia="Times New Roman" w:hAnsi="Calibri" w:cs="Calibri"/>
                <w:sz w:val="18"/>
                <w:szCs w:val="18"/>
                <w:lang w:eastAsia="hr-HR"/>
              </w:rPr>
              <w:t xml:space="preserve"> tzv. Zelene infrastrukture Grada Zagreba</w:t>
            </w:r>
          </w:p>
          <w:p w14:paraId="386677E6" w14:textId="700AEA90" w:rsidR="00C17261" w:rsidRPr="00B42611" w:rsidRDefault="008262ED" w:rsidP="00165C16">
            <w:pPr>
              <w:numPr>
                <w:ilvl w:val="0"/>
                <w:numId w:val="2"/>
              </w:numPr>
              <w:tabs>
                <w:tab w:val="num" w:pos="284"/>
              </w:tabs>
              <w:spacing w:before="60" w:beforeAutospacing="1" w:after="60" w:afterAutospacing="1"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p</w:t>
            </w:r>
            <w:r w:rsidR="00C17261" w:rsidRPr="00B42611">
              <w:rPr>
                <w:rFonts w:ascii="Calibri" w:eastAsia="Times New Roman" w:hAnsi="Calibri" w:cs="Calibri"/>
                <w:sz w:val="18"/>
                <w:szCs w:val="18"/>
                <w:lang w:eastAsia="hr-HR"/>
              </w:rPr>
              <w:t>lanira</w:t>
            </w:r>
            <w:r w:rsidR="002E3A58">
              <w:rPr>
                <w:rFonts w:ascii="Calibri" w:eastAsia="Times New Roman" w:hAnsi="Calibri" w:cs="Calibri"/>
                <w:sz w:val="18"/>
                <w:szCs w:val="18"/>
                <w:lang w:eastAsia="hr-HR"/>
              </w:rPr>
              <w:t>ti</w:t>
            </w:r>
            <w:r w:rsidR="00C17261" w:rsidRPr="00B42611">
              <w:rPr>
                <w:rFonts w:ascii="Calibri" w:eastAsia="Times New Roman" w:hAnsi="Calibri" w:cs="Calibri"/>
                <w:sz w:val="18"/>
                <w:szCs w:val="18"/>
                <w:lang w:eastAsia="hr-HR"/>
              </w:rPr>
              <w:t xml:space="preserve"> razvoj Grada uvažavajući potrebe bioraznolikosti i osiguravanja usluga ekosustava</w:t>
            </w:r>
          </w:p>
          <w:p w14:paraId="4E1292D6" w14:textId="33F6AEFB"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i</w:t>
            </w:r>
            <w:r w:rsidR="00C17261" w:rsidRPr="00B42611">
              <w:rPr>
                <w:rFonts w:ascii="Calibri" w:eastAsia="Times New Roman" w:hAnsi="Calibri" w:cs="Calibri"/>
                <w:sz w:val="18"/>
                <w:szCs w:val="18"/>
                <w:lang w:eastAsia="hr-HR"/>
              </w:rPr>
              <w:t>zrad</w:t>
            </w:r>
            <w:r w:rsidR="002E3A58">
              <w:rPr>
                <w:rFonts w:ascii="Calibri" w:eastAsia="Times New Roman" w:hAnsi="Calibri" w:cs="Calibri"/>
                <w:sz w:val="18"/>
                <w:szCs w:val="18"/>
                <w:lang w:eastAsia="hr-HR"/>
              </w:rPr>
              <w:t>iti</w:t>
            </w:r>
            <w:r w:rsidR="00C17261" w:rsidRPr="00B42611">
              <w:rPr>
                <w:rFonts w:ascii="Calibri" w:eastAsia="Times New Roman" w:hAnsi="Calibri" w:cs="Calibri"/>
                <w:sz w:val="18"/>
                <w:szCs w:val="18"/>
                <w:lang w:eastAsia="hr-HR"/>
              </w:rPr>
              <w:t xml:space="preserve"> Akcijsk</w:t>
            </w:r>
            <w:r w:rsidR="002E3A58">
              <w:rPr>
                <w:rFonts w:ascii="Calibri" w:eastAsia="Times New Roman" w:hAnsi="Calibri" w:cs="Calibri"/>
                <w:sz w:val="18"/>
                <w:szCs w:val="18"/>
                <w:lang w:eastAsia="hr-HR"/>
              </w:rPr>
              <w:t>i</w:t>
            </w:r>
            <w:r w:rsidR="00C17261" w:rsidRPr="00B42611">
              <w:rPr>
                <w:rFonts w:ascii="Calibri" w:eastAsia="Times New Roman" w:hAnsi="Calibri" w:cs="Calibri"/>
                <w:sz w:val="18"/>
                <w:szCs w:val="18"/>
                <w:lang w:eastAsia="hr-HR"/>
              </w:rPr>
              <w:t xml:space="preserve"> plan upravljanja invazivnim</w:t>
            </w:r>
            <w:r w:rsidR="00C17261">
              <w:rPr>
                <w:rFonts w:ascii="Calibri" w:hAnsi="Calibri" w:cs="Calibri"/>
                <w:sz w:val="18"/>
                <w:szCs w:val="18"/>
              </w:rPr>
              <w:t xml:space="preserve"> stranim</w:t>
            </w:r>
            <w:r w:rsidR="00C17261" w:rsidRPr="00B42611">
              <w:rPr>
                <w:rFonts w:ascii="Calibri" w:eastAsia="Times New Roman" w:hAnsi="Calibri" w:cs="Calibri"/>
                <w:sz w:val="18"/>
                <w:szCs w:val="18"/>
                <w:lang w:eastAsia="hr-HR"/>
              </w:rPr>
              <w:t xml:space="preserve"> vrstama i provoditi propisane mjere</w:t>
            </w:r>
          </w:p>
          <w:p w14:paraId="3998053E" w14:textId="345D3171"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r</w:t>
            </w:r>
            <w:r w:rsidR="00C17261" w:rsidRPr="00B42611">
              <w:rPr>
                <w:rFonts w:ascii="Calibri" w:eastAsia="Times New Roman" w:hAnsi="Calibri" w:cs="Calibri"/>
                <w:sz w:val="18"/>
                <w:szCs w:val="18"/>
                <w:lang w:eastAsia="hr-HR"/>
              </w:rPr>
              <w:t xml:space="preserve">azviti listu pokazatelja bioraznolikosti za </w:t>
            </w:r>
            <w:r w:rsidR="00DF64BF">
              <w:rPr>
                <w:rFonts w:ascii="Calibri" w:eastAsia="Times New Roman" w:hAnsi="Calibri" w:cs="Calibri"/>
                <w:sz w:val="18"/>
                <w:szCs w:val="18"/>
                <w:lang w:eastAsia="hr-HR"/>
              </w:rPr>
              <w:t>Grad Zagreb</w:t>
            </w:r>
            <w:r w:rsidR="00C17261" w:rsidRPr="00B42611">
              <w:rPr>
                <w:rFonts w:ascii="Calibri" w:eastAsia="Times New Roman" w:hAnsi="Calibri" w:cs="Calibri"/>
                <w:sz w:val="18"/>
                <w:szCs w:val="18"/>
                <w:lang w:eastAsia="hr-HR"/>
              </w:rPr>
              <w:t xml:space="preserve"> prilagoditi postojeće pokazatelje </w:t>
            </w:r>
          </w:p>
          <w:p w14:paraId="180DEBC6" w14:textId="5A5F599E"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i</w:t>
            </w:r>
            <w:r w:rsidR="00C17261" w:rsidRPr="00B42611">
              <w:rPr>
                <w:rFonts w:ascii="Calibri" w:eastAsia="Times New Roman" w:hAnsi="Calibri" w:cs="Calibri"/>
                <w:sz w:val="18"/>
                <w:szCs w:val="18"/>
                <w:lang w:eastAsia="hr-HR"/>
              </w:rPr>
              <w:t>zraditi planove upravljanja područjima ekološke mreže</w:t>
            </w:r>
          </w:p>
          <w:p w14:paraId="691AD302" w14:textId="285DAF23" w:rsidR="00C1726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o</w:t>
            </w:r>
            <w:r w:rsidR="00C17261" w:rsidRPr="00B42611">
              <w:rPr>
                <w:rFonts w:ascii="Calibri" w:eastAsia="Times New Roman" w:hAnsi="Calibri" w:cs="Calibri"/>
                <w:sz w:val="18"/>
                <w:szCs w:val="18"/>
                <w:lang w:eastAsia="hr-HR"/>
              </w:rPr>
              <w:t>sigurati poticaje za gospodarenje travnjacima na način koji pogoduje bioraznolikosti</w:t>
            </w:r>
          </w:p>
          <w:p w14:paraId="451DE9E3" w14:textId="0C540048" w:rsidR="00C17261" w:rsidRPr="00F63BA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hAnsi="Calibri" w:cs="Calibri"/>
                <w:sz w:val="18"/>
                <w:szCs w:val="18"/>
              </w:rPr>
              <w:t>o</w:t>
            </w:r>
            <w:r w:rsidR="00C17261" w:rsidRPr="00F63BA1">
              <w:rPr>
                <w:rFonts w:ascii="Calibri" w:hAnsi="Calibri" w:cs="Calibri"/>
                <w:sz w:val="18"/>
                <w:szCs w:val="18"/>
              </w:rPr>
              <w:t xml:space="preserve">jačati Javnu ustanovu za upravljanje zaštićenim područjima Grada Zagreba </w:t>
            </w:r>
          </w:p>
          <w:p w14:paraId="27A29477" w14:textId="1F2A18CE" w:rsidR="00C17261" w:rsidRPr="00D00859" w:rsidRDefault="008262ED"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e</w:t>
            </w:r>
            <w:r w:rsidR="00C17261" w:rsidRPr="00D00859">
              <w:rPr>
                <w:rFonts w:ascii="Calibri" w:hAnsi="Calibri" w:cs="Calibri"/>
                <w:sz w:val="18"/>
                <w:szCs w:val="18"/>
              </w:rPr>
              <w:t>du</w:t>
            </w:r>
            <w:r w:rsidR="0089312F">
              <w:rPr>
                <w:rFonts w:ascii="Calibri" w:hAnsi="Calibri" w:cs="Calibri"/>
                <w:sz w:val="18"/>
                <w:szCs w:val="18"/>
              </w:rPr>
              <w:t>cirati</w:t>
            </w:r>
            <w:r w:rsidR="00C17261" w:rsidRPr="00D00859">
              <w:rPr>
                <w:rFonts w:ascii="Calibri" w:hAnsi="Calibri" w:cs="Calibri"/>
                <w:sz w:val="18"/>
                <w:szCs w:val="18"/>
              </w:rPr>
              <w:t xml:space="preserve"> djelatnik</w:t>
            </w:r>
            <w:r w:rsidR="0089312F">
              <w:rPr>
                <w:rFonts w:ascii="Calibri" w:hAnsi="Calibri" w:cs="Calibri"/>
                <w:sz w:val="18"/>
                <w:szCs w:val="18"/>
              </w:rPr>
              <w:t>e</w:t>
            </w:r>
            <w:r w:rsidR="00C17261" w:rsidRPr="00D00859">
              <w:rPr>
                <w:rFonts w:ascii="Calibri" w:hAnsi="Calibri" w:cs="Calibri"/>
                <w:sz w:val="18"/>
                <w:szCs w:val="18"/>
              </w:rPr>
              <w:t>, ustroj</w:t>
            </w:r>
            <w:r w:rsidR="0089312F">
              <w:rPr>
                <w:rFonts w:ascii="Calibri" w:hAnsi="Calibri" w:cs="Calibri"/>
                <w:sz w:val="18"/>
                <w:szCs w:val="18"/>
              </w:rPr>
              <w:t>iti</w:t>
            </w:r>
            <w:r w:rsidR="00C17261" w:rsidRPr="00D00859">
              <w:rPr>
                <w:rFonts w:ascii="Calibri" w:hAnsi="Calibri" w:cs="Calibri"/>
                <w:sz w:val="18"/>
                <w:szCs w:val="18"/>
              </w:rPr>
              <w:t xml:space="preserve"> timov</w:t>
            </w:r>
            <w:r w:rsidR="0089312F">
              <w:rPr>
                <w:rFonts w:ascii="Calibri" w:hAnsi="Calibri" w:cs="Calibri"/>
                <w:sz w:val="18"/>
                <w:szCs w:val="18"/>
              </w:rPr>
              <w:t>e</w:t>
            </w:r>
            <w:r w:rsidR="00C17261" w:rsidRPr="00D00859">
              <w:rPr>
                <w:rFonts w:ascii="Calibri" w:hAnsi="Calibri" w:cs="Calibri"/>
                <w:sz w:val="18"/>
                <w:szCs w:val="18"/>
              </w:rPr>
              <w:t xml:space="preserve"> stručnjaka u suradnji sa znanstvenim institucijama i nevladinim udrugama u cilju pripreme i provedbe projekata financiranih bespovratnim sredstvima EU i/ili sredstvima drugih nacionalnih i/ili međunarodnih institucija </w:t>
            </w:r>
          </w:p>
          <w:p w14:paraId="23265B65" w14:textId="673ADB44" w:rsidR="00C17261" w:rsidRPr="00D00859" w:rsidRDefault="008262ED"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r</w:t>
            </w:r>
            <w:r w:rsidR="00C17261" w:rsidRPr="00D00859">
              <w:rPr>
                <w:rFonts w:ascii="Calibri" w:hAnsi="Calibri" w:cs="Calibri"/>
                <w:sz w:val="18"/>
                <w:szCs w:val="18"/>
              </w:rPr>
              <w:t>edovito pr</w:t>
            </w:r>
            <w:r w:rsidR="0089312F">
              <w:rPr>
                <w:rFonts w:ascii="Calibri" w:hAnsi="Calibri" w:cs="Calibri"/>
                <w:sz w:val="18"/>
                <w:szCs w:val="18"/>
              </w:rPr>
              <w:t>atiti</w:t>
            </w:r>
            <w:r w:rsidR="00C17261" w:rsidRPr="00D00859">
              <w:rPr>
                <w:rFonts w:ascii="Calibri" w:hAnsi="Calibri" w:cs="Calibri"/>
                <w:sz w:val="18"/>
                <w:szCs w:val="18"/>
              </w:rPr>
              <w:t xml:space="preserve"> javn</w:t>
            </w:r>
            <w:r w:rsidR="0089312F">
              <w:rPr>
                <w:rFonts w:ascii="Calibri" w:hAnsi="Calibri" w:cs="Calibri"/>
                <w:sz w:val="18"/>
                <w:szCs w:val="18"/>
              </w:rPr>
              <w:t>e</w:t>
            </w:r>
            <w:r w:rsidR="00C17261" w:rsidRPr="00D00859">
              <w:rPr>
                <w:rFonts w:ascii="Calibri" w:hAnsi="Calibri" w:cs="Calibri"/>
                <w:sz w:val="18"/>
                <w:szCs w:val="18"/>
              </w:rPr>
              <w:t xml:space="preserve"> poziv</w:t>
            </w:r>
            <w:r w:rsidR="0089312F">
              <w:rPr>
                <w:rFonts w:ascii="Calibri" w:hAnsi="Calibri" w:cs="Calibri"/>
                <w:sz w:val="18"/>
                <w:szCs w:val="18"/>
              </w:rPr>
              <w:t>e</w:t>
            </w:r>
            <w:r w:rsidR="00C17261" w:rsidRPr="00D00859">
              <w:rPr>
                <w:rFonts w:ascii="Calibri" w:hAnsi="Calibri" w:cs="Calibri"/>
                <w:sz w:val="18"/>
                <w:szCs w:val="18"/>
              </w:rPr>
              <w:t xml:space="preserve"> iz područja bioraznolikosti u cilju korištenja bespovratnih sredstava sredstvima EU i/ili sredstava drugih nacionalnih i/ili međunarodnih institucija</w:t>
            </w:r>
          </w:p>
          <w:p w14:paraId="118CF415" w14:textId="44C730D2"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u</w:t>
            </w:r>
            <w:r w:rsidR="00C17261" w:rsidRPr="00B42611">
              <w:rPr>
                <w:rFonts w:ascii="Calibri" w:eastAsia="Times New Roman" w:hAnsi="Calibri" w:cs="Calibri"/>
                <w:sz w:val="18"/>
                <w:szCs w:val="18"/>
                <w:lang w:eastAsia="hr-HR"/>
              </w:rPr>
              <w:t>mrežiti i ojačati suradnju s nevladinim udrugama koje djeluju na području Grada</w:t>
            </w:r>
          </w:p>
          <w:p w14:paraId="677C7A8E" w14:textId="6F70E389" w:rsidR="00C17261" w:rsidRPr="00B42611" w:rsidRDefault="008262ED" w:rsidP="00165C16">
            <w:pPr>
              <w:numPr>
                <w:ilvl w:val="0"/>
                <w:numId w:val="2"/>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o</w:t>
            </w:r>
            <w:r w:rsidR="00C17261" w:rsidRPr="00B42611">
              <w:rPr>
                <w:rFonts w:ascii="Calibri" w:eastAsia="Times New Roman" w:hAnsi="Calibri" w:cs="Calibri"/>
                <w:sz w:val="18"/>
                <w:szCs w:val="18"/>
                <w:lang w:eastAsia="hr-HR"/>
              </w:rPr>
              <w:t>jačati suradnju sa znanstvenim institucijama i na provođenju istraživanja i monitoringa</w:t>
            </w:r>
          </w:p>
          <w:p w14:paraId="2D768AE1" w14:textId="208D1748" w:rsidR="00C17261" w:rsidRPr="00B42611" w:rsidRDefault="008262ED" w:rsidP="00165C16">
            <w:pPr>
              <w:numPr>
                <w:ilvl w:val="0"/>
                <w:numId w:val="2"/>
              </w:numPr>
              <w:tabs>
                <w:tab w:val="num" w:pos="284"/>
              </w:tabs>
              <w:spacing w:before="60" w:beforeAutospacing="1" w:after="60" w:afterAutospacing="1" w:line="240" w:lineRule="auto"/>
              <w:ind w:left="284" w:right="-2" w:hanging="284"/>
              <w:rPr>
                <w:rFonts w:ascii="Calibri" w:eastAsia="Times New Roman" w:hAnsi="Calibri" w:cs="Calibri"/>
                <w:b/>
                <w:sz w:val="18"/>
                <w:szCs w:val="18"/>
                <w:lang w:eastAsia="hr-HR"/>
              </w:rPr>
            </w:pPr>
            <w:r>
              <w:rPr>
                <w:rFonts w:ascii="Calibri" w:eastAsia="Times New Roman" w:hAnsi="Calibri" w:cs="Calibri"/>
                <w:sz w:val="18"/>
                <w:szCs w:val="18"/>
                <w:lang w:eastAsia="hr-HR"/>
              </w:rPr>
              <w:t>p</w:t>
            </w:r>
            <w:r w:rsidR="00C17261" w:rsidRPr="00B42611">
              <w:rPr>
                <w:rFonts w:ascii="Calibri" w:eastAsia="Times New Roman" w:hAnsi="Calibri" w:cs="Calibri"/>
                <w:sz w:val="18"/>
                <w:szCs w:val="18"/>
                <w:lang w:eastAsia="hr-HR"/>
              </w:rPr>
              <w:t>rostorno-planskom dokumentacijom spriječiti prenamjenu šumskog zemljišta u građevinsko</w:t>
            </w:r>
          </w:p>
        </w:tc>
      </w:tr>
    </w:tbl>
    <w:p w14:paraId="0E771E3D" w14:textId="77777777" w:rsidR="00C17261" w:rsidRPr="00B42611" w:rsidRDefault="00C17261" w:rsidP="00C17261">
      <w:pPr>
        <w:tabs>
          <w:tab w:val="left" w:pos="-720"/>
        </w:tabs>
        <w:suppressAutoHyphens/>
        <w:spacing w:after="200" w:line="240" w:lineRule="auto"/>
        <w:ind w:right="-2"/>
        <w:jc w:val="both"/>
        <w:rPr>
          <w:rFonts w:ascii="Calibri" w:eastAsia="Calibri" w:hAnsi="Calibri" w:cs="Calibri"/>
          <w:b/>
        </w:rPr>
      </w:pPr>
      <w:r w:rsidRPr="00B42611">
        <w:rPr>
          <w:rFonts w:ascii="Calibri" w:eastAsia="Calibri" w:hAnsi="Calibri" w:cs="Calibri"/>
          <w:b/>
        </w:rPr>
        <w:br/>
        <w:t xml:space="preserve">Zaštićena i druga posebno vrijedna područja prirode. </w:t>
      </w:r>
      <w:r w:rsidRPr="00B42611">
        <w:rPr>
          <w:rFonts w:ascii="Calibri" w:eastAsia="Calibri" w:hAnsi="Calibri" w:cs="Calibri"/>
          <w:bCs/>
        </w:rPr>
        <w:t>Oslanjajući se na tradiciju zaštite prirode Grad Zagreb kontinuirano nastoji proširiti mrežu zaštićenih dijelova prirode prepoznajući vrijednosti i potencijale očuvanog, ali i ugroženog zelenog prostora Grada. Odlukom Skupštine Grada (SGGZ 3/2014) djelatnost Javne ustanove Maksimir</w:t>
      </w:r>
      <w:r>
        <w:rPr>
          <w:rFonts w:ascii="Calibri" w:eastAsia="Calibri" w:hAnsi="Calibri" w:cs="Calibri"/>
          <w:bCs/>
        </w:rPr>
        <w:t>,</w:t>
      </w:r>
      <w:r w:rsidRPr="00B42611">
        <w:rPr>
          <w:rFonts w:ascii="Calibri" w:eastAsia="Calibri" w:hAnsi="Calibri" w:cs="Calibri"/>
          <w:bCs/>
        </w:rPr>
        <w:t xml:space="preserve"> koja je upravljala</w:t>
      </w:r>
      <w:r>
        <w:rPr>
          <w:rFonts w:ascii="Calibri" w:eastAsia="Calibri" w:hAnsi="Calibri" w:cs="Calibri"/>
          <w:bCs/>
        </w:rPr>
        <w:t xml:space="preserve"> </w:t>
      </w:r>
      <w:r>
        <w:rPr>
          <w:rFonts w:cs="Calibri"/>
          <w:bCs/>
        </w:rPr>
        <w:t>spomenikom parkovne arhitekture</w:t>
      </w:r>
      <w:r w:rsidRPr="00B42611">
        <w:rPr>
          <w:rFonts w:ascii="Calibri" w:eastAsia="Calibri" w:hAnsi="Calibri" w:cs="Calibri"/>
          <w:bCs/>
        </w:rPr>
        <w:t xml:space="preserve"> Maksimir</w:t>
      </w:r>
      <w:r>
        <w:rPr>
          <w:rFonts w:ascii="Calibri" w:eastAsia="Calibri" w:hAnsi="Calibri" w:cs="Calibri"/>
          <w:bCs/>
        </w:rPr>
        <w:t>,</w:t>
      </w:r>
      <w:r w:rsidRPr="00B42611">
        <w:rPr>
          <w:rFonts w:ascii="Calibri" w:eastAsia="Calibri" w:hAnsi="Calibri" w:cs="Calibri"/>
          <w:bCs/>
        </w:rPr>
        <w:t xml:space="preserve"> proširena je na sva zaštićena područja Grada Zagreba upisana u Upisnik zaštićenih područja.</w:t>
      </w:r>
      <w:r w:rsidRPr="00B42611">
        <w:rPr>
          <w:rFonts w:ascii="Calibri" w:eastAsia="Calibri" w:hAnsi="Calibri" w:cs="Calibri"/>
          <w:b/>
        </w:rPr>
        <w:t xml:space="preserve"> </w:t>
      </w:r>
      <w:r w:rsidRPr="00B42611">
        <w:rPr>
          <w:rFonts w:ascii="Calibri" w:eastAsia="Calibri" w:hAnsi="Calibri" w:cs="Calibri"/>
          <w:bCs/>
        </w:rPr>
        <w:t>Ukidanjem kategorije zaštite spomen područja kao kategorije u Zakonu o zaštiti prirode imalo je za posljedicu ukidanje Dotršćine, do tada zaštićene tom kategorijom, iz Upisnika zaštićenih prirodnih područja, čime je površina zaštićenih prirodnih područja na području Grada smanjena u odnosu na razdoblje do 2013. za 1.201 ha. Došlo je i do prekategorizacije pa je Savica uvrštena u kategoriju značajnog krajobraza za razliku od kategorije posebnog ornitološkog rezervata kojim je bila zaštićena temeljem Rješenja o preventivnoj zaštiti.</w:t>
      </w:r>
      <w:r w:rsidRPr="00B42611">
        <w:rPr>
          <w:rFonts w:ascii="Calibri" w:eastAsia="Calibri" w:hAnsi="Calibri" w:cs="Calibri"/>
          <w:b/>
        </w:rPr>
        <w:t xml:space="preserve"> </w:t>
      </w:r>
      <w:r w:rsidRPr="00B42611">
        <w:rPr>
          <w:rFonts w:ascii="Calibri" w:eastAsia="Calibri" w:hAnsi="Calibri" w:cs="Calibri"/>
          <w:bCs/>
        </w:rPr>
        <w:t xml:space="preserve">U proteklom razdoblju Grad je financirao obnovu zaštićenih spomenika parkovne arhitekture prema njihovim povijesnim matricama, a kontinuirano se obnavljaju </w:t>
      </w:r>
      <w:r w:rsidRPr="00B42611">
        <w:rPr>
          <w:rFonts w:ascii="Calibri" w:eastAsia="Calibri" w:hAnsi="Calibri" w:cs="Calibri"/>
          <w:bCs/>
        </w:rPr>
        <w:lastRenderedPageBreak/>
        <w:t>i povijesni elementi u parku Maksimir poput staza, mostova, dječjih igrališta i okoliša pojedinih lokaliteta.</w:t>
      </w:r>
    </w:p>
    <w:p w14:paraId="0ACFB433" w14:textId="377DF05C" w:rsidR="00C17261" w:rsidRPr="00B42611" w:rsidRDefault="007960D5" w:rsidP="00E2286C">
      <w:pPr>
        <w:pStyle w:val="Opisslike"/>
        <w:rPr>
          <w:rFonts w:ascii="Calibri" w:eastAsia="Calibri" w:hAnsi="Calibri" w:cs="Calibri"/>
          <w:bCs/>
        </w:rPr>
      </w:pPr>
      <w:r>
        <w:t xml:space="preserve">Tablica </w:t>
      </w:r>
      <w:r w:rsidR="00751C19">
        <w:fldChar w:fldCharType="begin"/>
      </w:r>
      <w:r w:rsidR="00751C19">
        <w:instrText xml:space="preserve"> SEQ Tablica \* ARABIC </w:instrText>
      </w:r>
      <w:r w:rsidR="00751C19">
        <w:fldChar w:fldCharType="separate"/>
      </w:r>
      <w:r w:rsidR="00803E25">
        <w:rPr>
          <w:noProof/>
        </w:rPr>
        <w:t>1</w:t>
      </w:r>
      <w:r w:rsidR="00751C19">
        <w:rPr>
          <w:noProof/>
        </w:rPr>
        <w:fldChar w:fldCharType="end"/>
      </w:r>
      <w:r>
        <w:t>.</w:t>
      </w:r>
      <w:r w:rsidRPr="001A593F">
        <w:t xml:space="preserve"> Zaštićene prirodne vrijednosti na području Grada Zagreba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421"/>
        <w:gridCol w:w="1235"/>
        <w:gridCol w:w="1390"/>
        <w:gridCol w:w="1501"/>
      </w:tblGrid>
      <w:tr w:rsidR="007960D5" w:rsidRPr="00B42611" w14:paraId="14674AB3" w14:textId="77777777" w:rsidTr="007960D5">
        <w:trPr>
          <w:trHeight w:hRule="exact" w:val="567"/>
        </w:trPr>
        <w:tc>
          <w:tcPr>
            <w:tcW w:w="1515" w:type="dxa"/>
            <w:shd w:val="clear" w:color="auto" w:fill="auto"/>
            <w:vAlign w:val="center"/>
          </w:tcPr>
          <w:p w14:paraId="5D40B82E" w14:textId="77777777" w:rsidR="007960D5" w:rsidRPr="00B42611" w:rsidRDefault="007960D5" w:rsidP="00F50578">
            <w:pPr>
              <w:spacing w:after="200" w:line="240" w:lineRule="auto"/>
              <w:jc w:val="center"/>
              <w:rPr>
                <w:rFonts w:ascii="Calibri" w:eastAsia="Times New Roman" w:hAnsi="Calibri" w:cs="Calibri"/>
                <w:b/>
                <w:sz w:val="18"/>
                <w:szCs w:val="18"/>
              </w:rPr>
            </w:pPr>
            <w:r w:rsidRPr="00B42611">
              <w:rPr>
                <w:rFonts w:ascii="Calibri" w:eastAsia="Times New Roman" w:hAnsi="Calibri" w:cs="Calibri"/>
                <w:b/>
                <w:sz w:val="18"/>
                <w:szCs w:val="18"/>
              </w:rPr>
              <w:t>Kategorija</w:t>
            </w:r>
          </w:p>
        </w:tc>
        <w:tc>
          <w:tcPr>
            <w:tcW w:w="3421" w:type="dxa"/>
            <w:shd w:val="clear" w:color="auto" w:fill="auto"/>
            <w:vAlign w:val="center"/>
          </w:tcPr>
          <w:p w14:paraId="16E6AAA2" w14:textId="77777777" w:rsidR="007960D5" w:rsidRPr="00B42611" w:rsidRDefault="007960D5" w:rsidP="00F50578">
            <w:pPr>
              <w:spacing w:after="200" w:line="240" w:lineRule="auto"/>
              <w:jc w:val="center"/>
              <w:rPr>
                <w:rFonts w:ascii="Calibri" w:eastAsia="Times New Roman" w:hAnsi="Calibri" w:cs="Calibri"/>
                <w:b/>
                <w:sz w:val="18"/>
                <w:szCs w:val="18"/>
              </w:rPr>
            </w:pPr>
            <w:r w:rsidRPr="00B42611">
              <w:rPr>
                <w:rFonts w:ascii="Calibri" w:eastAsia="Times New Roman" w:hAnsi="Calibri" w:cs="Calibri"/>
                <w:b/>
                <w:sz w:val="18"/>
                <w:szCs w:val="18"/>
              </w:rPr>
              <w:t>Naziv(i)</w:t>
            </w:r>
          </w:p>
        </w:tc>
        <w:tc>
          <w:tcPr>
            <w:tcW w:w="1235" w:type="dxa"/>
          </w:tcPr>
          <w:p w14:paraId="61AA8886" w14:textId="77777777" w:rsidR="007960D5" w:rsidRPr="00B42611" w:rsidRDefault="007960D5" w:rsidP="00F50578">
            <w:pPr>
              <w:spacing w:after="200" w:line="240" w:lineRule="auto"/>
              <w:jc w:val="center"/>
              <w:rPr>
                <w:rFonts w:ascii="Calibri" w:eastAsia="Times New Roman" w:hAnsi="Calibri" w:cs="Calibri"/>
                <w:b/>
                <w:sz w:val="18"/>
                <w:szCs w:val="18"/>
              </w:rPr>
            </w:pPr>
          </w:p>
        </w:tc>
        <w:tc>
          <w:tcPr>
            <w:tcW w:w="1390" w:type="dxa"/>
            <w:shd w:val="clear" w:color="auto" w:fill="auto"/>
            <w:vAlign w:val="center"/>
          </w:tcPr>
          <w:p w14:paraId="2A2CCE3D" w14:textId="3F921132" w:rsidR="007960D5" w:rsidRPr="00B42611" w:rsidRDefault="007960D5" w:rsidP="00F50578">
            <w:pPr>
              <w:spacing w:after="200" w:line="240" w:lineRule="auto"/>
              <w:jc w:val="center"/>
              <w:rPr>
                <w:rFonts w:ascii="Calibri" w:eastAsia="Times New Roman" w:hAnsi="Calibri" w:cs="Calibri"/>
                <w:b/>
                <w:sz w:val="18"/>
                <w:szCs w:val="18"/>
              </w:rPr>
            </w:pPr>
            <w:r w:rsidRPr="00B42611">
              <w:rPr>
                <w:rFonts w:ascii="Calibri" w:eastAsia="Times New Roman" w:hAnsi="Calibri" w:cs="Calibri"/>
                <w:b/>
                <w:sz w:val="18"/>
                <w:szCs w:val="18"/>
              </w:rPr>
              <w:t>Ukupna površina (ha)</w:t>
            </w:r>
          </w:p>
        </w:tc>
        <w:tc>
          <w:tcPr>
            <w:tcW w:w="1501" w:type="dxa"/>
            <w:shd w:val="clear" w:color="auto" w:fill="auto"/>
            <w:vAlign w:val="center"/>
          </w:tcPr>
          <w:p w14:paraId="13F0B548" w14:textId="77777777" w:rsidR="007960D5" w:rsidRPr="00B42611" w:rsidRDefault="007960D5" w:rsidP="00F50578">
            <w:pPr>
              <w:spacing w:after="200" w:line="240" w:lineRule="auto"/>
              <w:jc w:val="center"/>
              <w:rPr>
                <w:rFonts w:ascii="Calibri" w:eastAsia="Times New Roman" w:hAnsi="Calibri" w:cs="Calibri"/>
                <w:b/>
                <w:sz w:val="18"/>
                <w:szCs w:val="18"/>
              </w:rPr>
            </w:pPr>
            <w:r w:rsidRPr="00B42611">
              <w:rPr>
                <w:rFonts w:ascii="Calibri" w:eastAsia="Times New Roman" w:hAnsi="Calibri" w:cs="Calibri"/>
                <w:b/>
                <w:sz w:val="18"/>
                <w:szCs w:val="18"/>
              </w:rPr>
              <w:t>Postotak površine (%)</w:t>
            </w:r>
          </w:p>
        </w:tc>
      </w:tr>
      <w:tr w:rsidR="007960D5" w:rsidRPr="00B42611" w14:paraId="4F5BFCEB" w14:textId="77777777" w:rsidTr="007960D5">
        <w:trPr>
          <w:trHeight w:val="1393"/>
        </w:trPr>
        <w:tc>
          <w:tcPr>
            <w:tcW w:w="1515" w:type="dxa"/>
            <w:shd w:val="clear" w:color="auto" w:fill="auto"/>
            <w:vAlign w:val="center"/>
          </w:tcPr>
          <w:p w14:paraId="59A969B3"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Posebni rezervat</w:t>
            </w:r>
          </w:p>
        </w:tc>
        <w:tc>
          <w:tcPr>
            <w:tcW w:w="3421" w:type="dxa"/>
            <w:shd w:val="clear" w:color="auto" w:fill="auto"/>
            <w:vAlign w:val="center"/>
          </w:tcPr>
          <w:p w14:paraId="5348EC77" w14:textId="1270351A" w:rsidR="007960D5" w:rsidRPr="00B42611" w:rsidRDefault="007960D5" w:rsidP="00F50578">
            <w:pPr>
              <w:spacing w:after="200" w:line="240" w:lineRule="auto"/>
              <w:jc w:val="both"/>
              <w:rPr>
                <w:rFonts w:ascii="Calibri" w:eastAsia="Times New Roman" w:hAnsi="Calibri" w:cs="Calibri"/>
                <w:sz w:val="18"/>
                <w:szCs w:val="18"/>
              </w:rPr>
            </w:pPr>
            <w:r w:rsidRPr="00B42611">
              <w:rPr>
                <w:rFonts w:ascii="Calibri" w:eastAsia="Times New Roman" w:hAnsi="Calibri" w:cs="Calibri"/>
                <w:sz w:val="18"/>
                <w:szCs w:val="18"/>
              </w:rPr>
              <w:t xml:space="preserve">Babji zub-Ponikve, Bliznec – šumarev grob, Gračec – Lukovica – Rebar, Mikulić potok – Vrabečka gora, Pušinjak – Gorščica, Rauchova lugarnica – desna Trnava, Tusti vrh – Kremenjak, </w:t>
            </w:r>
            <w:r>
              <w:rPr>
                <w:rFonts w:ascii="Calibri" w:eastAsia="Times New Roman" w:hAnsi="Calibri" w:cs="Calibri"/>
                <w:sz w:val="18"/>
                <w:szCs w:val="18"/>
              </w:rPr>
              <w:t>Markovčak - Bistra</w:t>
            </w:r>
          </w:p>
        </w:tc>
        <w:tc>
          <w:tcPr>
            <w:tcW w:w="1235" w:type="dxa"/>
          </w:tcPr>
          <w:p w14:paraId="68952885" w14:textId="77777777" w:rsidR="007960D5" w:rsidRDefault="007960D5" w:rsidP="00F50578">
            <w:pPr>
              <w:spacing w:after="200" w:line="240" w:lineRule="auto"/>
              <w:jc w:val="center"/>
              <w:rPr>
                <w:rFonts w:ascii="Calibri" w:eastAsia="Times New Roman" w:hAnsi="Calibri" w:cs="Calibri"/>
                <w:sz w:val="18"/>
                <w:szCs w:val="18"/>
              </w:rPr>
            </w:pPr>
          </w:p>
        </w:tc>
        <w:tc>
          <w:tcPr>
            <w:tcW w:w="1390" w:type="dxa"/>
            <w:shd w:val="clear" w:color="auto" w:fill="auto"/>
            <w:vAlign w:val="center"/>
          </w:tcPr>
          <w:p w14:paraId="2FA47569" w14:textId="664462F4" w:rsidR="007960D5" w:rsidRPr="00B42611" w:rsidRDefault="007960D5" w:rsidP="00F50578">
            <w:pPr>
              <w:spacing w:after="200" w:line="240" w:lineRule="auto"/>
              <w:jc w:val="center"/>
              <w:rPr>
                <w:rFonts w:ascii="Calibri" w:eastAsia="Times New Roman" w:hAnsi="Calibri" w:cs="Calibri"/>
                <w:sz w:val="18"/>
                <w:szCs w:val="18"/>
              </w:rPr>
            </w:pPr>
            <w:r>
              <w:rPr>
                <w:rFonts w:ascii="Calibri" w:eastAsia="Times New Roman" w:hAnsi="Calibri" w:cs="Calibri"/>
                <w:sz w:val="18"/>
                <w:szCs w:val="18"/>
              </w:rPr>
              <w:t xml:space="preserve"> 1023,7</w:t>
            </w:r>
          </w:p>
        </w:tc>
        <w:tc>
          <w:tcPr>
            <w:tcW w:w="1501" w:type="dxa"/>
            <w:shd w:val="clear" w:color="auto" w:fill="auto"/>
            <w:vAlign w:val="center"/>
          </w:tcPr>
          <w:p w14:paraId="5339115D" w14:textId="41CE723F" w:rsidR="007960D5" w:rsidRPr="00B42611" w:rsidRDefault="007960D5" w:rsidP="00F50578">
            <w:pPr>
              <w:spacing w:after="200" w:line="240" w:lineRule="auto"/>
              <w:jc w:val="center"/>
              <w:rPr>
                <w:rFonts w:ascii="Calibri" w:eastAsia="Times New Roman" w:hAnsi="Calibri" w:cs="Calibri"/>
                <w:sz w:val="18"/>
                <w:szCs w:val="18"/>
              </w:rPr>
            </w:pPr>
            <w:r>
              <w:rPr>
                <w:rFonts w:ascii="Calibri" w:eastAsia="Times New Roman" w:hAnsi="Calibri" w:cs="Calibri"/>
                <w:sz w:val="18"/>
                <w:szCs w:val="18"/>
              </w:rPr>
              <w:t xml:space="preserve"> 1,597</w:t>
            </w:r>
          </w:p>
        </w:tc>
      </w:tr>
      <w:tr w:rsidR="007960D5" w:rsidRPr="00B42611" w14:paraId="60EABB45" w14:textId="77777777" w:rsidTr="007960D5">
        <w:trPr>
          <w:trHeight w:val="397"/>
        </w:trPr>
        <w:tc>
          <w:tcPr>
            <w:tcW w:w="1515" w:type="dxa"/>
            <w:shd w:val="clear" w:color="auto" w:fill="auto"/>
            <w:vAlign w:val="center"/>
          </w:tcPr>
          <w:p w14:paraId="17029EF0"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Park prirode</w:t>
            </w:r>
          </w:p>
        </w:tc>
        <w:tc>
          <w:tcPr>
            <w:tcW w:w="3421" w:type="dxa"/>
            <w:shd w:val="clear" w:color="auto" w:fill="auto"/>
            <w:vAlign w:val="center"/>
          </w:tcPr>
          <w:p w14:paraId="5A980F50"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Medvednica</w:t>
            </w:r>
          </w:p>
        </w:tc>
        <w:tc>
          <w:tcPr>
            <w:tcW w:w="1235" w:type="dxa"/>
          </w:tcPr>
          <w:p w14:paraId="6835D5DB" w14:textId="77777777" w:rsidR="007960D5" w:rsidRPr="00B42611" w:rsidRDefault="007960D5" w:rsidP="00F50578">
            <w:pPr>
              <w:spacing w:after="200" w:line="240" w:lineRule="auto"/>
              <w:jc w:val="center"/>
              <w:rPr>
                <w:rFonts w:ascii="Calibri" w:eastAsia="Times New Roman" w:hAnsi="Calibri" w:cs="Calibri"/>
                <w:sz w:val="18"/>
                <w:szCs w:val="18"/>
              </w:rPr>
            </w:pPr>
          </w:p>
        </w:tc>
        <w:tc>
          <w:tcPr>
            <w:tcW w:w="1390" w:type="dxa"/>
            <w:shd w:val="clear" w:color="auto" w:fill="auto"/>
            <w:vAlign w:val="center"/>
          </w:tcPr>
          <w:p w14:paraId="16905DC3" w14:textId="3D405626"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8438,1</w:t>
            </w:r>
            <w:r>
              <w:rPr>
                <w:rFonts w:ascii="Calibri" w:eastAsia="Times New Roman" w:hAnsi="Calibri" w:cs="Calibri"/>
                <w:sz w:val="18"/>
                <w:szCs w:val="18"/>
              </w:rPr>
              <w:t>2</w:t>
            </w:r>
          </w:p>
        </w:tc>
        <w:tc>
          <w:tcPr>
            <w:tcW w:w="1501" w:type="dxa"/>
            <w:shd w:val="clear" w:color="auto" w:fill="auto"/>
            <w:vAlign w:val="center"/>
          </w:tcPr>
          <w:p w14:paraId="3B69B252" w14:textId="61883762"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13,</w:t>
            </w:r>
            <w:r>
              <w:rPr>
                <w:rFonts w:ascii="Calibri" w:eastAsia="Times New Roman" w:hAnsi="Calibri" w:cs="Calibri"/>
                <w:sz w:val="18"/>
                <w:szCs w:val="18"/>
              </w:rPr>
              <w:t>164</w:t>
            </w:r>
          </w:p>
        </w:tc>
      </w:tr>
      <w:tr w:rsidR="007960D5" w:rsidRPr="00B42611" w14:paraId="604E86FA" w14:textId="77777777" w:rsidTr="007960D5">
        <w:trPr>
          <w:trHeight w:val="397"/>
        </w:trPr>
        <w:tc>
          <w:tcPr>
            <w:tcW w:w="1515" w:type="dxa"/>
            <w:shd w:val="clear" w:color="auto" w:fill="auto"/>
            <w:vAlign w:val="center"/>
          </w:tcPr>
          <w:p w14:paraId="281F2AD9"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Spomenik prirode</w:t>
            </w:r>
          </w:p>
        </w:tc>
        <w:tc>
          <w:tcPr>
            <w:tcW w:w="3421" w:type="dxa"/>
            <w:shd w:val="clear" w:color="auto" w:fill="auto"/>
            <w:vAlign w:val="center"/>
          </w:tcPr>
          <w:p w14:paraId="4EBB8612"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 xml:space="preserve">Veternica, </w:t>
            </w:r>
          </w:p>
        </w:tc>
        <w:tc>
          <w:tcPr>
            <w:tcW w:w="1235" w:type="dxa"/>
          </w:tcPr>
          <w:p w14:paraId="3FDF1C9A" w14:textId="77777777" w:rsidR="007960D5" w:rsidRPr="00B42611" w:rsidRDefault="007960D5" w:rsidP="00F50578">
            <w:pPr>
              <w:spacing w:after="200" w:line="240" w:lineRule="auto"/>
              <w:jc w:val="center"/>
              <w:rPr>
                <w:rFonts w:ascii="Calibri" w:eastAsia="Times New Roman" w:hAnsi="Calibri" w:cs="Calibri"/>
                <w:sz w:val="18"/>
                <w:szCs w:val="18"/>
              </w:rPr>
            </w:pPr>
          </w:p>
        </w:tc>
        <w:tc>
          <w:tcPr>
            <w:tcW w:w="1390" w:type="dxa"/>
            <w:shd w:val="clear" w:color="auto" w:fill="auto"/>
            <w:vAlign w:val="center"/>
          </w:tcPr>
          <w:p w14:paraId="0B134612" w14:textId="745A1B88"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w:t>
            </w:r>
          </w:p>
        </w:tc>
        <w:tc>
          <w:tcPr>
            <w:tcW w:w="1501" w:type="dxa"/>
            <w:shd w:val="clear" w:color="auto" w:fill="auto"/>
            <w:vAlign w:val="center"/>
          </w:tcPr>
          <w:p w14:paraId="7D73D8BB"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w:t>
            </w:r>
          </w:p>
        </w:tc>
      </w:tr>
      <w:tr w:rsidR="007960D5" w:rsidRPr="00B42611" w14:paraId="2F361DBD" w14:textId="77777777" w:rsidTr="007960D5">
        <w:trPr>
          <w:trHeight w:val="397"/>
        </w:trPr>
        <w:tc>
          <w:tcPr>
            <w:tcW w:w="1515" w:type="dxa"/>
            <w:shd w:val="clear" w:color="auto" w:fill="auto"/>
            <w:vAlign w:val="center"/>
          </w:tcPr>
          <w:p w14:paraId="3F9D0734"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Značajni krajobraz</w:t>
            </w:r>
          </w:p>
        </w:tc>
        <w:tc>
          <w:tcPr>
            <w:tcW w:w="3421" w:type="dxa"/>
            <w:shd w:val="clear" w:color="auto" w:fill="auto"/>
            <w:vAlign w:val="center"/>
          </w:tcPr>
          <w:p w14:paraId="062A1C54"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Goranec, Lipa na Medvednici, Savica</w:t>
            </w:r>
          </w:p>
        </w:tc>
        <w:tc>
          <w:tcPr>
            <w:tcW w:w="1235" w:type="dxa"/>
          </w:tcPr>
          <w:p w14:paraId="0FE8728E" w14:textId="77777777" w:rsidR="007960D5" w:rsidRPr="00B42611" w:rsidRDefault="007960D5" w:rsidP="00F50578">
            <w:pPr>
              <w:spacing w:after="200" w:line="240" w:lineRule="auto"/>
              <w:jc w:val="center"/>
              <w:rPr>
                <w:rFonts w:ascii="Calibri" w:eastAsia="Times New Roman" w:hAnsi="Calibri" w:cs="Calibri"/>
                <w:sz w:val="18"/>
                <w:szCs w:val="18"/>
              </w:rPr>
            </w:pPr>
          </w:p>
        </w:tc>
        <w:tc>
          <w:tcPr>
            <w:tcW w:w="1390" w:type="dxa"/>
            <w:shd w:val="clear" w:color="auto" w:fill="auto"/>
            <w:vAlign w:val="center"/>
          </w:tcPr>
          <w:p w14:paraId="188D6C1B" w14:textId="6D5924DF"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823,5</w:t>
            </w:r>
            <w:r>
              <w:rPr>
                <w:rFonts w:ascii="Calibri" w:eastAsia="Times New Roman" w:hAnsi="Calibri" w:cs="Calibri"/>
                <w:sz w:val="18"/>
                <w:szCs w:val="18"/>
              </w:rPr>
              <w:t>6</w:t>
            </w:r>
          </w:p>
        </w:tc>
        <w:tc>
          <w:tcPr>
            <w:tcW w:w="1501" w:type="dxa"/>
            <w:shd w:val="clear" w:color="auto" w:fill="auto"/>
            <w:vAlign w:val="center"/>
          </w:tcPr>
          <w:p w14:paraId="0478F405" w14:textId="3A025DB4"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1,28</w:t>
            </w:r>
            <w:r>
              <w:rPr>
                <w:rFonts w:ascii="Calibri" w:eastAsia="Times New Roman" w:hAnsi="Calibri" w:cs="Calibri"/>
                <w:sz w:val="18"/>
                <w:szCs w:val="18"/>
              </w:rPr>
              <w:t>5</w:t>
            </w:r>
          </w:p>
        </w:tc>
      </w:tr>
      <w:tr w:rsidR="007960D5" w:rsidRPr="00B42611" w14:paraId="7DDF1364" w14:textId="77777777" w:rsidTr="007960D5">
        <w:trPr>
          <w:trHeight w:val="607"/>
        </w:trPr>
        <w:tc>
          <w:tcPr>
            <w:tcW w:w="1515" w:type="dxa"/>
            <w:shd w:val="clear" w:color="auto" w:fill="auto"/>
            <w:vAlign w:val="center"/>
          </w:tcPr>
          <w:p w14:paraId="4A1F9ECC" w14:textId="77777777" w:rsidR="007960D5" w:rsidRPr="00B42611" w:rsidRDefault="007960D5" w:rsidP="00F50578">
            <w:pPr>
              <w:spacing w:after="200" w:line="240" w:lineRule="auto"/>
              <w:jc w:val="center"/>
              <w:rPr>
                <w:rFonts w:ascii="Calibri" w:eastAsia="Times New Roman" w:hAnsi="Calibri" w:cs="Calibri"/>
                <w:sz w:val="18"/>
                <w:szCs w:val="18"/>
              </w:rPr>
            </w:pPr>
            <w:r w:rsidRPr="00B42611">
              <w:rPr>
                <w:rFonts w:ascii="Calibri" w:eastAsia="Times New Roman" w:hAnsi="Calibri" w:cs="Calibri"/>
                <w:sz w:val="18"/>
                <w:szCs w:val="18"/>
              </w:rPr>
              <w:t>Spomenik parkovne arhitekture</w:t>
            </w:r>
          </w:p>
        </w:tc>
        <w:tc>
          <w:tcPr>
            <w:tcW w:w="3421" w:type="dxa"/>
            <w:shd w:val="clear" w:color="auto" w:fill="auto"/>
            <w:vAlign w:val="center"/>
          </w:tcPr>
          <w:p w14:paraId="3A1BC85C" w14:textId="13696B00" w:rsidR="007960D5" w:rsidRPr="00B42611" w:rsidRDefault="007960D5" w:rsidP="00F50578">
            <w:pPr>
              <w:spacing w:after="200" w:line="240" w:lineRule="auto"/>
              <w:jc w:val="both"/>
              <w:rPr>
                <w:rFonts w:ascii="Calibri" w:eastAsia="Times New Roman" w:hAnsi="Calibri" w:cs="Calibri"/>
                <w:sz w:val="18"/>
                <w:szCs w:val="18"/>
              </w:rPr>
            </w:pPr>
            <w:r w:rsidRPr="00B42611">
              <w:rPr>
                <w:rFonts w:ascii="Calibri" w:eastAsia="Times New Roman" w:hAnsi="Calibri" w:cs="Calibri"/>
                <w:sz w:val="18"/>
                <w:szCs w:val="18"/>
              </w:rPr>
              <w:t xml:space="preserve">Zagreb – park Opatovina, Zagreb – park Ribnjak, Zagreb – park u Jurjevskoj 27, Botanički vrt PMF-a, , </w:t>
            </w:r>
            <w:r>
              <w:rPr>
                <w:rFonts w:ascii="Calibri" w:eastAsia="Times New Roman" w:hAnsi="Calibri" w:cs="Calibri"/>
                <w:sz w:val="18"/>
                <w:szCs w:val="18"/>
              </w:rPr>
              <w:t xml:space="preserve">Zagreb - </w:t>
            </w:r>
            <w:r w:rsidRPr="00B42611">
              <w:rPr>
                <w:rFonts w:ascii="Calibri" w:eastAsia="Times New Roman" w:hAnsi="Calibri" w:cs="Calibri"/>
                <w:sz w:val="18"/>
                <w:szCs w:val="18"/>
              </w:rPr>
              <w:t xml:space="preserve">Leustekov park, </w:t>
            </w:r>
            <w:r>
              <w:rPr>
                <w:rFonts w:ascii="Calibri" w:eastAsia="Times New Roman" w:hAnsi="Calibri" w:cs="Calibri"/>
                <w:sz w:val="18"/>
                <w:szCs w:val="18"/>
              </w:rPr>
              <w:t xml:space="preserve">Zagreb - </w:t>
            </w:r>
            <w:r w:rsidRPr="00B42611">
              <w:rPr>
                <w:rFonts w:ascii="Calibri" w:eastAsia="Times New Roman" w:hAnsi="Calibri" w:cs="Calibri"/>
                <w:sz w:val="18"/>
                <w:szCs w:val="18"/>
              </w:rPr>
              <w:t>Park kralja Petra Krešimira IV</w:t>
            </w:r>
            <w:r>
              <w:rPr>
                <w:rFonts w:ascii="Calibri" w:eastAsia="Times New Roman" w:hAnsi="Calibri" w:cs="Calibri"/>
                <w:sz w:val="18"/>
                <w:szCs w:val="18"/>
              </w:rPr>
              <w:t>.</w:t>
            </w:r>
            <w:r w:rsidRPr="00B42611">
              <w:rPr>
                <w:rFonts w:ascii="Calibri" w:eastAsia="Times New Roman" w:hAnsi="Calibri" w:cs="Calibri"/>
                <w:sz w:val="18"/>
                <w:szCs w:val="18"/>
              </w:rPr>
              <w:t xml:space="preserve">, </w:t>
            </w:r>
            <w:r>
              <w:rPr>
                <w:rFonts w:ascii="Calibri" w:eastAsia="Times New Roman" w:hAnsi="Calibri" w:cs="Calibri"/>
                <w:sz w:val="18"/>
                <w:szCs w:val="18"/>
              </w:rPr>
              <w:t xml:space="preserve">Zagreb - </w:t>
            </w:r>
            <w:r w:rsidRPr="00B42611">
              <w:rPr>
                <w:rFonts w:ascii="Calibri" w:eastAsia="Times New Roman" w:hAnsi="Calibri" w:cs="Calibri"/>
                <w:sz w:val="18"/>
                <w:szCs w:val="18"/>
              </w:rPr>
              <w:t xml:space="preserve">Perivoj srpanjskih žrtava, </w:t>
            </w:r>
            <w:r>
              <w:rPr>
                <w:rFonts w:ascii="Calibri" w:eastAsia="Times New Roman" w:hAnsi="Calibri" w:cs="Calibri"/>
                <w:sz w:val="18"/>
                <w:szCs w:val="18"/>
              </w:rPr>
              <w:t xml:space="preserve">Zagreb - </w:t>
            </w:r>
            <w:r w:rsidRPr="00B42611">
              <w:rPr>
                <w:rFonts w:ascii="Calibri" w:eastAsia="Times New Roman" w:hAnsi="Calibri" w:cs="Calibri"/>
                <w:sz w:val="18"/>
                <w:szCs w:val="18"/>
              </w:rPr>
              <w:t xml:space="preserve">Park uz dvorac Junković, </w:t>
            </w:r>
            <w:r>
              <w:rPr>
                <w:rFonts w:ascii="Calibri" w:eastAsia="Times New Roman" w:hAnsi="Calibri" w:cs="Calibri"/>
                <w:sz w:val="18"/>
                <w:szCs w:val="18"/>
              </w:rPr>
              <w:t xml:space="preserve">Zagreb - </w:t>
            </w:r>
            <w:r w:rsidRPr="00B42611">
              <w:rPr>
                <w:rFonts w:ascii="Calibri" w:eastAsia="Times New Roman" w:hAnsi="Calibri" w:cs="Calibri"/>
                <w:sz w:val="18"/>
                <w:szCs w:val="18"/>
              </w:rPr>
              <w:t>Mallinov park, Zagreb</w:t>
            </w:r>
            <w:r>
              <w:rPr>
                <w:rFonts w:ascii="Calibri" w:eastAsia="Times New Roman" w:hAnsi="Calibri" w:cs="Calibri"/>
                <w:sz w:val="18"/>
                <w:szCs w:val="18"/>
              </w:rPr>
              <w:t xml:space="preserve"> – Park Maksimir</w:t>
            </w:r>
            <w:r w:rsidRPr="00B42611">
              <w:rPr>
                <w:rFonts w:ascii="Calibri" w:eastAsia="Times New Roman" w:hAnsi="Calibri" w:cs="Calibri"/>
                <w:sz w:val="18"/>
                <w:szCs w:val="18"/>
              </w:rPr>
              <w:t xml:space="preserve">, </w:t>
            </w:r>
            <w:r>
              <w:rPr>
                <w:rFonts w:ascii="Calibri" w:eastAsia="Times New Roman" w:hAnsi="Calibri" w:cs="Calibri"/>
                <w:sz w:val="18"/>
                <w:szCs w:val="18"/>
              </w:rPr>
              <w:t xml:space="preserve">Zagreb - </w:t>
            </w:r>
            <w:r w:rsidRPr="00B42611">
              <w:rPr>
                <w:rFonts w:ascii="Calibri" w:eastAsia="Times New Roman" w:hAnsi="Calibri" w:cs="Calibri"/>
                <w:sz w:val="18"/>
                <w:szCs w:val="18"/>
              </w:rPr>
              <w:t xml:space="preserve">Park kralja Petra Svačića, Botanički vrt farmaceutsko-biokemijskog fakulteta, </w:t>
            </w:r>
            <w:r>
              <w:rPr>
                <w:rFonts w:ascii="Calibri" w:eastAsia="Times New Roman" w:hAnsi="Calibri" w:cs="Calibri"/>
                <w:sz w:val="18"/>
                <w:szCs w:val="18"/>
              </w:rPr>
              <w:t xml:space="preserve">Zagreb - </w:t>
            </w:r>
            <w:r w:rsidRPr="00B42611">
              <w:rPr>
                <w:rFonts w:ascii="Calibri" w:eastAsia="Times New Roman" w:hAnsi="Calibri" w:cs="Calibri"/>
                <w:sz w:val="18"/>
                <w:szCs w:val="18"/>
              </w:rPr>
              <w:t xml:space="preserve">Park u Jurjevskoj 30, </w:t>
            </w:r>
            <w:r>
              <w:rPr>
                <w:rFonts w:ascii="Calibri" w:eastAsia="Times New Roman" w:hAnsi="Calibri" w:cs="Calibri"/>
                <w:sz w:val="18"/>
                <w:szCs w:val="18"/>
              </w:rPr>
              <w:t xml:space="preserve">Zagreba - </w:t>
            </w:r>
            <w:r w:rsidRPr="00B42611">
              <w:rPr>
                <w:rFonts w:ascii="Calibri" w:eastAsia="Times New Roman" w:hAnsi="Calibri" w:cs="Calibri"/>
                <w:sz w:val="18"/>
                <w:szCs w:val="18"/>
              </w:rPr>
              <w:t xml:space="preserve">Park Zrinjevac, </w:t>
            </w:r>
            <w:r>
              <w:rPr>
                <w:rFonts w:ascii="Calibri" w:eastAsia="Times New Roman" w:hAnsi="Calibri" w:cs="Calibri"/>
                <w:sz w:val="18"/>
                <w:szCs w:val="18"/>
              </w:rPr>
              <w:t xml:space="preserve">Zagreb - </w:t>
            </w:r>
            <w:r w:rsidRPr="00B42611">
              <w:rPr>
                <w:rFonts w:ascii="Calibri" w:eastAsia="Times New Roman" w:hAnsi="Calibri" w:cs="Calibri"/>
                <w:sz w:val="18"/>
                <w:szCs w:val="18"/>
              </w:rPr>
              <w:t xml:space="preserve">Park J.J. Strossmayera, </w:t>
            </w:r>
            <w:r>
              <w:rPr>
                <w:rFonts w:ascii="Calibri" w:eastAsia="Times New Roman" w:hAnsi="Calibri" w:cs="Calibri"/>
                <w:sz w:val="18"/>
                <w:szCs w:val="18"/>
              </w:rPr>
              <w:t xml:space="preserve">Zagreb - </w:t>
            </w:r>
            <w:r w:rsidRPr="00B42611">
              <w:rPr>
                <w:rFonts w:ascii="Calibri" w:eastAsia="Times New Roman" w:hAnsi="Calibri" w:cs="Calibri"/>
                <w:sz w:val="18"/>
                <w:szCs w:val="18"/>
              </w:rPr>
              <w:t>Park kralja Tomislava</w:t>
            </w:r>
            <w:r>
              <w:rPr>
                <w:rFonts w:ascii="Calibri" w:eastAsia="Times New Roman" w:hAnsi="Calibri" w:cs="Calibri"/>
                <w:sz w:val="18"/>
                <w:szCs w:val="18"/>
              </w:rPr>
              <w:t xml:space="preserve">, </w:t>
            </w:r>
            <w:r w:rsidRPr="003201C6">
              <w:rPr>
                <w:rFonts w:ascii="Calibri" w:eastAsia="Times New Roman" w:hAnsi="Calibri" w:cs="Calibri"/>
                <w:sz w:val="18"/>
                <w:szCs w:val="18"/>
              </w:rPr>
              <w:t>Zagreb - Mamutovac II</w:t>
            </w:r>
            <w:r>
              <w:rPr>
                <w:rFonts w:ascii="Calibri" w:eastAsia="Times New Roman" w:hAnsi="Calibri" w:cs="Calibri"/>
                <w:sz w:val="18"/>
                <w:szCs w:val="18"/>
              </w:rPr>
              <w:t xml:space="preserve">, </w:t>
            </w:r>
            <w:r w:rsidRPr="003201C6">
              <w:rPr>
                <w:rFonts w:ascii="Calibri" w:eastAsia="Times New Roman" w:hAnsi="Calibri" w:cs="Calibri"/>
                <w:sz w:val="18"/>
                <w:szCs w:val="18"/>
              </w:rPr>
              <w:t>Zagreb - Vrt u prilazu Gjure Deželića</w:t>
            </w:r>
          </w:p>
        </w:tc>
        <w:tc>
          <w:tcPr>
            <w:tcW w:w="1235" w:type="dxa"/>
          </w:tcPr>
          <w:p w14:paraId="29DEE247" w14:textId="77777777" w:rsidR="007960D5" w:rsidRDefault="007960D5" w:rsidP="00F50578">
            <w:pPr>
              <w:spacing w:after="200" w:line="240" w:lineRule="auto"/>
              <w:jc w:val="center"/>
              <w:rPr>
                <w:rFonts w:ascii="Calibri" w:eastAsia="Times New Roman" w:hAnsi="Calibri" w:cs="Calibri"/>
                <w:sz w:val="18"/>
                <w:szCs w:val="18"/>
              </w:rPr>
            </w:pPr>
          </w:p>
        </w:tc>
        <w:tc>
          <w:tcPr>
            <w:tcW w:w="1390" w:type="dxa"/>
            <w:shd w:val="clear" w:color="auto" w:fill="auto"/>
            <w:vAlign w:val="center"/>
          </w:tcPr>
          <w:p w14:paraId="1D06BA22" w14:textId="637F68A8" w:rsidR="007960D5" w:rsidRDefault="007960D5" w:rsidP="00F50578">
            <w:pPr>
              <w:spacing w:after="200" w:line="240" w:lineRule="auto"/>
              <w:jc w:val="center"/>
              <w:rPr>
                <w:rFonts w:ascii="Calibri" w:eastAsia="Times New Roman" w:hAnsi="Calibri" w:cs="Calibri"/>
                <w:sz w:val="18"/>
                <w:szCs w:val="18"/>
              </w:rPr>
            </w:pPr>
          </w:p>
          <w:p w14:paraId="56E23980" w14:textId="63DC2022" w:rsidR="007960D5" w:rsidRPr="00B42611" w:rsidRDefault="007960D5" w:rsidP="00F50578">
            <w:pPr>
              <w:spacing w:after="200" w:line="240" w:lineRule="auto"/>
              <w:jc w:val="center"/>
              <w:rPr>
                <w:rFonts w:ascii="Calibri" w:eastAsia="Times New Roman" w:hAnsi="Calibri" w:cs="Calibri"/>
                <w:sz w:val="18"/>
                <w:szCs w:val="18"/>
              </w:rPr>
            </w:pPr>
            <w:r>
              <w:rPr>
                <w:rFonts w:ascii="Calibri" w:eastAsia="Times New Roman" w:hAnsi="Calibri" w:cs="Calibri"/>
                <w:sz w:val="18"/>
                <w:szCs w:val="18"/>
              </w:rPr>
              <w:t>384,57</w:t>
            </w:r>
          </w:p>
        </w:tc>
        <w:tc>
          <w:tcPr>
            <w:tcW w:w="1501" w:type="dxa"/>
            <w:shd w:val="clear" w:color="auto" w:fill="auto"/>
            <w:vAlign w:val="center"/>
          </w:tcPr>
          <w:p w14:paraId="531C8466" w14:textId="0E9FDDE7" w:rsidR="007960D5" w:rsidRDefault="007960D5" w:rsidP="00F50578">
            <w:pPr>
              <w:spacing w:after="200" w:line="240" w:lineRule="auto"/>
              <w:jc w:val="center"/>
              <w:rPr>
                <w:rFonts w:ascii="Calibri" w:eastAsia="Times New Roman" w:hAnsi="Calibri" w:cs="Calibri"/>
                <w:sz w:val="18"/>
                <w:szCs w:val="18"/>
              </w:rPr>
            </w:pPr>
          </w:p>
          <w:p w14:paraId="3FC4D9AA" w14:textId="47F5FF2B" w:rsidR="007960D5" w:rsidRPr="00B42611" w:rsidRDefault="007960D5" w:rsidP="00F50578">
            <w:pPr>
              <w:spacing w:after="200" w:line="240" w:lineRule="auto"/>
              <w:jc w:val="center"/>
              <w:rPr>
                <w:rFonts w:ascii="Calibri" w:eastAsia="Times New Roman" w:hAnsi="Calibri" w:cs="Calibri"/>
                <w:sz w:val="18"/>
                <w:szCs w:val="18"/>
              </w:rPr>
            </w:pPr>
            <w:r>
              <w:rPr>
                <w:rFonts w:ascii="Calibri" w:eastAsia="Times New Roman" w:hAnsi="Calibri" w:cs="Calibri"/>
                <w:sz w:val="18"/>
                <w:szCs w:val="18"/>
              </w:rPr>
              <w:t>0,6</w:t>
            </w:r>
          </w:p>
        </w:tc>
      </w:tr>
    </w:tbl>
    <w:p w14:paraId="71F7CBDA" w14:textId="24CB201A" w:rsidR="00C17261" w:rsidRPr="00C5446A" w:rsidRDefault="00C17261" w:rsidP="00C17261">
      <w:pPr>
        <w:spacing w:after="200" w:line="276" w:lineRule="auto"/>
        <w:rPr>
          <w:rFonts w:ascii="Calibri" w:eastAsia="Calibri" w:hAnsi="Calibri" w:cs="Calibri"/>
          <w:bCs/>
          <w:color w:val="0000FF"/>
          <w:sz w:val="20"/>
          <w:szCs w:val="20"/>
          <w:u w:val="single"/>
        </w:rPr>
      </w:pPr>
      <w:r w:rsidRPr="00B42611">
        <w:rPr>
          <w:rFonts w:ascii="Calibri" w:eastAsia="Calibri" w:hAnsi="Calibri" w:cs="Calibri"/>
          <w:bCs/>
          <w:sz w:val="20"/>
          <w:szCs w:val="20"/>
        </w:rPr>
        <w:t xml:space="preserve">Izvor: </w:t>
      </w:r>
      <w:hyperlink r:id="rId9" w:history="1">
        <w:r w:rsidRPr="00B42611">
          <w:rPr>
            <w:rFonts w:ascii="Calibri" w:eastAsia="Calibri" w:hAnsi="Calibri" w:cs="Calibri"/>
            <w:bCs/>
            <w:color w:val="0000FF"/>
            <w:sz w:val="20"/>
            <w:szCs w:val="20"/>
            <w:u w:val="single"/>
          </w:rPr>
          <w:t>www.bioportal.hr</w:t>
        </w:r>
      </w:hyperlink>
    </w:p>
    <w:p w14:paraId="4A545305" w14:textId="77777777" w:rsidR="00C17261" w:rsidRPr="00B42611" w:rsidRDefault="00C17261" w:rsidP="00C17261">
      <w:pPr>
        <w:spacing w:after="200" w:line="240" w:lineRule="auto"/>
        <w:jc w:val="both"/>
        <w:rPr>
          <w:rFonts w:ascii="Calibri" w:eastAsia="Calibri" w:hAnsi="Calibri" w:cs="Calibri"/>
          <w:i/>
        </w:rPr>
      </w:pPr>
      <w:r w:rsidRPr="00B42611">
        <w:rPr>
          <w:rFonts w:ascii="Calibri" w:eastAsia="Calibri" w:hAnsi="Calibri" w:cs="Calibri"/>
          <w:bCs/>
        </w:rPr>
        <w:t>Pojedini prostori s atributima vrijednih rezervata, krajobraza, gradskih park-šuma, te pojedinačni objekti prirode, vrijedni parkovi, vrtovi i drvoredi štite se posebnim mjerama prostornih planova: prostorni planovi područja posebnih obilježja, Prostorni plan Grada Zagreba, generalni urbanistički planovi Zagreba i Sesveta, detaljniji planovi.</w:t>
      </w:r>
    </w:p>
    <w:p w14:paraId="5B34916C" w14:textId="67AF12F6" w:rsidR="004838D7" w:rsidRDefault="00C17261" w:rsidP="004976E4">
      <w:pPr>
        <w:spacing w:line="240" w:lineRule="auto"/>
        <w:jc w:val="both"/>
        <w:rPr>
          <w:rFonts w:eastAsia="Calibri" w:cstheme="minorHAnsi"/>
          <w:bCs/>
        </w:rPr>
      </w:pPr>
      <w:r w:rsidRPr="00B42611">
        <w:rPr>
          <w:rFonts w:ascii="Calibri" w:eastAsia="Calibri" w:hAnsi="Calibri" w:cs="Calibri"/>
          <w:b/>
        </w:rPr>
        <w:t xml:space="preserve">Ekološka mreža – Natura 2000. </w:t>
      </w:r>
      <w:r w:rsidRPr="001C2B9B">
        <w:rPr>
          <w:rFonts w:eastAsia="Calibri" w:cstheme="minorHAnsi"/>
          <w:bCs/>
        </w:rPr>
        <w:t xml:space="preserve">Proglašavanje područja zaštićenim ili područjima ekološke mreže jedan je od najvažnijih mehanizama očuvanja dijelova prirode ili cjelokupnih ekosustava, odnosno bioraznolikosti općenito. Stupanjem na snagu nove Uredbe o ekološkoj mreži i nadležnostima javnih ustanova za upravljanje područjima ekološke mreže (NN </w:t>
      </w:r>
      <w:r w:rsidRPr="001C2B9B">
        <w:rPr>
          <w:rFonts w:cstheme="minorHAnsi"/>
          <w:bCs/>
        </w:rPr>
        <w:t>80/19</w:t>
      </w:r>
      <w:r w:rsidRPr="001C2B9B">
        <w:rPr>
          <w:rFonts w:eastAsia="Calibri" w:cstheme="minorHAnsi"/>
          <w:bCs/>
        </w:rPr>
        <w:t>), proglašena je ekološka mreža RH koja temeljem Zakona o zaštiti prirode (NN 80/13,</w:t>
      </w:r>
      <w:r w:rsidRPr="001C2B9B">
        <w:rPr>
          <w:rFonts w:cstheme="minorHAnsi"/>
          <w:bCs/>
        </w:rPr>
        <w:t xml:space="preserve"> </w:t>
      </w:r>
      <w:hyperlink r:id="rId10" w:tgtFrame="_blank" w:history="1">
        <w:r w:rsidRPr="001C2B9B">
          <w:rPr>
            <w:rFonts w:cstheme="minorHAnsi"/>
          </w:rPr>
          <w:t>15/18</w:t>
        </w:r>
      </w:hyperlink>
      <w:r w:rsidRPr="001C2B9B">
        <w:rPr>
          <w:rFonts w:cstheme="minorHAnsi"/>
          <w:bCs/>
        </w:rPr>
        <w:t>, </w:t>
      </w:r>
      <w:hyperlink r:id="rId11" w:tgtFrame="_blank" w:history="1">
        <w:r w:rsidRPr="001C2B9B">
          <w:rPr>
            <w:rFonts w:cstheme="minorHAnsi"/>
          </w:rPr>
          <w:t>14/19</w:t>
        </w:r>
      </w:hyperlink>
      <w:r w:rsidRPr="001C2B9B">
        <w:rPr>
          <w:rFonts w:cstheme="minorHAnsi"/>
          <w:bCs/>
        </w:rPr>
        <w:t>, </w:t>
      </w:r>
      <w:hyperlink r:id="rId12" w:history="1">
        <w:r w:rsidRPr="001C2B9B">
          <w:rPr>
            <w:rFonts w:cstheme="minorHAnsi"/>
          </w:rPr>
          <w:t>127/19</w:t>
        </w:r>
      </w:hyperlink>
      <w:r w:rsidRPr="001C2B9B">
        <w:rPr>
          <w:rFonts w:eastAsia="Calibri" w:cstheme="minorHAnsi"/>
          <w:bCs/>
        </w:rPr>
        <w:t xml:space="preserve"> ) predstavlja i mrežu Natura 2000 u Hrvatskoj. </w:t>
      </w:r>
    </w:p>
    <w:p w14:paraId="60535DB7" w14:textId="0D8201A4" w:rsidR="00CF0B4D" w:rsidRDefault="00CF0B4D" w:rsidP="004976E4">
      <w:pPr>
        <w:spacing w:line="240" w:lineRule="auto"/>
        <w:jc w:val="both"/>
        <w:rPr>
          <w:rFonts w:eastAsia="Calibri" w:cstheme="minorHAnsi"/>
          <w:bCs/>
        </w:rPr>
      </w:pPr>
      <w:r w:rsidRPr="00CF0B4D">
        <w:rPr>
          <w:rFonts w:eastAsia="Calibri" w:cstheme="minorHAnsi"/>
          <w:bCs/>
        </w:rPr>
        <w:t>Na temelju Zakona o zaštiti prirode (NN 80/13, 15/18, 14/19, 127/19) i Uredbe o ekološkoj mreži i nadležnostima javnih ustanova za upravljanje područjima ekološke mreže (NN 80/19) štiti se i ekološka mreža unutar granica Grada Zagreba</w:t>
      </w:r>
      <w:r w:rsidR="0096443F">
        <w:rPr>
          <w:rFonts w:eastAsia="Calibri" w:cstheme="minorHAnsi"/>
          <w:bCs/>
        </w:rPr>
        <w:t xml:space="preserve">, </w:t>
      </w:r>
      <w:r w:rsidR="0096443F" w:rsidRPr="0096443F">
        <w:rPr>
          <w:rFonts w:eastAsia="Calibri" w:cstheme="minorHAnsi"/>
          <w:bCs/>
        </w:rPr>
        <w:t>a njezina površina iznosi 13,54%</w:t>
      </w:r>
      <w:r w:rsidRPr="00CF0B4D">
        <w:rPr>
          <w:rFonts w:eastAsia="Calibri" w:cstheme="minorHAnsi"/>
          <w:bCs/>
        </w:rPr>
        <w:t>. Proglašenjem ekološke mreže, u pravni poredak Republike Hrvatske prenesene su direktive Europske unije - Direktiva o pticama i Direktiva o staništima. Temeljem tih direktiva na području Grada Zagreba nalaze se područja očuvanja značajna za ptice – POP, područja očuvanja značajna za vrste i stanišne tipove – POVS. Kao POP područje proglašeno je područje HR1000002 Sava kod Hrušćice sa šljunčarom Rakitje, dok su POVS područja</w:t>
      </w:r>
      <w:r>
        <w:rPr>
          <w:rFonts w:eastAsia="Calibri" w:cstheme="minorHAnsi"/>
          <w:bCs/>
        </w:rPr>
        <w:t xml:space="preserve">: HR2000583 Medvednica, </w:t>
      </w:r>
      <w:r w:rsidRPr="00CF0B4D">
        <w:rPr>
          <w:rFonts w:eastAsia="Calibri" w:cstheme="minorHAnsi"/>
          <w:bCs/>
        </w:rPr>
        <w:t>HR2001228</w:t>
      </w:r>
      <w:r>
        <w:rPr>
          <w:rFonts w:eastAsia="Calibri" w:cstheme="minorHAnsi"/>
          <w:bCs/>
        </w:rPr>
        <w:t xml:space="preserve"> Potok Dolje, </w:t>
      </w:r>
      <w:r w:rsidRPr="00CF0B4D">
        <w:rPr>
          <w:rFonts w:eastAsia="Calibri" w:cstheme="minorHAnsi"/>
          <w:bCs/>
        </w:rPr>
        <w:t>HR2001298</w:t>
      </w:r>
      <w:r>
        <w:rPr>
          <w:rFonts w:eastAsia="Calibri" w:cstheme="minorHAnsi"/>
          <w:bCs/>
        </w:rPr>
        <w:t xml:space="preserve"> </w:t>
      </w:r>
      <w:r w:rsidRPr="00CF0B4D">
        <w:rPr>
          <w:rFonts w:eastAsia="Calibri" w:cstheme="minorHAnsi"/>
          <w:bCs/>
        </w:rPr>
        <w:t>Vejalnica i Krč</w:t>
      </w:r>
      <w:r>
        <w:rPr>
          <w:rFonts w:eastAsia="Calibri" w:cstheme="minorHAnsi"/>
          <w:bCs/>
        </w:rPr>
        <w:t xml:space="preserve">, </w:t>
      </w:r>
      <w:r w:rsidRPr="00CF0B4D">
        <w:rPr>
          <w:rFonts w:eastAsia="Calibri" w:cstheme="minorHAnsi"/>
          <w:bCs/>
        </w:rPr>
        <w:t>HR2000589</w:t>
      </w:r>
      <w:r>
        <w:rPr>
          <w:rFonts w:eastAsia="Calibri" w:cstheme="minorHAnsi"/>
          <w:bCs/>
        </w:rPr>
        <w:t xml:space="preserve"> </w:t>
      </w:r>
      <w:r w:rsidRPr="00CF0B4D">
        <w:rPr>
          <w:rFonts w:eastAsia="Calibri" w:cstheme="minorHAnsi"/>
          <w:bCs/>
        </w:rPr>
        <w:t>Stupnički lug</w:t>
      </w:r>
      <w:r>
        <w:rPr>
          <w:rFonts w:eastAsia="Calibri" w:cstheme="minorHAnsi"/>
          <w:bCs/>
        </w:rPr>
        <w:t xml:space="preserve">, </w:t>
      </w:r>
      <w:r w:rsidRPr="00CF0B4D">
        <w:rPr>
          <w:rFonts w:eastAsia="Calibri" w:cstheme="minorHAnsi"/>
          <w:bCs/>
        </w:rPr>
        <w:t>HR2001506</w:t>
      </w:r>
      <w:r>
        <w:rPr>
          <w:rFonts w:eastAsia="Calibri" w:cstheme="minorHAnsi"/>
          <w:bCs/>
        </w:rPr>
        <w:t xml:space="preserve"> </w:t>
      </w:r>
      <w:r w:rsidRPr="00CF0B4D">
        <w:rPr>
          <w:rFonts w:eastAsia="Calibri" w:cstheme="minorHAnsi"/>
          <w:bCs/>
        </w:rPr>
        <w:t>Sava uzvodno od Zagreba</w:t>
      </w:r>
      <w:r>
        <w:rPr>
          <w:rFonts w:eastAsia="Calibri" w:cstheme="minorHAnsi"/>
          <w:bCs/>
        </w:rPr>
        <w:t>.</w:t>
      </w:r>
    </w:p>
    <w:p w14:paraId="5615D1B2" w14:textId="77777777" w:rsidR="0096443F" w:rsidRDefault="0096443F" w:rsidP="004976E4">
      <w:pPr>
        <w:spacing w:line="240" w:lineRule="auto"/>
        <w:jc w:val="both"/>
        <w:rPr>
          <w:rFonts w:eastAsia="Times New Roman" w:cstheme="minorHAnsi"/>
          <w:bCs/>
        </w:rPr>
      </w:pPr>
    </w:p>
    <w:p w14:paraId="03FE46B7" w14:textId="4BC9AB3F" w:rsidR="007960D5" w:rsidRPr="007960D5" w:rsidRDefault="007960D5" w:rsidP="00E2286C">
      <w:pPr>
        <w:pStyle w:val="Opisslike"/>
      </w:pPr>
      <w:r>
        <w:t xml:space="preserve">Tablica </w:t>
      </w:r>
      <w:r w:rsidR="00751C19">
        <w:fldChar w:fldCharType="begin"/>
      </w:r>
      <w:r w:rsidR="00751C19">
        <w:instrText xml:space="preserve"> SE</w:instrText>
      </w:r>
      <w:r w:rsidR="00751C19">
        <w:instrText xml:space="preserve">Q Tablica \* ARABIC </w:instrText>
      </w:r>
      <w:r w:rsidR="00751C19">
        <w:fldChar w:fldCharType="separate"/>
      </w:r>
      <w:r w:rsidR="00803E25">
        <w:rPr>
          <w:noProof/>
        </w:rPr>
        <w:t>2</w:t>
      </w:r>
      <w:r w:rsidR="00751C19">
        <w:rPr>
          <w:noProof/>
        </w:rPr>
        <w:fldChar w:fldCharType="end"/>
      </w:r>
      <w:r>
        <w:t xml:space="preserve">. </w:t>
      </w:r>
      <w:r w:rsidRPr="00155B06">
        <w:t>Površina područja ekološke mreže (EM) unutar Grada Zagreba</w:t>
      </w:r>
    </w:p>
    <w:tbl>
      <w:tblPr>
        <w:tblStyle w:val="Tematablice"/>
        <w:tblW w:w="9371" w:type="dxa"/>
        <w:tblLayout w:type="fixed"/>
        <w:tblLook w:val="04A0" w:firstRow="1" w:lastRow="0" w:firstColumn="1" w:lastColumn="0" w:noHBand="0" w:noVBand="1"/>
      </w:tblPr>
      <w:tblGrid>
        <w:gridCol w:w="2180"/>
        <w:gridCol w:w="3931"/>
        <w:gridCol w:w="1630"/>
        <w:gridCol w:w="1630"/>
      </w:tblGrid>
      <w:tr w:rsidR="00BB6FC7" w:rsidRPr="00BB6FC7" w14:paraId="66A180B8" w14:textId="77777777" w:rsidTr="00234E6B">
        <w:trPr>
          <w:trHeight w:val="645"/>
        </w:trPr>
        <w:tc>
          <w:tcPr>
            <w:tcW w:w="2180" w:type="dxa"/>
            <w:hideMark/>
          </w:tcPr>
          <w:p w14:paraId="4A64313E" w14:textId="4AB9E83A" w:rsidR="00BB6FC7" w:rsidRPr="00BB6FC7" w:rsidRDefault="00BB6FC7" w:rsidP="00234E6B">
            <w:pPr>
              <w:spacing w:after="200" w:line="240" w:lineRule="auto"/>
              <w:jc w:val="center"/>
              <w:rPr>
                <w:rFonts w:ascii="Calibri" w:eastAsia="Times New Roman" w:hAnsi="Calibri" w:cs="Calibri"/>
                <w:b/>
                <w:sz w:val="18"/>
                <w:szCs w:val="18"/>
              </w:rPr>
            </w:pPr>
            <w:bookmarkStart w:id="8" w:name="RANGE!A1:C5"/>
            <w:r w:rsidRPr="00BB6FC7">
              <w:rPr>
                <w:rFonts w:ascii="Calibri" w:eastAsia="Times New Roman" w:hAnsi="Calibri" w:cs="Calibri"/>
                <w:b/>
                <w:sz w:val="18"/>
                <w:szCs w:val="18"/>
              </w:rPr>
              <w:t>Identifikacijski</w:t>
            </w:r>
            <w:r w:rsidRPr="00234E6B">
              <w:rPr>
                <w:rFonts w:ascii="Calibri" w:eastAsia="Times New Roman" w:hAnsi="Calibri" w:cs="Calibri"/>
                <w:b/>
                <w:sz w:val="18"/>
                <w:szCs w:val="18"/>
              </w:rPr>
              <w:t xml:space="preserve"> </w:t>
            </w:r>
            <w:r w:rsidRPr="00BB6FC7">
              <w:rPr>
                <w:rFonts w:ascii="Calibri" w:eastAsia="Times New Roman" w:hAnsi="Calibri" w:cs="Calibri"/>
                <w:b/>
                <w:sz w:val="18"/>
                <w:szCs w:val="18"/>
              </w:rPr>
              <w:t>broj područja EM</w:t>
            </w:r>
            <w:bookmarkEnd w:id="8"/>
          </w:p>
        </w:tc>
        <w:tc>
          <w:tcPr>
            <w:tcW w:w="3931" w:type="dxa"/>
            <w:noWrap/>
            <w:hideMark/>
          </w:tcPr>
          <w:p w14:paraId="00C20719" w14:textId="77777777" w:rsidR="00BB6FC7" w:rsidRPr="00BB6FC7" w:rsidRDefault="00BB6FC7" w:rsidP="00234E6B">
            <w:pPr>
              <w:spacing w:after="200" w:line="240" w:lineRule="auto"/>
              <w:jc w:val="center"/>
              <w:rPr>
                <w:rFonts w:ascii="Calibri" w:eastAsia="Times New Roman" w:hAnsi="Calibri" w:cs="Calibri"/>
                <w:b/>
                <w:sz w:val="18"/>
                <w:szCs w:val="18"/>
              </w:rPr>
            </w:pPr>
            <w:r w:rsidRPr="00BB6FC7">
              <w:rPr>
                <w:rFonts w:ascii="Calibri" w:eastAsia="Times New Roman" w:hAnsi="Calibri" w:cs="Calibri"/>
                <w:b/>
                <w:sz w:val="18"/>
                <w:szCs w:val="18"/>
              </w:rPr>
              <w:t>Naziv područja EM</w:t>
            </w:r>
          </w:p>
        </w:tc>
        <w:tc>
          <w:tcPr>
            <w:tcW w:w="1630" w:type="dxa"/>
            <w:hideMark/>
          </w:tcPr>
          <w:p w14:paraId="2E96E8F4" w14:textId="77777777" w:rsidR="00BB6FC7" w:rsidRPr="00BB6FC7" w:rsidRDefault="00BB6FC7" w:rsidP="00234E6B">
            <w:pPr>
              <w:spacing w:after="200" w:line="240" w:lineRule="auto"/>
              <w:jc w:val="center"/>
              <w:rPr>
                <w:rFonts w:ascii="Calibri" w:eastAsia="Times New Roman" w:hAnsi="Calibri" w:cs="Calibri"/>
                <w:b/>
                <w:sz w:val="18"/>
                <w:szCs w:val="18"/>
              </w:rPr>
            </w:pPr>
            <w:r w:rsidRPr="00BB6FC7">
              <w:rPr>
                <w:rFonts w:ascii="Calibri" w:eastAsia="Times New Roman" w:hAnsi="Calibri" w:cs="Calibri"/>
                <w:b/>
                <w:sz w:val="18"/>
                <w:szCs w:val="18"/>
              </w:rPr>
              <w:t>Površina područja EM (ha)</w:t>
            </w:r>
          </w:p>
        </w:tc>
        <w:tc>
          <w:tcPr>
            <w:tcW w:w="1630" w:type="dxa"/>
            <w:hideMark/>
          </w:tcPr>
          <w:p w14:paraId="6E73AC2F" w14:textId="77777777" w:rsidR="00BB6FC7" w:rsidRPr="00BB6FC7" w:rsidRDefault="00BB6FC7" w:rsidP="00234E6B">
            <w:pPr>
              <w:spacing w:after="200" w:line="240" w:lineRule="auto"/>
              <w:jc w:val="center"/>
              <w:rPr>
                <w:rFonts w:ascii="Calibri" w:eastAsia="Times New Roman" w:hAnsi="Calibri" w:cs="Calibri"/>
                <w:b/>
                <w:sz w:val="18"/>
                <w:szCs w:val="18"/>
              </w:rPr>
            </w:pPr>
            <w:r w:rsidRPr="00BB6FC7">
              <w:rPr>
                <w:rFonts w:ascii="Calibri" w:eastAsia="Times New Roman" w:hAnsi="Calibri" w:cs="Calibri"/>
                <w:b/>
                <w:sz w:val="18"/>
                <w:szCs w:val="18"/>
              </w:rPr>
              <w:t>Površina područja EM unutar Grada Zagreba (ha)</w:t>
            </w:r>
          </w:p>
        </w:tc>
      </w:tr>
      <w:tr w:rsidR="00BB6FC7" w:rsidRPr="00BB6FC7" w14:paraId="3DDCE31B" w14:textId="77777777" w:rsidTr="00234E6B">
        <w:trPr>
          <w:trHeight w:val="285"/>
        </w:trPr>
        <w:tc>
          <w:tcPr>
            <w:tcW w:w="2180" w:type="dxa"/>
            <w:noWrap/>
            <w:hideMark/>
          </w:tcPr>
          <w:p w14:paraId="5CD3FBD1"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HR2000589</w:t>
            </w:r>
          </w:p>
        </w:tc>
        <w:tc>
          <w:tcPr>
            <w:tcW w:w="3931" w:type="dxa"/>
            <w:noWrap/>
            <w:hideMark/>
          </w:tcPr>
          <w:p w14:paraId="4B706D1F"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Stupnički lug</w:t>
            </w:r>
          </w:p>
        </w:tc>
        <w:tc>
          <w:tcPr>
            <w:tcW w:w="1630" w:type="dxa"/>
            <w:noWrap/>
            <w:hideMark/>
          </w:tcPr>
          <w:p w14:paraId="33172331"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760,86</w:t>
            </w:r>
          </w:p>
        </w:tc>
        <w:tc>
          <w:tcPr>
            <w:tcW w:w="1630" w:type="dxa"/>
            <w:noWrap/>
            <w:hideMark/>
          </w:tcPr>
          <w:p w14:paraId="19ADDBFB"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7,47</w:t>
            </w:r>
          </w:p>
        </w:tc>
      </w:tr>
      <w:tr w:rsidR="00BB6FC7" w:rsidRPr="00BB6FC7" w14:paraId="475AE5F9" w14:textId="77777777" w:rsidTr="00234E6B">
        <w:trPr>
          <w:trHeight w:val="285"/>
        </w:trPr>
        <w:tc>
          <w:tcPr>
            <w:tcW w:w="2180" w:type="dxa"/>
            <w:noWrap/>
            <w:hideMark/>
          </w:tcPr>
          <w:p w14:paraId="5E01621E"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HR2001228</w:t>
            </w:r>
          </w:p>
        </w:tc>
        <w:tc>
          <w:tcPr>
            <w:tcW w:w="3931" w:type="dxa"/>
            <w:noWrap/>
            <w:hideMark/>
          </w:tcPr>
          <w:p w14:paraId="761DF488"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Potok Dolje</w:t>
            </w:r>
          </w:p>
        </w:tc>
        <w:tc>
          <w:tcPr>
            <w:tcW w:w="1630" w:type="dxa"/>
            <w:noWrap/>
            <w:hideMark/>
          </w:tcPr>
          <w:p w14:paraId="763B0B3A"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5,22</w:t>
            </w:r>
          </w:p>
        </w:tc>
        <w:tc>
          <w:tcPr>
            <w:tcW w:w="1630" w:type="dxa"/>
            <w:noWrap/>
            <w:hideMark/>
          </w:tcPr>
          <w:p w14:paraId="522A99CB"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5,22</w:t>
            </w:r>
          </w:p>
        </w:tc>
      </w:tr>
      <w:tr w:rsidR="00BB6FC7" w:rsidRPr="00BB6FC7" w14:paraId="49AA33A7" w14:textId="77777777" w:rsidTr="00234E6B">
        <w:trPr>
          <w:trHeight w:val="285"/>
        </w:trPr>
        <w:tc>
          <w:tcPr>
            <w:tcW w:w="2180" w:type="dxa"/>
            <w:noWrap/>
            <w:hideMark/>
          </w:tcPr>
          <w:p w14:paraId="05356A83"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HR2001298</w:t>
            </w:r>
          </w:p>
        </w:tc>
        <w:tc>
          <w:tcPr>
            <w:tcW w:w="3931" w:type="dxa"/>
            <w:noWrap/>
            <w:hideMark/>
          </w:tcPr>
          <w:p w14:paraId="6D43CA07"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Vejalnica i Krč</w:t>
            </w:r>
          </w:p>
        </w:tc>
        <w:tc>
          <w:tcPr>
            <w:tcW w:w="1630" w:type="dxa"/>
            <w:noWrap/>
            <w:hideMark/>
          </w:tcPr>
          <w:p w14:paraId="5CAA4F59"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145,00</w:t>
            </w:r>
          </w:p>
        </w:tc>
        <w:tc>
          <w:tcPr>
            <w:tcW w:w="1630" w:type="dxa"/>
            <w:noWrap/>
            <w:hideMark/>
          </w:tcPr>
          <w:p w14:paraId="0CB2FD40"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145,00</w:t>
            </w:r>
          </w:p>
        </w:tc>
      </w:tr>
      <w:tr w:rsidR="00BB6FC7" w:rsidRPr="00BB6FC7" w14:paraId="27F02D4C" w14:textId="77777777" w:rsidTr="00234E6B">
        <w:trPr>
          <w:trHeight w:val="285"/>
        </w:trPr>
        <w:tc>
          <w:tcPr>
            <w:tcW w:w="2180" w:type="dxa"/>
            <w:noWrap/>
            <w:hideMark/>
          </w:tcPr>
          <w:p w14:paraId="218C5860"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HR2001506</w:t>
            </w:r>
          </w:p>
        </w:tc>
        <w:tc>
          <w:tcPr>
            <w:tcW w:w="3931" w:type="dxa"/>
            <w:noWrap/>
            <w:hideMark/>
          </w:tcPr>
          <w:p w14:paraId="20271206"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Sava uzvodno od Zagreba</w:t>
            </w:r>
          </w:p>
        </w:tc>
        <w:tc>
          <w:tcPr>
            <w:tcW w:w="1630" w:type="dxa"/>
            <w:noWrap/>
            <w:hideMark/>
          </w:tcPr>
          <w:p w14:paraId="15EB3E08"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209,74</w:t>
            </w:r>
          </w:p>
        </w:tc>
        <w:tc>
          <w:tcPr>
            <w:tcW w:w="1630" w:type="dxa"/>
            <w:noWrap/>
            <w:hideMark/>
          </w:tcPr>
          <w:p w14:paraId="7CB7882D"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20,56</w:t>
            </w:r>
          </w:p>
        </w:tc>
      </w:tr>
      <w:tr w:rsidR="00BB6FC7" w:rsidRPr="00BB6FC7" w14:paraId="2E698E7D" w14:textId="77777777" w:rsidTr="00234E6B">
        <w:trPr>
          <w:trHeight w:val="285"/>
        </w:trPr>
        <w:tc>
          <w:tcPr>
            <w:tcW w:w="2180" w:type="dxa"/>
            <w:noWrap/>
            <w:hideMark/>
          </w:tcPr>
          <w:p w14:paraId="44067555"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HR1000002</w:t>
            </w:r>
          </w:p>
        </w:tc>
        <w:tc>
          <w:tcPr>
            <w:tcW w:w="3931" w:type="dxa"/>
            <w:noWrap/>
            <w:hideMark/>
          </w:tcPr>
          <w:p w14:paraId="46D0049C"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Sava kod Hrušćice sa šljunčarom Rakitje</w:t>
            </w:r>
          </w:p>
        </w:tc>
        <w:tc>
          <w:tcPr>
            <w:tcW w:w="1630" w:type="dxa"/>
            <w:noWrap/>
            <w:hideMark/>
          </w:tcPr>
          <w:p w14:paraId="354DC07F" w14:textId="77777777"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1.453,26</w:t>
            </w:r>
          </w:p>
        </w:tc>
        <w:tc>
          <w:tcPr>
            <w:tcW w:w="1630" w:type="dxa"/>
            <w:noWrap/>
            <w:hideMark/>
          </w:tcPr>
          <w:p w14:paraId="02DE8A3A" w14:textId="043ACD72" w:rsidR="00BB6FC7" w:rsidRPr="00BB6FC7" w:rsidRDefault="00BB6FC7" w:rsidP="00234E6B">
            <w:pPr>
              <w:spacing w:after="200" w:line="240" w:lineRule="auto"/>
              <w:jc w:val="both"/>
              <w:rPr>
                <w:rFonts w:ascii="Calibri" w:eastAsia="Times New Roman" w:hAnsi="Calibri" w:cs="Calibri"/>
                <w:b/>
                <w:sz w:val="18"/>
                <w:szCs w:val="18"/>
              </w:rPr>
            </w:pPr>
            <w:r w:rsidRPr="00BB6FC7">
              <w:rPr>
                <w:rFonts w:ascii="Calibri" w:eastAsia="Times New Roman" w:hAnsi="Calibri" w:cs="Calibri"/>
                <w:b/>
                <w:sz w:val="18"/>
                <w:szCs w:val="18"/>
              </w:rPr>
              <w:t>64,90</w:t>
            </w:r>
          </w:p>
        </w:tc>
      </w:tr>
      <w:tr w:rsidR="00BB6FC7" w:rsidRPr="00BB6FC7" w14:paraId="7A58E761" w14:textId="77777777" w:rsidTr="00234E6B">
        <w:trPr>
          <w:trHeight w:val="285"/>
        </w:trPr>
        <w:tc>
          <w:tcPr>
            <w:tcW w:w="2180" w:type="dxa"/>
            <w:noWrap/>
          </w:tcPr>
          <w:p w14:paraId="0563133C" w14:textId="50E5B3EE" w:rsidR="00BB6FC7" w:rsidRPr="00234E6B" w:rsidRDefault="00BB6FC7" w:rsidP="00234E6B">
            <w:pPr>
              <w:spacing w:after="200" w:line="240" w:lineRule="auto"/>
              <w:jc w:val="both"/>
              <w:rPr>
                <w:rFonts w:ascii="Calibri" w:eastAsia="Times New Roman" w:hAnsi="Calibri" w:cs="Calibri"/>
                <w:b/>
                <w:sz w:val="18"/>
                <w:szCs w:val="18"/>
              </w:rPr>
            </w:pPr>
            <w:r w:rsidRPr="00234E6B">
              <w:rPr>
                <w:rFonts w:ascii="Calibri" w:eastAsia="Times New Roman" w:hAnsi="Calibri" w:cs="Calibri"/>
                <w:b/>
                <w:sz w:val="18"/>
                <w:szCs w:val="18"/>
              </w:rPr>
              <w:t>HR2000583</w:t>
            </w:r>
          </w:p>
        </w:tc>
        <w:tc>
          <w:tcPr>
            <w:tcW w:w="3931" w:type="dxa"/>
            <w:noWrap/>
          </w:tcPr>
          <w:p w14:paraId="44E59341" w14:textId="75377985" w:rsidR="00BB6FC7" w:rsidRPr="00234E6B" w:rsidRDefault="00BB6FC7" w:rsidP="00234E6B">
            <w:pPr>
              <w:spacing w:after="200" w:line="240" w:lineRule="auto"/>
              <w:jc w:val="both"/>
              <w:rPr>
                <w:rFonts w:ascii="Calibri" w:eastAsia="Times New Roman" w:hAnsi="Calibri" w:cs="Calibri"/>
                <w:b/>
                <w:sz w:val="18"/>
                <w:szCs w:val="18"/>
              </w:rPr>
            </w:pPr>
            <w:r w:rsidRPr="00234E6B">
              <w:rPr>
                <w:rFonts w:ascii="Calibri" w:eastAsia="Times New Roman" w:hAnsi="Calibri" w:cs="Calibri"/>
                <w:b/>
                <w:sz w:val="18"/>
                <w:szCs w:val="18"/>
              </w:rPr>
              <w:t>Medvednica</w:t>
            </w:r>
          </w:p>
        </w:tc>
        <w:tc>
          <w:tcPr>
            <w:tcW w:w="1630" w:type="dxa"/>
            <w:noWrap/>
          </w:tcPr>
          <w:p w14:paraId="364EEFC4" w14:textId="210A99B7" w:rsidR="00BB6FC7" w:rsidRPr="00234E6B" w:rsidRDefault="00F45BBC" w:rsidP="00234E6B">
            <w:pPr>
              <w:spacing w:after="200" w:line="240" w:lineRule="auto"/>
              <w:jc w:val="both"/>
              <w:rPr>
                <w:rFonts w:ascii="Calibri" w:eastAsia="Times New Roman" w:hAnsi="Calibri" w:cs="Calibri"/>
                <w:b/>
                <w:sz w:val="18"/>
                <w:szCs w:val="18"/>
              </w:rPr>
            </w:pPr>
            <w:r w:rsidRPr="00234E6B">
              <w:rPr>
                <w:rFonts w:ascii="Calibri" w:eastAsia="Times New Roman" w:hAnsi="Calibri" w:cs="Calibri"/>
                <w:b/>
                <w:sz w:val="18"/>
                <w:szCs w:val="18"/>
              </w:rPr>
              <w:t>17.936,19</w:t>
            </w:r>
          </w:p>
        </w:tc>
        <w:tc>
          <w:tcPr>
            <w:tcW w:w="1630" w:type="dxa"/>
            <w:noWrap/>
          </w:tcPr>
          <w:p w14:paraId="0D51132A" w14:textId="6F0BB284" w:rsidR="00BB6FC7" w:rsidRPr="00234E6B" w:rsidRDefault="00A9055F" w:rsidP="00234E6B">
            <w:pPr>
              <w:spacing w:after="200" w:line="240" w:lineRule="auto"/>
              <w:jc w:val="both"/>
              <w:rPr>
                <w:rFonts w:ascii="Calibri" w:eastAsia="Times New Roman" w:hAnsi="Calibri" w:cs="Calibri"/>
                <w:b/>
                <w:sz w:val="18"/>
                <w:szCs w:val="18"/>
              </w:rPr>
            </w:pPr>
            <w:r w:rsidRPr="00234E6B">
              <w:rPr>
                <w:rFonts w:ascii="Calibri" w:eastAsia="Times New Roman" w:hAnsi="Calibri" w:cs="Calibri"/>
                <w:b/>
                <w:sz w:val="18"/>
                <w:szCs w:val="18"/>
              </w:rPr>
              <w:t>8438,12</w:t>
            </w:r>
          </w:p>
        </w:tc>
      </w:tr>
    </w:tbl>
    <w:p w14:paraId="4DAEDFD8" w14:textId="74A3BDEF" w:rsidR="00BB6FC7" w:rsidRPr="00234E6B" w:rsidRDefault="00234E6B" w:rsidP="00234E6B">
      <w:pPr>
        <w:spacing w:after="200" w:line="276" w:lineRule="auto"/>
        <w:rPr>
          <w:rFonts w:ascii="Calibri" w:eastAsia="Calibri" w:hAnsi="Calibri" w:cs="Calibri"/>
          <w:bCs/>
          <w:sz w:val="20"/>
          <w:szCs w:val="20"/>
        </w:rPr>
      </w:pPr>
      <w:r w:rsidRPr="00234E6B">
        <w:rPr>
          <w:rFonts w:ascii="Calibri" w:eastAsia="Calibri" w:hAnsi="Calibri" w:cs="Calibri"/>
          <w:bCs/>
          <w:sz w:val="20"/>
          <w:szCs w:val="20"/>
        </w:rPr>
        <w:t>Izvor: :</w:t>
      </w:r>
      <w:r w:rsidR="009549F5" w:rsidRPr="009549F5">
        <w:t xml:space="preserve"> </w:t>
      </w:r>
      <w:hyperlink r:id="rId13" w:history="1">
        <w:r w:rsidR="009549F5" w:rsidRPr="00676777">
          <w:rPr>
            <w:rStyle w:val="Hiperveza"/>
            <w:rFonts w:ascii="Calibri" w:eastAsia="Calibri" w:hAnsi="Calibri" w:cs="Calibri"/>
            <w:bCs/>
            <w:sz w:val="20"/>
            <w:szCs w:val="20"/>
          </w:rPr>
          <w:t>www.bioportal.hr</w:t>
        </w:r>
      </w:hyperlink>
      <w:r w:rsidR="009549F5" w:rsidRPr="009549F5">
        <w:rPr>
          <w:rFonts w:ascii="Calibri" w:eastAsia="Calibri" w:hAnsi="Calibri" w:cs="Calibri"/>
          <w:bCs/>
          <w:sz w:val="20"/>
          <w:szCs w:val="20"/>
        </w:rPr>
        <w:t>,</w:t>
      </w:r>
      <w:r w:rsidR="009549F5">
        <w:rPr>
          <w:rFonts w:ascii="Calibri" w:eastAsia="Calibri" w:hAnsi="Calibri" w:cs="Calibri"/>
          <w:bCs/>
          <w:sz w:val="20"/>
          <w:szCs w:val="20"/>
        </w:rPr>
        <w:t xml:space="preserve">  </w:t>
      </w:r>
      <w:hyperlink r:id="rId14" w:history="1">
        <w:r w:rsidR="009549F5" w:rsidRPr="00676777">
          <w:rPr>
            <w:rStyle w:val="Hiperveza"/>
            <w:rFonts w:ascii="Calibri" w:eastAsia="Calibri" w:hAnsi="Calibri" w:cs="Calibri"/>
            <w:bCs/>
            <w:sz w:val="20"/>
            <w:szCs w:val="20"/>
          </w:rPr>
          <w:t>www.park-maksimir.hr</w:t>
        </w:r>
      </w:hyperlink>
    </w:p>
    <w:p w14:paraId="2001C527" w14:textId="21F94FE6" w:rsidR="00C17261" w:rsidRPr="001C2B9B" w:rsidRDefault="00C17261" w:rsidP="004976E4">
      <w:pPr>
        <w:spacing w:line="240" w:lineRule="auto"/>
        <w:jc w:val="both"/>
        <w:rPr>
          <w:rFonts w:eastAsia="Times New Roman" w:cstheme="minorHAnsi"/>
          <w:color w:val="000000"/>
          <w:lang w:eastAsia="hr-HR"/>
        </w:rPr>
      </w:pPr>
    </w:p>
    <w:tbl>
      <w:tblPr>
        <w:tblW w:w="5000" w:type="pct"/>
        <w:tblLook w:val="01E0" w:firstRow="1" w:lastRow="1" w:firstColumn="1" w:lastColumn="1" w:noHBand="0" w:noVBand="0"/>
      </w:tblPr>
      <w:tblGrid>
        <w:gridCol w:w="4536"/>
        <w:gridCol w:w="4536"/>
      </w:tblGrid>
      <w:tr w:rsidR="00C17261" w:rsidRPr="00B42611" w14:paraId="704479EB" w14:textId="77777777" w:rsidTr="00F50578">
        <w:trPr>
          <w:trHeight w:val="3237"/>
        </w:trPr>
        <w:tc>
          <w:tcPr>
            <w:tcW w:w="2500" w:type="pct"/>
            <w:shd w:val="clear" w:color="auto" w:fill="CCCCCC"/>
            <w:vAlign w:val="center"/>
          </w:tcPr>
          <w:p w14:paraId="7EF536F1"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br w:type="page"/>
              <w:t>RAZVOJNI PROBLEMI</w:t>
            </w:r>
          </w:p>
          <w:p w14:paraId="45140B1F" w14:textId="5FC2E30C" w:rsidR="00C17261" w:rsidRPr="00B42611" w:rsidRDefault="00DF64BF"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DF64BF">
              <w:rPr>
                <w:sz w:val="18"/>
                <w:szCs w:val="18"/>
              </w:rPr>
              <w:t>n</w:t>
            </w:r>
            <w:r w:rsidRPr="00DF64BF">
              <w:rPr>
                <w:rFonts w:ascii="Calibri" w:eastAsia="Times New Roman" w:hAnsi="Calibri" w:cs="Calibri"/>
                <w:sz w:val="18"/>
                <w:szCs w:val="18"/>
                <w:lang w:eastAsia="hr-HR"/>
              </w:rPr>
              <w:t>eusklađenost valorizacije i procedure zaštite prirode na državnoj razini s potrebama na lokalnoj razini, osobito u urbanim prostorima</w:t>
            </w:r>
            <w:r w:rsidR="00C17261" w:rsidRPr="00B42611">
              <w:rPr>
                <w:rFonts w:ascii="Calibri" w:eastAsia="Times New Roman" w:hAnsi="Calibri" w:cs="Calibri"/>
                <w:sz w:val="18"/>
                <w:szCs w:val="18"/>
                <w:lang w:eastAsia="hr-HR"/>
              </w:rPr>
              <w:t xml:space="preserve">komplicirana, dugotrajna i gotovo neprovediva zaštita prirode na prostorima u privatnom vlasništvu </w:t>
            </w:r>
          </w:p>
          <w:p w14:paraId="2CFB89DE"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loša educiranost korisnika o potrebi zaštite prirode i nepoznavanje mogućnosti u korištenju zaštićenih i drugih vrijednih dijelova prirode</w:t>
            </w:r>
          </w:p>
          <w:p w14:paraId="48E4C8D0" w14:textId="77777777" w:rsidR="00C17261" w:rsidRPr="00B42611" w:rsidRDefault="00C17261" w:rsidP="00165C16">
            <w:pPr>
              <w:numPr>
                <w:ilvl w:val="0"/>
                <w:numId w:val="1"/>
              </w:numPr>
              <w:tabs>
                <w:tab w:val="num" w:pos="284"/>
              </w:tabs>
              <w:spacing w:before="60" w:beforeAutospacing="1" w:after="60" w:afterAutospacing="1" w:line="240" w:lineRule="auto"/>
              <w:ind w:left="284" w:right="-2" w:hanging="284"/>
              <w:rPr>
                <w:rFonts w:ascii="Calibri" w:eastAsia="Times New Roman" w:hAnsi="Calibri" w:cs="Calibri"/>
                <w:b/>
                <w:sz w:val="18"/>
                <w:szCs w:val="18"/>
                <w:lang w:eastAsia="hr-HR"/>
              </w:rPr>
            </w:pPr>
            <w:r w:rsidRPr="00B42611">
              <w:rPr>
                <w:rFonts w:ascii="Calibri" w:eastAsia="Times New Roman" w:hAnsi="Calibri" w:cs="Calibri"/>
                <w:sz w:val="18"/>
                <w:szCs w:val="18"/>
                <w:lang w:eastAsia="hr-HR"/>
              </w:rPr>
              <w:t>nepostojanje planova upravljanja zaštićenim područjima i područjima ekološke mreže</w:t>
            </w:r>
          </w:p>
        </w:tc>
        <w:tc>
          <w:tcPr>
            <w:tcW w:w="2500" w:type="pct"/>
            <w:vMerge w:val="restart"/>
            <w:shd w:val="clear" w:color="auto" w:fill="99CCFF"/>
            <w:vAlign w:val="center"/>
          </w:tcPr>
          <w:p w14:paraId="0BF8B220"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p w14:paraId="5ED631F1" w14:textId="67B4EE4A" w:rsidR="00C17261" w:rsidRPr="00B42611" w:rsidRDefault="00037EF0"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predložiti usvajanje </w:t>
            </w:r>
            <w:r w:rsidR="00C17261" w:rsidRPr="00B42611">
              <w:rPr>
                <w:rFonts w:ascii="Calibri" w:eastAsia="Times New Roman" w:hAnsi="Calibri" w:cs="Calibri"/>
                <w:sz w:val="18"/>
                <w:szCs w:val="18"/>
                <w:lang w:eastAsia="hr-HR"/>
              </w:rPr>
              <w:t>zakonsk</w:t>
            </w:r>
            <w:r>
              <w:rPr>
                <w:rFonts w:ascii="Calibri" w:eastAsia="Times New Roman" w:hAnsi="Calibri" w:cs="Calibri"/>
                <w:sz w:val="18"/>
                <w:szCs w:val="18"/>
                <w:lang w:eastAsia="hr-HR"/>
              </w:rPr>
              <w:t>e</w:t>
            </w:r>
            <w:r w:rsidR="00C17261" w:rsidRPr="00B42611">
              <w:rPr>
                <w:rFonts w:ascii="Calibri" w:eastAsia="Times New Roman" w:hAnsi="Calibri" w:cs="Calibri"/>
                <w:sz w:val="18"/>
                <w:szCs w:val="18"/>
                <w:lang w:eastAsia="hr-HR"/>
              </w:rPr>
              <w:t xml:space="preserve"> podlog</w:t>
            </w:r>
            <w:r>
              <w:rPr>
                <w:rFonts w:ascii="Calibri" w:eastAsia="Times New Roman" w:hAnsi="Calibri" w:cs="Calibri"/>
                <w:sz w:val="18"/>
                <w:szCs w:val="18"/>
                <w:lang w:eastAsia="hr-HR"/>
              </w:rPr>
              <w:t>e</w:t>
            </w:r>
            <w:r w:rsidR="00C17261" w:rsidRPr="00B42611">
              <w:rPr>
                <w:rFonts w:ascii="Calibri" w:eastAsia="Times New Roman" w:hAnsi="Calibri" w:cs="Calibri"/>
                <w:sz w:val="18"/>
                <w:szCs w:val="18"/>
                <w:lang w:eastAsia="hr-HR"/>
              </w:rPr>
              <w:t xml:space="preserve"> kojom se lokalnoj zajednici omogućuje da provede zaštitu na lokalnoj razini uvažavajući lokalne specifičnosti i posebne vrijednosti </w:t>
            </w:r>
          </w:p>
          <w:p w14:paraId="5A46CCDB"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svaku eventualnu nužnost smanjivanja zaštićenih područja zamijeniti posebnim režimom korištenja (primjerice „buffer-zona“ i sl.) </w:t>
            </w:r>
          </w:p>
          <w:p w14:paraId="692DD362" w14:textId="1924B4FC"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provjer</w:t>
            </w:r>
            <w:r w:rsidR="00BF3101">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mogućnosti i mehaniz</w:t>
            </w:r>
            <w:r w:rsidR="00BF3101">
              <w:rPr>
                <w:rFonts w:ascii="Calibri" w:eastAsia="Times New Roman" w:hAnsi="Calibri" w:cs="Calibri"/>
                <w:sz w:val="18"/>
                <w:szCs w:val="18"/>
                <w:lang w:eastAsia="hr-HR"/>
              </w:rPr>
              <w:t>me</w:t>
            </w:r>
            <w:r w:rsidRPr="00B42611">
              <w:rPr>
                <w:rFonts w:ascii="Calibri" w:eastAsia="Times New Roman" w:hAnsi="Calibri" w:cs="Calibri"/>
                <w:sz w:val="18"/>
                <w:szCs w:val="18"/>
                <w:lang w:eastAsia="hr-HR"/>
              </w:rPr>
              <w:t xml:space="preserve"> za rješavanje vlasničkih odnosa </w:t>
            </w:r>
          </w:p>
          <w:p w14:paraId="1E135109" w14:textId="20293FAB"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intenzivira</w:t>
            </w:r>
            <w:r w:rsidR="00BF3101">
              <w:rPr>
                <w:rFonts w:ascii="Calibri" w:eastAsia="Times New Roman" w:hAnsi="Calibri" w:cs="Calibri"/>
                <w:sz w:val="18"/>
                <w:szCs w:val="18"/>
                <w:lang w:eastAsia="hr-HR"/>
              </w:rPr>
              <w:t>ti</w:t>
            </w:r>
            <w:r w:rsidRPr="00B42611">
              <w:rPr>
                <w:rFonts w:ascii="Calibri" w:eastAsia="Times New Roman" w:hAnsi="Calibri" w:cs="Calibri"/>
                <w:sz w:val="18"/>
                <w:szCs w:val="18"/>
                <w:lang w:eastAsia="hr-HR"/>
              </w:rPr>
              <w:t xml:space="preserve"> popularizacij</w:t>
            </w:r>
            <w:r w:rsidR="00BF3101">
              <w:rPr>
                <w:rFonts w:ascii="Calibri" w:eastAsia="Times New Roman" w:hAnsi="Calibri" w:cs="Calibri"/>
                <w:sz w:val="18"/>
                <w:szCs w:val="18"/>
                <w:lang w:eastAsia="hr-HR"/>
              </w:rPr>
              <w:t>u</w:t>
            </w:r>
            <w:r w:rsidRPr="00B42611">
              <w:rPr>
                <w:rFonts w:ascii="Calibri" w:eastAsia="Times New Roman" w:hAnsi="Calibri" w:cs="Calibri"/>
                <w:sz w:val="18"/>
                <w:szCs w:val="18"/>
                <w:lang w:eastAsia="hr-HR"/>
              </w:rPr>
              <w:t xml:space="preserve"> i edukacije o zaštićenim i drugim posebno vrijednim područjima prirode </w:t>
            </w:r>
          </w:p>
          <w:p w14:paraId="66189877" w14:textId="01B47168"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izrad</w:t>
            </w:r>
            <w:r w:rsidR="00BF3101">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cjelovit</w:t>
            </w:r>
            <w:r w:rsidR="00BF3101">
              <w:rPr>
                <w:rFonts w:ascii="Calibri" w:eastAsia="Times New Roman" w:hAnsi="Calibri" w:cs="Calibri"/>
                <w:sz w:val="18"/>
                <w:szCs w:val="18"/>
                <w:lang w:eastAsia="hr-HR"/>
              </w:rPr>
              <w:t>u</w:t>
            </w:r>
            <w:r w:rsidRPr="00B42611">
              <w:rPr>
                <w:rFonts w:ascii="Calibri" w:eastAsia="Times New Roman" w:hAnsi="Calibri" w:cs="Calibri"/>
                <w:sz w:val="18"/>
                <w:szCs w:val="18"/>
                <w:lang w:eastAsia="hr-HR"/>
              </w:rPr>
              <w:t xml:space="preserve"> studij</w:t>
            </w:r>
            <w:r w:rsidR="00BF3101">
              <w:rPr>
                <w:rFonts w:ascii="Calibri" w:eastAsia="Times New Roman" w:hAnsi="Calibri" w:cs="Calibri"/>
                <w:sz w:val="18"/>
                <w:szCs w:val="18"/>
                <w:lang w:eastAsia="hr-HR"/>
              </w:rPr>
              <w:t>u</w:t>
            </w:r>
            <w:r w:rsidRPr="00B42611">
              <w:rPr>
                <w:rFonts w:ascii="Calibri" w:eastAsia="Times New Roman" w:hAnsi="Calibri" w:cs="Calibri"/>
                <w:sz w:val="18"/>
                <w:szCs w:val="18"/>
                <w:lang w:eastAsia="hr-HR"/>
              </w:rPr>
              <w:t xml:space="preserve"> - strategije i programa obnove za sveobuhvatan plan zaštite, obnove, upravljanja i korištenja parka Maksimir</w:t>
            </w:r>
          </w:p>
          <w:p w14:paraId="589DF109" w14:textId="5451C199"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izrad</w:t>
            </w:r>
            <w:r w:rsidR="00B359A1">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i don</w:t>
            </w:r>
            <w:r w:rsidR="00B359A1">
              <w:rPr>
                <w:rFonts w:ascii="Calibri" w:eastAsia="Times New Roman" w:hAnsi="Calibri" w:cs="Calibri"/>
                <w:sz w:val="18"/>
                <w:szCs w:val="18"/>
                <w:lang w:eastAsia="hr-HR"/>
              </w:rPr>
              <w:t>ijeti</w:t>
            </w:r>
            <w:r w:rsidRPr="00B42611">
              <w:rPr>
                <w:rFonts w:ascii="Calibri" w:eastAsia="Times New Roman" w:hAnsi="Calibri" w:cs="Calibri"/>
                <w:sz w:val="18"/>
                <w:szCs w:val="18"/>
                <w:lang w:eastAsia="hr-HR"/>
              </w:rPr>
              <w:t xml:space="preserve"> planov</w:t>
            </w:r>
            <w:r w:rsidR="00B359A1">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upravljanja zaštićenim područjima i područjima ekološke mreže</w:t>
            </w:r>
          </w:p>
          <w:p w14:paraId="3E34BE03"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kartirati i valorizirati usluge ekosustava na području Grada Zagreba</w:t>
            </w:r>
          </w:p>
          <w:p w14:paraId="086A4778" w14:textId="0AD9BCE0" w:rsidR="00C17261" w:rsidRPr="00B42611" w:rsidRDefault="008262ED" w:rsidP="00165C16">
            <w:pPr>
              <w:numPr>
                <w:ilvl w:val="0"/>
                <w:numId w:val="1"/>
              </w:numPr>
              <w:tabs>
                <w:tab w:val="num" w:pos="284"/>
              </w:tabs>
              <w:spacing w:before="60" w:beforeAutospacing="1" w:after="60" w:afterAutospacing="1" w:line="240" w:lineRule="auto"/>
              <w:ind w:left="284" w:right="-2" w:hanging="284"/>
              <w:rPr>
                <w:rFonts w:ascii="Calibri" w:eastAsia="Times New Roman" w:hAnsi="Calibri" w:cs="Calibri"/>
                <w:b/>
                <w:sz w:val="18"/>
                <w:szCs w:val="18"/>
                <w:lang w:eastAsia="hr-HR"/>
              </w:rPr>
            </w:pPr>
            <w:r>
              <w:rPr>
                <w:rFonts w:ascii="Calibri" w:eastAsia="Times New Roman" w:hAnsi="Calibri" w:cs="Calibri"/>
                <w:sz w:val="18"/>
                <w:szCs w:val="18"/>
                <w:lang w:eastAsia="hr-HR"/>
              </w:rPr>
              <w:t>i</w:t>
            </w:r>
            <w:r w:rsidR="00C17261" w:rsidRPr="00B42611">
              <w:rPr>
                <w:rFonts w:ascii="Calibri" w:eastAsia="Times New Roman" w:hAnsi="Calibri" w:cs="Calibri"/>
                <w:sz w:val="18"/>
                <w:szCs w:val="18"/>
                <w:lang w:eastAsia="hr-HR"/>
              </w:rPr>
              <w:t>nstitucionalno jačati Javnu ustanovu za upravljanje svim zaštićenim područjima i upravno tijelo Grada Zagreba nadležno za zaštitu prirode</w:t>
            </w:r>
          </w:p>
        </w:tc>
      </w:tr>
      <w:tr w:rsidR="00C17261" w:rsidRPr="00B42611" w14:paraId="751F0D8B" w14:textId="77777777" w:rsidTr="00F50578">
        <w:tc>
          <w:tcPr>
            <w:tcW w:w="2500" w:type="pct"/>
            <w:shd w:val="clear" w:color="auto" w:fill="CCCCCC"/>
          </w:tcPr>
          <w:p w14:paraId="0E061679" w14:textId="77777777" w:rsidR="00C17261" w:rsidRPr="00B42611" w:rsidRDefault="00C17261" w:rsidP="00F50578">
            <w:pPr>
              <w:spacing w:before="60" w:after="60" w:line="240" w:lineRule="auto"/>
              <w:ind w:left="284" w:right="-2"/>
              <w:rPr>
                <w:rFonts w:ascii="Calibri" w:eastAsia="Times New Roman" w:hAnsi="Calibri" w:cs="Calibri"/>
                <w:sz w:val="18"/>
                <w:szCs w:val="18"/>
                <w:lang w:eastAsia="hr-HR"/>
              </w:rPr>
            </w:pPr>
          </w:p>
        </w:tc>
        <w:tc>
          <w:tcPr>
            <w:tcW w:w="2500" w:type="pct"/>
            <w:vMerge/>
            <w:shd w:val="clear" w:color="auto" w:fill="99CCFF"/>
          </w:tcPr>
          <w:p w14:paraId="1A98DB3A"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p>
        </w:tc>
      </w:tr>
      <w:tr w:rsidR="00C17261" w:rsidRPr="00B42611" w14:paraId="12E4F391" w14:textId="77777777" w:rsidTr="00F50578">
        <w:trPr>
          <w:trHeight w:val="1641"/>
        </w:trPr>
        <w:tc>
          <w:tcPr>
            <w:tcW w:w="2500" w:type="pct"/>
            <w:shd w:val="clear" w:color="auto" w:fill="CCCCCC"/>
          </w:tcPr>
          <w:p w14:paraId="435786A8" w14:textId="77777777" w:rsidR="00C17261" w:rsidRPr="00B42611" w:rsidRDefault="00C17261" w:rsidP="00F50578">
            <w:pPr>
              <w:spacing w:before="60" w:after="60" w:line="240" w:lineRule="auto"/>
              <w:ind w:right="-2"/>
              <w:rPr>
                <w:rFonts w:ascii="Calibri" w:eastAsia="Times New Roman" w:hAnsi="Calibri" w:cs="Calibri"/>
                <w:sz w:val="18"/>
                <w:szCs w:val="18"/>
                <w:lang w:eastAsia="hr-HR"/>
              </w:rPr>
            </w:pPr>
          </w:p>
        </w:tc>
        <w:tc>
          <w:tcPr>
            <w:tcW w:w="2500" w:type="pct"/>
            <w:vMerge/>
            <w:shd w:val="clear" w:color="auto" w:fill="99CCFF"/>
          </w:tcPr>
          <w:p w14:paraId="0FD5A9EF" w14:textId="77777777" w:rsidR="00C17261" w:rsidRPr="00B42611" w:rsidRDefault="00C17261" w:rsidP="00F50578">
            <w:pPr>
              <w:spacing w:before="60" w:after="60" w:line="240" w:lineRule="auto"/>
              <w:ind w:right="-2"/>
              <w:rPr>
                <w:rFonts w:ascii="Calibri" w:eastAsia="Times New Roman" w:hAnsi="Calibri" w:cs="Calibri"/>
                <w:sz w:val="18"/>
                <w:szCs w:val="18"/>
                <w:lang w:eastAsia="hr-HR"/>
              </w:rPr>
            </w:pPr>
          </w:p>
        </w:tc>
      </w:tr>
    </w:tbl>
    <w:p w14:paraId="7460CEED" w14:textId="42445B13" w:rsidR="00C17261" w:rsidRPr="00E2286C" w:rsidRDefault="00C17261" w:rsidP="009121D4">
      <w:pPr>
        <w:pStyle w:val="Stil2"/>
      </w:pPr>
      <w:bookmarkStart w:id="9" w:name="_Toc97123777"/>
      <w:r w:rsidRPr="00E2286C">
        <w:t>1.1.3. Kulturna baština</w:t>
      </w:r>
      <w:bookmarkEnd w:id="9"/>
    </w:p>
    <w:p w14:paraId="40EF3E5A" w14:textId="77777777" w:rsidR="00C17261" w:rsidRDefault="00C17261" w:rsidP="00C17261">
      <w:pPr>
        <w:spacing w:after="0" w:line="240" w:lineRule="auto"/>
        <w:jc w:val="both"/>
        <w:rPr>
          <w:rFonts w:ascii="Calibri" w:eastAsia="Calibri" w:hAnsi="Calibri" w:cs="Times New Roman"/>
        </w:rPr>
      </w:pPr>
      <w:r w:rsidRPr="00FE2FDC">
        <w:rPr>
          <w:rFonts w:ascii="Calibri" w:eastAsia="Calibri" w:hAnsi="Calibri" w:cs="Times New Roman"/>
        </w:rPr>
        <w:t xml:space="preserve">Na području Grada Zagreba nalazi se 624 nepokretnih kulturnih dobara upisanih u Registar kulturnih dobara RH, koji se štite Zakonom o zaštiti i očuvanju kulturnih dobara: 22 povijesne cjeline ukupne površine oko 21,6 km2, 48 graditeljskih sklopova, 510 pojedinačnih građevina, 5 arheoloških lokaliteta te 39 ostalih nepokretnih kulturnih dobara. Uz nepokretna kulturna dobra na području Grada Zagreba nalazi se 299 pokretnih i nematerijalnih kulturnih dobara upisanih u Registar kulturnih dobara RH: 105 muzejskih zbirki (muzejska građa), 14 zbirki arhivskog gradiva (cjeline arhivskih fondova), 108 zbirki, 58 pojedinačno zaštićenih pokretnih kulturnih dobara i 14 fenomena nematerijalne kulturne baštine. Ukupnim zbrojem dolazi se do respektabilne brojke od 923 zaštićenih kulturnih dobara na području </w:t>
      </w:r>
      <w:r w:rsidRPr="00FE2FDC">
        <w:rPr>
          <w:rFonts w:ascii="Calibri" w:eastAsia="Calibri" w:hAnsi="Calibri" w:cs="Times New Roman"/>
        </w:rPr>
        <w:lastRenderedPageBreak/>
        <w:t>Grada</w:t>
      </w:r>
      <w:r>
        <w:rPr>
          <w:rStyle w:val="Referencafusnote"/>
          <w:rFonts w:ascii="Calibri" w:eastAsia="Calibri" w:hAnsi="Calibri" w:cs="Times New Roman"/>
        </w:rPr>
        <w:footnoteReference w:id="9"/>
      </w:r>
      <w:r w:rsidRPr="00FE2FDC">
        <w:rPr>
          <w:rFonts w:ascii="Calibri" w:eastAsia="Calibri" w:hAnsi="Calibri" w:cs="Times New Roman"/>
        </w:rPr>
        <w:t xml:space="preserve"> </w:t>
      </w:r>
      <w:r w:rsidRPr="00B42611">
        <w:rPr>
          <w:rFonts w:ascii="Calibri" w:eastAsia="Calibri" w:hAnsi="Calibri" w:cs="Times New Roman"/>
        </w:rPr>
        <w:t>Kao ishodište i temelj kulturno-povijesnog identiteta Zagreba treba istaknuti prostor Gornjeg grada i Kaptola te središnjeg dijela Donjeg grada, koji čini Povijesnu urbanu cjelinu Grada Zagreba površine oko 18 km². Uz spomenutu Povijesnu urbanu cjelinu u kojoj se nalaze ikonična mjesta i najvidljiviji simboli grada (crkva Sv. Marka, katedrala Sv. Stjepana, tržnica Dolac, Trg bana Jelačića, perivojna potkova s okolnim reprezentativnim pročeljima i istaknutim javnim građevinama</w:t>
      </w:r>
      <w:r>
        <w:rPr>
          <w:rFonts w:ascii="Calibri" w:eastAsia="Calibri" w:hAnsi="Calibri" w:cs="Times New Roman"/>
        </w:rPr>
        <w:t>, Mirogojske arkade</w:t>
      </w:r>
      <w:r w:rsidRPr="00B42611">
        <w:rPr>
          <w:rFonts w:ascii="Calibri" w:eastAsia="Calibri" w:hAnsi="Calibri" w:cs="Times New Roman"/>
        </w:rPr>
        <w:t xml:space="preserve"> te brojni </w:t>
      </w:r>
      <w:r w:rsidRPr="003B68D9">
        <w:rPr>
          <w:rFonts w:ascii="Calibri" w:eastAsia="Calibri" w:hAnsi="Calibri" w:cs="Times New Roman"/>
        </w:rPr>
        <w:t>drugi)</w:t>
      </w:r>
      <w:r w:rsidRPr="00B42611">
        <w:rPr>
          <w:rFonts w:ascii="Calibri" w:eastAsia="Calibri" w:hAnsi="Calibri" w:cs="Times New Roman"/>
        </w:rPr>
        <w:t>, Zagreb posjeduje bogatu industrijsku i postindustrijsku baštinu.</w:t>
      </w:r>
    </w:p>
    <w:p w14:paraId="3537DE09" w14:textId="77777777" w:rsidR="00C17261" w:rsidRDefault="00C17261" w:rsidP="00C17261">
      <w:pPr>
        <w:spacing w:after="0" w:line="240" w:lineRule="auto"/>
        <w:jc w:val="both"/>
        <w:rPr>
          <w:rFonts w:ascii="Calibri" w:eastAsia="Calibri" w:hAnsi="Calibri" w:cs="Times New Roman"/>
        </w:rPr>
      </w:pPr>
    </w:p>
    <w:p w14:paraId="3B4DC2DB" w14:textId="77777777" w:rsidR="00C17261" w:rsidRPr="00B42611" w:rsidRDefault="00C17261" w:rsidP="00C17261">
      <w:pPr>
        <w:spacing w:after="0" w:line="240" w:lineRule="auto"/>
        <w:jc w:val="both"/>
        <w:rPr>
          <w:rFonts w:ascii="Calibri" w:eastAsia="Calibri" w:hAnsi="Calibri" w:cs="Times New Roman"/>
        </w:rPr>
      </w:pPr>
      <w:r w:rsidRPr="000773AC">
        <w:rPr>
          <w:rFonts w:ascii="Calibri" w:eastAsia="Calibri" w:hAnsi="Calibri" w:cs="Times New Roman"/>
        </w:rPr>
        <w:t>U potresu koji se 22. ožujka 2020. dogodio u Zagrebu, teško su stradala navedena kulturna dobra kao i povijesno središte Grada u cjelini, odnosno kulturno dobro Povijesna urbana cjelina Grad Zagreb s više od 19.000 zgrada u njenom obuhvatu. Nastala šteta od potresa pokazuje izravnu vezu s razdobljem izgradnje te primijenjenim tehnikama i materijalima. Najveće štete nastale su u najužoj gradskoj jezgri Gornjega Grada i Donjega Grada, izgrađenoj tijekom 18. i 19. st. te početka 20. st. Pristup obnovi temeljit će se na očuvanju graditeljskih i ambijentalnih vrijednosti kulturno – povijesne cjeline grada Zagreba, afirmaciji njegovog povijesnog urbanog karaktera, prihvaćenih vrijednosti središta grada i potrebama njegovih stanovnika. Dugoročno održivi model obnove zahtijeva multidisciplinarni pristup, znanstveno utemeljen i stručno relevantan.</w:t>
      </w:r>
    </w:p>
    <w:p w14:paraId="31391F41"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
          <w:bCs/>
          <w:sz w:val="28"/>
          <w:szCs w:val="28"/>
          <w:lang w:eastAsia="hr-HR"/>
        </w:rPr>
      </w:pPr>
    </w:p>
    <w:tbl>
      <w:tblPr>
        <w:tblW w:w="9657" w:type="dxa"/>
        <w:jc w:val="center"/>
        <w:shd w:val="clear" w:color="auto" w:fill="D9D9D9"/>
        <w:tblLayout w:type="fixed"/>
        <w:tblLook w:val="0000" w:firstRow="0" w:lastRow="0" w:firstColumn="0" w:lastColumn="0" w:noHBand="0" w:noVBand="0"/>
      </w:tblPr>
      <w:tblGrid>
        <w:gridCol w:w="4828"/>
        <w:gridCol w:w="4829"/>
      </w:tblGrid>
      <w:tr w:rsidR="00C17261" w:rsidRPr="00B42611" w14:paraId="7E22F609" w14:textId="77777777" w:rsidTr="00F50578">
        <w:trPr>
          <w:jc w:val="center"/>
        </w:trPr>
        <w:tc>
          <w:tcPr>
            <w:tcW w:w="4828" w:type="dxa"/>
            <w:shd w:val="clear" w:color="auto" w:fill="D9D9D9"/>
            <w:vAlign w:val="center"/>
          </w:tcPr>
          <w:p w14:paraId="7770D654"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RAZVOJNI PROBLEMI</w:t>
            </w:r>
          </w:p>
        </w:tc>
        <w:tc>
          <w:tcPr>
            <w:tcW w:w="4829" w:type="dxa"/>
            <w:shd w:val="clear" w:color="auto" w:fill="99CCFF"/>
            <w:vAlign w:val="center"/>
          </w:tcPr>
          <w:p w14:paraId="3EDB4CED"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tc>
      </w:tr>
      <w:tr w:rsidR="00C17261" w:rsidRPr="00B42611" w14:paraId="66D3A437" w14:textId="77777777" w:rsidTr="00F50578">
        <w:trPr>
          <w:trHeight w:val="999"/>
          <w:jc w:val="center"/>
        </w:trPr>
        <w:tc>
          <w:tcPr>
            <w:tcW w:w="4828" w:type="dxa"/>
            <w:shd w:val="clear" w:color="auto" w:fill="D9D9D9"/>
          </w:tcPr>
          <w:p w14:paraId="1E45C496"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bogata kulturna baština, zaštićene prirodne i tradicijske vrijednosti, koje se u dovoljnoj mjeri ne prepoznaju i ne koriste kao jedan od razvojnih resursa u kontekstu pametnog, održivog i uključivog rasta.</w:t>
            </w:r>
          </w:p>
          <w:p w14:paraId="75937825"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nedovoljna briga za očuvanje identiteta i tradicijskih vrijednosti</w:t>
            </w:r>
          </w:p>
          <w:p w14:paraId="3575127C"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nedovoljna briga vlasnika o održavanju i obnovi kulturnih dobara </w:t>
            </w:r>
          </w:p>
          <w:p w14:paraId="67530060"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nedovoljna financijska sredstva za sustavnu obnovu kulturne i prirodne baštine</w:t>
            </w:r>
          </w:p>
          <w:p w14:paraId="76426133"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pritisak, negativni trendovi globalizacije i neprimjeren odnos dijela građana uzrokuju degradaciju kulturne baštine</w:t>
            </w:r>
          </w:p>
          <w:p w14:paraId="6B97EB2B"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nepostojanje akata planiranja na polju zaštite kulturnih dobara </w:t>
            </w:r>
          </w:p>
          <w:p w14:paraId="3E25C463"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nedovoljna educiranost građana o potrebi zaštite i obnove kulturnih dobara i mjerama zaštite kao i nepoznavanje mogućnosti, komparativnih prednosti ali i ograničenja u korištenju zaštićenih kulturnih dobara</w:t>
            </w:r>
          </w:p>
          <w:p w14:paraId="49EBD5DE"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nedovoljna kapacitiranost sustava zaštite </w:t>
            </w:r>
          </w:p>
          <w:p w14:paraId="77787F8F"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nedefinirani i neriješeni imovinsko-pravni odnosi </w:t>
            </w:r>
          </w:p>
          <w:p w14:paraId="64C28FF3"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nedostatna </w:t>
            </w:r>
            <w:r w:rsidRPr="00B42611">
              <w:rPr>
                <w:rFonts w:ascii="Calibri" w:eastAsia="Times New Roman" w:hAnsi="Calibri" w:cs="Calibri"/>
                <w:sz w:val="18"/>
                <w:szCs w:val="18"/>
                <w:lang w:eastAsia="hr-HR"/>
              </w:rPr>
              <w:t xml:space="preserve">međusektorska suradnja </w:t>
            </w:r>
          </w:p>
          <w:p w14:paraId="171958FD" w14:textId="77777777" w:rsidR="00C17261" w:rsidRDefault="00C17261"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nedostatak prostora za skladištenje, zbrinjavanje muzejske građe</w:t>
            </w:r>
          </w:p>
          <w:p w14:paraId="4277911D" w14:textId="77777777" w:rsidR="00C17261" w:rsidRPr="00A33E06" w:rsidRDefault="00C17261"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D26164">
              <w:rPr>
                <w:rFonts w:ascii="Calibri" w:hAnsi="Calibri" w:cs="Calibri"/>
                <w:sz w:val="18"/>
                <w:szCs w:val="18"/>
              </w:rPr>
              <w:t>posljedice potresa iz ožujka 2020. na kulturnoj baštini i veliki iznos potrebnih sredstava za njihovo saniranje</w:t>
            </w:r>
          </w:p>
          <w:p w14:paraId="0006F003" w14:textId="77777777" w:rsidR="00C17261" w:rsidRPr="00B42611" w:rsidRDefault="00C17261" w:rsidP="00F50578">
            <w:pPr>
              <w:spacing w:before="60" w:after="60" w:line="240" w:lineRule="auto"/>
              <w:ind w:right="-2"/>
              <w:rPr>
                <w:rFonts w:ascii="Calibri" w:eastAsia="Times New Roman" w:hAnsi="Calibri" w:cs="Calibri"/>
                <w:sz w:val="18"/>
                <w:szCs w:val="18"/>
                <w:lang w:eastAsia="hr-HR"/>
              </w:rPr>
            </w:pPr>
          </w:p>
        </w:tc>
        <w:tc>
          <w:tcPr>
            <w:tcW w:w="4829" w:type="dxa"/>
            <w:shd w:val="clear" w:color="auto" w:fill="99CCFF"/>
          </w:tcPr>
          <w:p w14:paraId="25325AD7"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u cijelosti očuvati povijesni identitet Grada sa svim karakterističnim elementima i dijelovima koji tvore njegovo povijesno određenje, te ga afirmirati kvalitetom novog </w:t>
            </w:r>
            <w:r w:rsidRPr="005232CB">
              <w:rPr>
                <w:rFonts w:ascii="Calibri" w:eastAsia="Calibri" w:hAnsi="Calibri" w:cs="Calibri"/>
                <w:sz w:val="18"/>
                <w:szCs w:val="18"/>
              </w:rPr>
              <w:t>građenja</w:t>
            </w:r>
          </w:p>
          <w:p w14:paraId="17D3A2FB"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izraditi osnovne akte planiranja, strategije i akcijskog plana na polju zaštite kulturne baštine Grada, na razini koja omogućuje održivo upravljanje i programiranje uvažavajući specifičnosti prostora, multidisciplinarnost i međusektorsku suradnju</w:t>
            </w:r>
          </w:p>
          <w:p w14:paraId="2D203321"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planirati korištenje prostora na način da se omogući očuvanje i unapređenje sveukupnih vrijednosti kao nositelja prepoznatljivosti kulturno-povijesnog identiteta Grada</w:t>
            </w:r>
          </w:p>
          <w:p w14:paraId="47563874"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poticati kvalitetu i raznolikost u arhitekturi, kao nastavak duge urbane i graditeljske tradicije Grada, uz obvezu očuvanja njegove povijesne slike i karakterističnih povijesnih vizura</w:t>
            </w:r>
          </w:p>
          <w:p w14:paraId="51C08E36"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uklanjati izrazite elemente degradacije ambijenta </w:t>
            </w:r>
          </w:p>
          <w:p w14:paraId="631C7FD0"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sustavno pratiti stanje kulturnih dobara, vrednovati povijesne graditeljske strukture te predlagati mjere zaštite</w:t>
            </w:r>
          </w:p>
          <w:p w14:paraId="5760325E" w14:textId="42F8E9AA" w:rsidR="00C17261" w:rsidRPr="00B42611" w:rsidRDefault="003F3A7E"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3F3A7E">
              <w:rPr>
                <w:rFonts w:ascii="Calibri" w:eastAsia="Times New Roman" w:hAnsi="Calibri" w:cs="Calibri"/>
                <w:sz w:val="18"/>
                <w:szCs w:val="18"/>
                <w:lang w:eastAsia="hr-HR"/>
              </w:rPr>
              <w:t>kori</w:t>
            </w:r>
            <w:r>
              <w:rPr>
                <w:rFonts w:ascii="Calibri" w:eastAsia="Times New Roman" w:hAnsi="Calibri" w:cs="Calibri"/>
                <w:sz w:val="18"/>
                <w:szCs w:val="18"/>
                <w:lang w:eastAsia="hr-HR"/>
              </w:rPr>
              <w:t>stiti</w:t>
            </w:r>
            <w:r w:rsidRPr="003F3A7E">
              <w:rPr>
                <w:rFonts w:ascii="Calibri" w:eastAsia="Times New Roman" w:hAnsi="Calibri" w:cs="Calibri"/>
                <w:sz w:val="18"/>
                <w:szCs w:val="18"/>
                <w:lang w:eastAsia="hr-HR"/>
              </w:rPr>
              <w:t xml:space="preserve"> modern</w:t>
            </w:r>
            <w:r>
              <w:rPr>
                <w:rFonts w:ascii="Calibri" w:eastAsia="Times New Roman" w:hAnsi="Calibri" w:cs="Calibri"/>
                <w:sz w:val="18"/>
                <w:szCs w:val="18"/>
                <w:lang w:eastAsia="hr-HR"/>
              </w:rPr>
              <w:t>u</w:t>
            </w:r>
            <w:r w:rsidRPr="003F3A7E">
              <w:rPr>
                <w:rFonts w:ascii="Calibri" w:eastAsia="Times New Roman" w:hAnsi="Calibri" w:cs="Calibri"/>
                <w:sz w:val="18"/>
                <w:szCs w:val="18"/>
                <w:lang w:eastAsia="hr-HR"/>
              </w:rPr>
              <w:t xml:space="preserve"> IT</w:t>
            </w:r>
            <w:r>
              <w:rPr>
                <w:rFonts w:ascii="Calibri" w:eastAsia="Times New Roman" w:hAnsi="Calibri" w:cs="Calibri"/>
                <w:sz w:val="18"/>
                <w:szCs w:val="18"/>
                <w:lang w:eastAsia="hr-HR"/>
              </w:rPr>
              <w:t xml:space="preserve"> tehnologiju za</w:t>
            </w:r>
            <w:r w:rsidRPr="003F3A7E">
              <w:rPr>
                <w:rFonts w:ascii="Calibri" w:eastAsia="Times New Roman" w:hAnsi="Calibri" w:cs="Calibri"/>
                <w:sz w:val="18"/>
                <w:szCs w:val="18"/>
                <w:lang w:eastAsia="hr-HR"/>
              </w:rPr>
              <w:t xml:space="preserve"> </w:t>
            </w:r>
            <w:r w:rsidR="00C17261" w:rsidRPr="00B42611">
              <w:rPr>
                <w:rFonts w:ascii="Calibri" w:eastAsia="Times New Roman" w:hAnsi="Calibri" w:cs="Calibri"/>
                <w:sz w:val="18"/>
                <w:szCs w:val="18"/>
                <w:lang w:eastAsia="hr-HR"/>
              </w:rPr>
              <w:t>kartiranj</w:t>
            </w:r>
            <w:r>
              <w:rPr>
                <w:rFonts w:ascii="Calibri" w:eastAsia="Times New Roman" w:hAnsi="Calibri" w:cs="Calibri"/>
                <w:sz w:val="18"/>
                <w:szCs w:val="18"/>
                <w:lang w:eastAsia="hr-HR"/>
              </w:rPr>
              <w:t>e</w:t>
            </w:r>
            <w:r w:rsidR="00C17261" w:rsidRPr="00B42611">
              <w:rPr>
                <w:rFonts w:ascii="Calibri" w:eastAsia="Times New Roman" w:hAnsi="Calibri" w:cs="Calibri"/>
                <w:sz w:val="18"/>
                <w:szCs w:val="18"/>
                <w:lang w:eastAsia="hr-HR"/>
              </w:rPr>
              <w:t>, detaljn</w:t>
            </w:r>
            <w:r>
              <w:rPr>
                <w:rFonts w:ascii="Calibri" w:eastAsia="Times New Roman" w:hAnsi="Calibri" w:cs="Calibri"/>
                <w:sz w:val="18"/>
                <w:szCs w:val="18"/>
                <w:lang w:eastAsia="hr-HR"/>
              </w:rPr>
              <w:t>u</w:t>
            </w:r>
            <w:r w:rsidR="00C17261" w:rsidRPr="00B42611">
              <w:rPr>
                <w:rFonts w:ascii="Calibri" w:eastAsia="Times New Roman" w:hAnsi="Calibri" w:cs="Calibri"/>
                <w:sz w:val="18"/>
                <w:szCs w:val="18"/>
                <w:lang w:eastAsia="hr-HR"/>
              </w:rPr>
              <w:t xml:space="preserve"> inventarizacij</w:t>
            </w:r>
            <w:r>
              <w:rPr>
                <w:rFonts w:ascii="Calibri" w:eastAsia="Times New Roman" w:hAnsi="Calibri" w:cs="Calibri"/>
                <w:sz w:val="18"/>
                <w:szCs w:val="18"/>
                <w:lang w:eastAsia="hr-HR"/>
              </w:rPr>
              <w:t>u</w:t>
            </w:r>
            <w:r w:rsidR="00C17261" w:rsidRPr="00B42611">
              <w:rPr>
                <w:rFonts w:ascii="Calibri" w:eastAsia="Times New Roman" w:hAnsi="Calibri" w:cs="Calibri"/>
                <w:sz w:val="18"/>
                <w:szCs w:val="18"/>
                <w:lang w:eastAsia="hr-HR"/>
              </w:rPr>
              <w:t>, digitalizacij</w:t>
            </w:r>
            <w:r>
              <w:rPr>
                <w:rFonts w:ascii="Calibri" w:eastAsia="Times New Roman" w:hAnsi="Calibri" w:cs="Calibri"/>
                <w:sz w:val="18"/>
                <w:szCs w:val="18"/>
                <w:lang w:eastAsia="hr-HR"/>
              </w:rPr>
              <w:t>u</w:t>
            </w:r>
            <w:r w:rsidR="00C17261" w:rsidRPr="00B42611">
              <w:rPr>
                <w:rFonts w:ascii="Calibri" w:eastAsia="Times New Roman" w:hAnsi="Calibri" w:cs="Calibri"/>
                <w:sz w:val="18"/>
                <w:szCs w:val="18"/>
                <w:lang w:eastAsia="hr-HR"/>
              </w:rPr>
              <w:t xml:space="preserve"> i dokumentiranje</w:t>
            </w:r>
          </w:p>
          <w:p w14:paraId="207917E4" w14:textId="14E5ADDC"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analiz</w:t>
            </w:r>
            <w:r w:rsidR="00053CF5">
              <w:rPr>
                <w:rFonts w:ascii="Calibri" w:eastAsia="Times New Roman" w:hAnsi="Calibri" w:cs="Calibri"/>
                <w:sz w:val="18"/>
                <w:szCs w:val="18"/>
                <w:lang w:eastAsia="hr-HR"/>
              </w:rPr>
              <w:t>irati</w:t>
            </w:r>
            <w:r w:rsidRPr="00B42611">
              <w:rPr>
                <w:rFonts w:ascii="Calibri" w:eastAsia="Times New Roman" w:hAnsi="Calibri" w:cs="Calibri"/>
                <w:sz w:val="18"/>
                <w:szCs w:val="18"/>
                <w:lang w:eastAsia="hr-HR"/>
              </w:rPr>
              <w:t xml:space="preserve"> imovinsko-pravn</w:t>
            </w:r>
            <w:r w:rsidR="00053CF5">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odnos</w:t>
            </w:r>
            <w:r w:rsidR="00053CF5">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i provjer</w:t>
            </w:r>
            <w:r w:rsidR="00053CF5">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mogućnosti i mehaniz</w:t>
            </w:r>
            <w:r w:rsidR="00053CF5">
              <w:rPr>
                <w:rFonts w:ascii="Calibri" w:eastAsia="Times New Roman" w:hAnsi="Calibri" w:cs="Calibri"/>
                <w:sz w:val="18"/>
                <w:szCs w:val="18"/>
                <w:lang w:eastAsia="hr-HR"/>
              </w:rPr>
              <w:t>me</w:t>
            </w:r>
            <w:r w:rsidRPr="00B42611">
              <w:rPr>
                <w:rFonts w:ascii="Calibri" w:eastAsia="Times New Roman" w:hAnsi="Calibri" w:cs="Calibri"/>
                <w:sz w:val="18"/>
                <w:szCs w:val="18"/>
                <w:lang w:eastAsia="hr-HR"/>
              </w:rPr>
              <w:t xml:space="preserve"> za rješavanje vlasničkih </w:t>
            </w:r>
            <w:r w:rsidRPr="005232CB">
              <w:rPr>
                <w:rFonts w:ascii="Calibri" w:eastAsia="Calibri" w:hAnsi="Calibri" w:cs="Calibri"/>
                <w:sz w:val="18"/>
                <w:szCs w:val="18"/>
              </w:rPr>
              <w:t>odnosa</w:t>
            </w:r>
            <w:r w:rsidRPr="00B42611">
              <w:rPr>
                <w:rFonts w:ascii="Calibri" w:eastAsia="Times New Roman" w:hAnsi="Calibri" w:cs="Calibri"/>
                <w:sz w:val="18"/>
                <w:szCs w:val="18"/>
                <w:lang w:eastAsia="hr-HR"/>
              </w:rPr>
              <w:t xml:space="preserve"> </w:t>
            </w:r>
          </w:p>
          <w:p w14:paraId="60965434" w14:textId="16500A79"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populariz</w:t>
            </w:r>
            <w:r w:rsidR="00053CF5">
              <w:rPr>
                <w:rFonts w:ascii="Calibri" w:eastAsia="Times New Roman" w:hAnsi="Calibri" w:cs="Calibri"/>
                <w:sz w:val="18"/>
                <w:szCs w:val="18"/>
                <w:lang w:eastAsia="hr-HR"/>
              </w:rPr>
              <w:t>irati</w:t>
            </w:r>
            <w:r w:rsidRPr="00B42611">
              <w:rPr>
                <w:rFonts w:ascii="Calibri" w:eastAsia="Times New Roman" w:hAnsi="Calibri" w:cs="Calibri"/>
                <w:sz w:val="18"/>
                <w:szCs w:val="18"/>
                <w:lang w:eastAsia="hr-HR"/>
              </w:rPr>
              <w:t xml:space="preserve"> i edu</w:t>
            </w:r>
            <w:r w:rsidR="00053CF5">
              <w:rPr>
                <w:rFonts w:ascii="Calibri" w:eastAsia="Times New Roman" w:hAnsi="Calibri" w:cs="Calibri"/>
                <w:sz w:val="18"/>
                <w:szCs w:val="18"/>
                <w:lang w:eastAsia="hr-HR"/>
              </w:rPr>
              <w:t>cirati</w:t>
            </w:r>
            <w:r w:rsidRPr="00B42611">
              <w:rPr>
                <w:rFonts w:ascii="Calibri" w:eastAsia="Times New Roman" w:hAnsi="Calibri" w:cs="Calibri"/>
                <w:sz w:val="18"/>
                <w:szCs w:val="18"/>
                <w:lang w:eastAsia="hr-HR"/>
              </w:rPr>
              <w:t xml:space="preserve"> građan</w:t>
            </w:r>
            <w:r w:rsidR="00053CF5">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o kulturnim </w:t>
            </w:r>
            <w:r w:rsidRPr="005232CB">
              <w:rPr>
                <w:rFonts w:ascii="Calibri" w:eastAsia="Calibri" w:hAnsi="Calibri" w:cs="Calibri"/>
                <w:sz w:val="18"/>
                <w:szCs w:val="18"/>
              </w:rPr>
              <w:t>dobrima</w:t>
            </w:r>
            <w:r w:rsidRPr="00B42611">
              <w:rPr>
                <w:rFonts w:ascii="Calibri" w:eastAsia="Times New Roman" w:hAnsi="Calibri" w:cs="Calibri"/>
                <w:sz w:val="18"/>
                <w:szCs w:val="18"/>
                <w:lang w:eastAsia="hr-HR"/>
              </w:rPr>
              <w:t xml:space="preserve"> </w:t>
            </w:r>
          </w:p>
          <w:p w14:paraId="02292895" w14:textId="6225493F" w:rsidR="00C17261" w:rsidRDefault="008262ED"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w:t>
            </w:r>
            <w:r w:rsidR="00C17261" w:rsidRPr="00A33E06">
              <w:rPr>
                <w:rFonts w:ascii="Calibri" w:hAnsi="Calibri" w:cs="Calibri"/>
                <w:sz w:val="18"/>
                <w:szCs w:val="18"/>
              </w:rPr>
              <w:t>činkovito povlač</w:t>
            </w:r>
            <w:r w:rsidR="00053CF5">
              <w:rPr>
                <w:rFonts w:ascii="Calibri" w:hAnsi="Calibri" w:cs="Calibri"/>
                <w:sz w:val="18"/>
                <w:szCs w:val="18"/>
              </w:rPr>
              <w:t>iti</w:t>
            </w:r>
            <w:r w:rsidR="00C17261" w:rsidRPr="00A33E06">
              <w:rPr>
                <w:rFonts w:ascii="Calibri" w:hAnsi="Calibri" w:cs="Calibri"/>
                <w:sz w:val="18"/>
                <w:szCs w:val="18"/>
              </w:rPr>
              <w:t xml:space="preserve"> i kori</w:t>
            </w:r>
            <w:r w:rsidR="00053CF5">
              <w:rPr>
                <w:rFonts w:ascii="Calibri" w:hAnsi="Calibri" w:cs="Calibri"/>
                <w:sz w:val="18"/>
                <w:szCs w:val="18"/>
              </w:rPr>
              <w:t>stiti</w:t>
            </w:r>
            <w:r w:rsidR="00C17261" w:rsidRPr="00A33E06">
              <w:rPr>
                <w:rFonts w:ascii="Calibri" w:hAnsi="Calibri" w:cs="Calibri"/>
                <w:sz w:val="18"/>
                <w:szCs w:val="18"/>
              </w:rPr>
              <w:t xml:space="preserve"> sredst</w:t>
            </w:r>
            <w:r w:rsidR="00053CF5">
              <w:rPr>
                <w:rFonts w:ascii="Calibri" w:hAnsi="Calibri" w:cs="Calibri"/>
                <w:sz w:val="18"/>
                <w:szCs w:val="18"/>
              </w:rPr>
              <w:t>va</w:t>
            </w:r>
            <w:r w:rsidR="00C17261" w:rsidRPr="00A33E06">
              <w:rPr>
                <w:rFonts w:ascii="Calibri" w:hAnsi="Calibri" w:cs="Calibri"/>
                <w:sz w:val="18"/>
                <w:szCs w:val="18"/>
              </w:rPr>
              <w:t xml:space="preserve"> kroz europske strukturne i investicijske fondove u nadolazećem razdoblju</w:t>
            </w:r>
          </w:p>
          <w:p w14:paraId="00069FDE" w14:textId="4E4C2589" w:rsidR="00C17261" w:rsidRDefault="008262ED"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p</w:t>
            </w:r>
            <w:r w:rsidR="00C17261">
              <w:rPr>
                <w:rFonts w:ascii="Calibri" w:hAnsi="Calibri" w:cs="Calibri"/>
                <w:sz w:val="18"/>
                <w:szCs w:val="18"/>
              </w:rPr>
              <w:t>romo</w:t>
            </w:r>
            <w:r w:rsidR="00053CF5">
              <w:rPr>
                <w:rFonts w:ascii="Calibri" w:hAnsi="Calibri" w:cs="Calibri"/>
                <w:sz w:val="18"/>
                <w:szCs w:val="18"/>
              </w:rPr>
              <w:t>virati</w:t>
            </w:r>
            <w:r w:rsidR="00C17261">
              <w:rPr>
                <w:rFonts w:ascii="Calibri" w:hAnsi="Calibri" w:cs="Calibri"/>
                <w:sz w:val="18"/>
                <w:szCs w:val="18"/>
              </w:rPr>
              <w:t xml:space="preserve"> kulturn</w:t>
            </w:r>
            <w:r w:rsidR="00053CF5">
              <w:rPr>
                <w:rFonts w:ascii="Calibri" w:hAnsi="Calibri" w:cs="Calibri"/>
                <w:sz w:val="18"/>
                <w:szCs w:val="18"/>
              </w:rPr>
              <w:t>u</w:t>
            </w:r>
            <w:r w:rsidR="00C17261">
              <w:rPr>
                <w:rFonts w:ascii="Calibri" w:hAnsi="Calibri" w:cs="Calibri"/>
                <w:sz w:val="18"/>
                <w:szCs w:val="18"/>
              </w:rPr>
              <w:t xml:space="preserve"> baštin</w:t>
            </w:r>
            <w:r w:rsidR="00053CF5">
              <w:rPr>
                <w:rFonts w:ascii="Calibri" w:hAnsi="Calibri" w:cs="Calibri"/>
                <w:sz w:val="18"/>
                <w:szCs w:val="18"/>
              </w:rPr>
              <w:t>u</w:t>
            </w:r>
            <w:r w:rsidR="00C17261">
              <w:rPr>
                <w:rFonts w:ascii="Calibri" w:hAnsi="Calibri" w:cs="Calibri"/>
                <w:sz w:val="18"/>
                <w:szCs w:val="18"/>
              </w:rPr>
              <w:t xml:space="preserve"> u svrhu turističke ponude grada Zagreba</w:t>
            </w:r>
          </w:p>
          <w:p w14:paraId="192FC2EC" w14:textId="37207835" w:rsidR="00C17261" w:rsidRDefault="008262ED"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hAnsi="Calibri" w:cs="Calibri"/>
                <w:sz w:val="18"/>
                <w:szCs w:val="18"/>
              </w:rPr>
              <w:t>i</w:t>
            </w:r>
            <w:r w:rsidR="00C17261">
              <w:rPr>
                <w:rFonts w:ascii="Calibri" w:hAnsi="Calibri" w:cs="Calibri"/>
                <w:sz w:val="18"/>
                <w:szCs w:val="18"/>
              </w:rPr>
              <w:t>zgraditi objekte i urediti prostore za zaštitu muzejske građe i prostore za konzerviranje i restauriranje</w:t>
            </w:r>
          </w:p>
          <w:p w14:paraId="585595D8" w14:textId="4E413F23" w:rsidR="00C17261" w:rsidRDefault="008262ED"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p</w:t>
            </w:r>
            <w:r w:rsidR="00C17261" w:rsidRPr="004C5ACC">
              <w:rPr>
                <w:rFonts w:ascii="Calibri" w:eastAsia="Times New Roman" w:hAnsi="Calibri" w:cs="Calibri"/>
                <w:sz w:val="18"/>
                <w:szCs w:val="18"/>
                <w:lang w:eastAsia="hr-HR"/>
              </w:rPr>
              <w:t xml:space="preserve">oticati ustanove na izradu planova postupanja u kriznim situacijama usmjerene na zaštitu kulturne baštine, </w:t>
            </w:r>
            <w:r w:rsidR="00C17261" w:rsidRPr="004C5ACC">
              <w:rPr>
                <w:rFonts w:ascii="Calibri" w:eastAsia="Times New Roman" w:hAnsi="Calibri" w:cs="Calibri"/>
                <w:sz w:val="18"/>
                <w:szCs w:val="18"/>
                <w:lang w:eastAsia="hr-HR"/>
              </w:rPr>
              <w:lastRenderedPageBreak/>
              <w:t>redovito provoditi vježbe evakuacije i spašavanja ljudi, imovine i kulturne baštine</w:t>
            </w:r>
          </w:p>
          <w:p w14:paraId="66625E97" w14:textId="3C41DC6F" w:rsidR="00C17261" w:rsidRPr="004C5ACC" w:rsidRDefault="008262ED"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o</w:t>
            </w:r>
            <w:r w:rsidR="00C17261" w:rsidRPr="004C5ACC">
              <w:rPr>
                <w:rFonts w:ascii="Calibri" w:eastAsia="Times New Roman" w:hAnsi="Calibri" w:cs="Calibri"/>
                <w:sz w:val="18"/>
                <w:szCs w:val="18"/>
                <w:lang w:eastAsia="hr-HR"/>
              </w:rPr>
              <w:t>sigurati prostor za zaštitu i pohranu muzejske građe u kriznim situacijama (depo)</w:t>
            </w:r>
          </w:p>
        </w:tc>
      </w:tr>
    </w:tbl>
    <w:p w14:paraId="604FB842" w14:textId="211D0C9D" w:rsidR="00C17261" w:rsidRPr="00B42611" w:rsidRDefault="00C17261" w:rsidP="00BA4CA0">
      <w:pPr>
        <w:pStyle w:val="Stil2"/>
      </w:pPr>
      <w:bookmarkStart w:id="10" w:name="_Toc97123778"/>
      <w:bookmarkStart w:id="11" w:name="OLE_LINK1"/>
      <w:bookmarkStart w:id="12" w:name="OLE_LINK2"/>
      <w:r w:rsidRPr="00B42611">
        <w:lastRenderedPageBreak/>
        <w:t>1.1.4. Krajobraz</w:t>
      </w:r>
      <w:bookmarkEnd w:id="10"/>
      <w:r w:rsidRPr="00B42611">
        <w:t xml:space="preserve"> </w:t>
      </w:r>
    </w:p>
    <w:p w14:paraId="6D5C937E" w14:textId="24CE67CE" w:rsidR="00C17261" w:rsidRPr="00B42611" w:rsidRDefault="00C17261" w:rsidP="004976E4">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t>Na području Grada Zagreba izdvaja se 6 osnovnih krajobraznih cjelina (gorsko-brdski prirodni krajobraz / brežuljkasto-brdski krajobraz / nizinski urbani krajobraz / nizinski riječni krajobraz / nizinski ruralni krajobraz / brežuljkasti krajobraz), koji se dalje ra</w:t>
      </w:r>
      <w:r>
        <w:rPr>
          <w:rFonts w:ascii="Calibri" w:eastAsia="Times New Roman" w:hAnsi="Calibri" w:cs="Calibri"/>
          <w:bCs/>
          <w:lang w:eastAsia="hr-HR"/>
        </w:rPr>
        <w:t>sč</w:t>
      </w:r>
      <w:r w:rsidRPr="00B42611">
        <w:rPr>
          <w:rFonts w:ascii="Calibri" w:eastAsia="Times New Roman" w:hAnsi="Calibri" w:cs="Calibri"/>
          <w:bCs/>
          <w:lang w:eastAsia="hr-HR"/>
        </w:rPr>
        <w:t>lanjuju na 24 krajobrazna tipa. Pritisci koji dominantno utječu na krajobrazne cjeline su neobazrivo (oblikovno, sadržajno, prostorno) urbano širenje na neizgrađene prostore strukturiranih krajobraznih obilježja prirodnih i doprirodnih staništa, ali i izgrađenih gradskih prostora.</w:t>
      </w:r>
    </w:p>
    <w:p w14:paraId="1393289C"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p>
    <w:tbl>
      <w:tblPr>
        <w:tblW w:w="5000" w:type="pct"/>
        <w:shd w:val="clear" w:color="auto" w:fill="CCCCCC"/>
        <w:tblLook w:val="01E0" w:firstRow="1" w:lastRow="1" w:firstColumn="1" w:lastColumn="1" w:noHBand="0" w:noVBand="0"/>
      </w:tblPr>
      <w:tblGrid>
        <w:gridCol w:w="4589"/>
        <w:gridCol w:w="4483"/>
      </w:tblGrid>
      <w:tr w:rsidR="00C17261" w:rsidRPr="00B42611" w14:paraId="049E0AC8" w14:textId="77777777" w:rsidTr="00F50578">
        <w:tc>
          <w:tcPr>
            <w:tcW w:w="2529" w:type="pct"/>
            <w:shd w:val="clear" w:color="auto" w:fill="CCCCCC"/>
          </w:tcPr>
          <w:p w14:paraId="0F89A870"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RAZVOJNI PROBLEMI</w:t>
            </w:r>
          </w:p>
        </w:tc>
        <w:tc>
          <w:tcPr>
            <w:tcW w:w="2471" w:type="pct"/>
            <w:shd w:val="clear" w:color="auto" w:fill="99CCFF"/>
          </w:tcPr>
          <w:p w14:paraId="2F0F9A45"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tc>
      </w:tr>
      <w:tr w:rsidR="00C17261" w:rsidRPr="00B42611" w14:paraId="66728EE0" w14:textId="77777777" w:rsidTr="00F50578">
        <w:tc>
          <w:tcPr>
            <w:tcW w:w="2529" w:type="pct"/>
            <w:shd w:val="clear" w:color="auto" w:fill="CCCCCC"/>
          </w:tcPr>
          <w:p w14:paraId="3E105999"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nedostatak konceptualnog okvira i mjera za zaštitu krajobraznog karaktera i integriranje u razvojno i prostorno planiranje</w:t>
            </w:r>
          </w:p>
          <w:p w14:paraId="144A0C3D"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nedostatak niže klasifikacije krajobraza (</w:t>
            </w:r>
            <w:r w:rsidRPr="00B42611">
              <w:rPr>
                <w:rFonts w:ascii="Calibri" w:eastAsia="Times New Roman" w:hAnsi="Calibri" w:cs="Calibri"/>
                <w:sz w:val="18"/>
                <w:szCs w:val="18"/>
                <w:lang w:eastAsia="hr-HR"/>
              </w:rPr>
              <w:t>provedena je opća klasifikacija krajobraza</w:t>
            </w:r>
            <w:r>
              <w:rPr>
                <w:rFonts w:ascii="Calibri" w:eastAsia="Times New Roman" w:hAnsi="Calibri" w:cs="Calibri"/>
                <w:sz w:val="18"/>
                <w:szCs w:val="18"/>
                <w:lang w:eastAsia="hr-HR"/>
              </w:rPr>
              <w:t>)</w:t>
            </w:r>
          </w:p>
          <w:p w14:paraId="77C448D6"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nedostatak</w:t>
            </w:r>
            <w:r w:rsidRPr="00B42611">
              <w:rPr>
                <w:rFonts w:ascii="Calibri" w:eastAsia="Times New Roman" w:hAnsi="Calibri" w:cs="Calibri"/>
                <w:sz w:val="18"/>
                <w:szCs w:val="18"/>
                <w:lang w:eastAsia="hr-HR"/>
              </w:rPr>
              <w:t xml:space="preserve"> praćenja i provjere razvojnih i prostornih dokumenata u odnosu na karakter krajobraza</w:t>
            </w:r>
          </w:p>
          <w:p w14:paraId="402B414A"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nedovoljno poznavanje, a time i afirmacija vrijednosti krajobraza u procesima prostornog razvitka</w:t>
            </w:r>
          </w:p>
          <w:p w14:paraId="56747DFC"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nedovoljno senzibilizirana i educirana javnost</w:t>
            </w:r>
            <w:r>
              <w:rPr>
                <w:rFonts w:ascii="Calibri" w:eastAsia="Times New Roman" w:hAnsi="Calibri" w:cs="Calibri"/>
                <w:sz w:val="18"/>
                <w:szCs w:val="18"/>
                <w:lang w:eastAsia="hr-HR"/>
              </w:rPr>
              <w:t xml:space="preserve"> prema krajobrazu</w:t>
            </w:r>
          </w:p>
        </w:tc>
        <w:tc>
          <w:tcPr>
            <w:tcW w:w="2471" w:type="pct"/>
            <w:shd w:val="clear" w:color="auto" w:fill="99CCFF"/>
          </w:tcPr>
          <w:p w14:paraId="4E121F09" w14:textId="49F9B9BE"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izrad</w:t>
            </w:r>
            <w:r w:rsidR="00670DDE">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konceptual</w:t>
            </w:r>
            <w:r w:rsidR="00670DDE">
              <w:rPr>
                <w:rFonts w:ascii="Calibri" w:eastAsia="Times New Roman" w:hAnsi="Calibri" w:cs="Calibri"/>
                <w:sz w:val="18"/>
                <w:szCs w:val="18"/>
                <w:lang w:eastAsia="hr-HR"/>
              </w:rPr>
              <w:t>ni</w:t>
            </w:r>
            <w:r w:rsidRPr="00B42611">
              <w:rPr>
                <w:rFonts w:ascii="Calibri" w:eastAsia="Times New Roman" w:hAnsi="Calibri" w:cs="Calibri"/>
                <w:sz w:val="18"/>
                <w:szCs w:val="18"/>
                <w:lang w:eastAsia="hr-HR"/>
              </w:rPr>
              <w:t xml:space="preserve"> okvir i mjer</w:t>
            </w:r>
            <w:r w:rsidR="00670DDE">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za zaštitu karaktera krajobraza i integriranje u razvojne i prostorne dokumente</w:t>
            </w:r>
          </w:p>
          <w:p w14:paraId="283D8B17" w14:textId="20E40FF6"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stv</w:t>
            </w:r>
            <w:r w:rsidR="00375EE2">
              <w:rPr>
                <w:rFonts w:ascii="Calibri" w:eastAsia="Times New Roman" w:hAnsi="Calibri" w:cs="Calibri"/>
                <w:sz w:val="18"/>
                <w:szCs w:val="18"/>
                <w:lang w:eastAsia="hr-HR"/>
              </w:rPr>
              <w:t>oriti</w:t>
            </w:r>
            <w:r w:rsidRPr="00B42611">
              <w:rPr>
                <w:rFonts w:ascii="Calibri" w:eastAsia="Times New Roman" w:hAnsi="Calibri" w:cs="Calibri"/>
                <w:sz w:val="18"/>
                <w:szCs w:val="18"/>
                <w:lang w:eastAsia="hr-HR"/>
              </w:rPr>
              <w:t xml:space="preserve"> okvir</w:t>
            </w:r>
            <w:r w:rsidR="00375EE2">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za detaljne studije s uspostavljanjem baze podataka</w:t>
            </w:r>
          </w:p>
          <w:p w14:paraId="5C0DBDA2" w14:textId="4F5BB123"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pra</w:t>
            </w:r>
            <w:r w:rsidR="00375EE2">
              <w:rPr>
                <w:rFonts w:ascii="Calibri" w:eastAsia="Times New Roman" w:hAnsi="Calibri" w:cs="Calibri"/>
                <w:sz w:val="18"/>
                <w:szCs w:val="18"/>
                <w:lang w:eastAsia="hr-HR"/>
              </w:rPr>
              <w:t>titi</w:t>
            </w:r>
            <w:r w:rsidRPr="00B42611">
              <w:rPr>
                <w:rFonts w:ascii="Calibri" w:eastAsia="Times New Roman" w:hAnsi="Calibri" w:cs="Calibri"/>
                <w:sz w:val="18"/>
                <w:szCs w:val="18"/>
                <w:lang w:eastAsia="hr-HR"/>
              </w:rPr>
              <w:t xml:space="preserve"> i kontrol</w:t>
            </w:r>
            <w:r w:rsidR="00375EE2">
              <w:rPr>
                <w:rFonts w:ascii="Calibri" w:eastAsia="Times New Roman" w:hAnsi="Calibri" w:cs="Calibri"/>
                <w:sz w:val="18"/>
                <w:szCs w:val="18"/>
                <w:lang w:eastAsia="hr-HR"/>
              </w:rPr>
              <w:t>irati</w:t>
            </w:r>
            <w:r w:rsidRPr="00B42611">
              <w:rPr>
                <w:rFonts w:ascii="Calibri" w:eastAsia="Times New Roman" w:hAnsi="Calibri" w:cs="Calibri"/>
                <w:sz w:val="18"/>
                <w:szCs w:val="18"/>
                <w:lang w:eastAsia="hr-HR"/>
              </w:rPr>
              <w:t xml:space="preserve"> provedb</w:t>
            </w:r>
            <w:r w:rsidR="00375EE2">
              <w:rPr>
                <w:rFonts w:ascii="Calibri" w:eastAsia="Times New Roman" w:hAnsi="Calibri" w:cs="Calibri"/>
                <w:sz w:val="18"/>
                <w:szCs w:val="18"/>
                <w:lang w:eastAsia="hr-HR"/>
              </w:rPr>
              <w:t>u</w:t>
            </w:r>
            <w:r w:rsidRPr="00B42611">
              <w:rPr>
                <w:rFonts w:ascii="Calibri" w:eastAsia="Times New Roman" w:hAnsi="Calibri" w:cs="Calibri"/>
                <w:sz w:val="18"/>
                <w:szCs w:val="18"/>
                <w:lang w:eastAsia="hr-HR"/>
              </w:rPr>
              <w:t xml:space="preserve"> mjera za razvitak Grada i njihovog utjecaja na stanje krajobraza;</w:t>
            </w:r>
          </w:p>
          <w:p w14:paraId="1630C63F" w14:textId="76AC635D" w:rsidR="00C17261" w:rsidRPr="00B42611" w:rsidRDefault="00375EE2"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jačati opću</w:t>
            </w:r>
            <w:r w:rsidR="00C17261" w:rsidRPr="00B42611">
              <w:rPr>
                <w:rFonts w:ascii="Calibri" w:eastAsia="Times New Roman" w:hAnsi="Calibri" w:cs="Calibri"/>
                <w:sz w:val="18"/>
                <w:szCs w:val="18"/>
                <w:lang w:eastAsia="hr-HR"/>
              </w:rPr>
              <w:t xml:space="preserve"> svijest u procesu planiranja o značenju karaktera krajobraza</w:t>
            </w:r>
          </w:p>
          <w:p w14:paraId="683222EB" w14:textId="24356A62"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obavještav</w:t>
            </w:r>
            <w:r w:rsidR="00375EE2">
              <w:rPr>
                <w:rFonts w:ascii="Calibri" w:eastAsia="Times New Roman" w:hAnsi="Calibri" w:cs="Calibri"/>
                <w:sz w:val="18"/>
                <w:szCs w:val="18"/>
                <w:lang w:eastAsia="hr-HR"/>
              </w:rPr>
              <w:t>ati</w:t>
            </w:r>
            <w:r w:rsidRPr="00B42611">
              <w:rPr>
                <w:rFonts w:ascii="Calibri" w:eastAsia="Times New Roman" w:hAnsi="Calibri" w:cs="Calibri"/>
                <w:sz w:val="18"/>
                <w:szCs w:val="18"/>
                <w:lang w:eastAsia="hr-HR"/>
              </w:rPr>
              <w:t xml:space="preserve"> i educir</w:t>
            </w:r>
            <w:r w:rsidR="00375EE2">
              <w:rPr>
                <w:rFonts w:ascii="Calibri" w:eastAsia="Times New Roman" w:hAnsi="Calibri" w:cs="Calibri"/>
                <w:sz w:val="18"/>
                <w:szCs w:val="18"/>
                <w:lang w:eastAsia="hr-HR"/>
              </w:rPr>
              <w:t>ati</w:t>
            </w:r>
            <w:r w:rsidRPr="00B42611">
              <w:rPr>
                <w:rFonts w:ascii="Calibri" w:eastAsia="Times New Roman" w:hAnsi="Calibri" w:cs="Calibri"/>
                <w:sz w:val="18"/>
                <w:szCs w:val="18"/>
                <w:lang w:eastAsia="hr-HR"/>
              </w:rPr>
              <w:t xml:space="preserve"> javnost o uspostavljenim krajobraznim politikama</w:t>
            </w:r>
          </w:p>
        </w:tc>
      </w:tr>
    </w:tbl>
    <w:p w14:paraId="55087C3A" w14:textId="77777777" w:rsidR="00C17261" w:rsidRPr="00B42611" w:rsidRDefault="00C17261" w:rsidP="00BA4CA0">
      <w:pPr>
        <w:pStyle w:val="Stil2"/>
      </w:pPr>
      <w:bookmarkStart w:id="13" w:name="_Toc97123779"/>
      <w:r w:rsidRPr="00B42611">
        <w:t>1.1.5. Identitetski potencijali</w:t>
      </w:r>
      <w:bookmarkEnd w:id="13"/>
    </w:p>
    <w:p w14:paraId="4192A42C"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Pr>
          <w:rFonts w:ascii="Calibri" w:eastAsia="Times New Roman" w:hAnsi="Calibri" w:cs="Calibri"/>
          <w:bCs/>
          <w:lang w:eastAsia="hr-HR"/>
        </w:rPr>
        <w:t xml:space="preserve">Grad Zagreb u </w:t>
      </w:r>
      <w:r w:rsidRPr="00B42611">
        <w:rPr>
          <w:rFonts w:ascii="Calibri" w:eastAsia="Times New Roman" w:hAnsi="Calibri" w:cs="Calibri"/>
          <w:bCs/>
          <w:lang w:eastAsia="hr-HR"/>
        </w:rPr>
        <w:t xml:space="preserve"> identitetskom smislu </w:t>
      </w:r>
      <w:r>
        <w:rPr>
          <w:rFonts w:ascii="Calibri" w:eastAsia="Times New Roman" w:hAnsi="Calibri" w:cs="Calibri"/>
          <w:bCs/>
          <w:lang w:eastAsia="hr-HR"/>
        </w:rPr>
        <w:t xml:space="preserve">sadrži nekoliko izražajnijih </w:t>
      </w:r>
      <w:r w:rsidRPr="00B42611">
        <w:rPr>
          <w:rFonts w:ascii="Calibri" w:eastAsia="Times New Roman" w:hAnsi="Calibri" w:cs="Calibri"/>
          <w:bCs/>
          <w:lang w:eastAsia="hr-HR"/>
        </w:rPr>
        <w:t>mega-prostorn</w:t>
      </w:r>
      <w:r>
        <w:rPr>
          <w:rFonts w:ascii="Calibri" w:eastAsia="Times New Roman" w:hAnsi="Calibri" w:cs="Calibri"/>
          <w:bCs/>
          <w:lang w:eastAsia="hr-HR"/>
        </w:rPr>
        <w:t>ih</w:t>
      </w:r>
      <w:r w:rsidRPr="00B42611">
        <w:rPr>
          <w:rFonts w:ascii="Calibri" w:eastAsia="Times New Roman" w:hAnsi="Calibri" w:cs="Calibri"/>
          <w:bCs/>
          <w:lang w:eastAsia="hr-HR"/>
        </w:rPr>
        <w:t xml:space="preserve"> cjeline</w:t>
      </w:r>
      <w:r>
        <w:rPr>
          <w:rFonts w:ascii="Calibri" w:eastAsia="Times New Roman" w:hAnsi="Calibri" w:cs="Calibri"/>
          <w:bCs/>
          <w:lang w:eastAsia="hr-HR"/>
        </w:rPr>
        <w:t xml:space="preserve">a Jedna od njih je </w:t>
      </w:r>
      <w:r w:rsidRPr="00B42611">
        <w:rPr>
          <w:rFonts w:ascii="Calibri" w:eastAsia="Times New Roman" w:hAnsi="Calibri" w:cs="Calibri"/>
          <w:bCs/>
          <w:lang w:eastAsia="hr-HR"/>
        </w:rPr>
        <w:t>povijesna cjelina s Gornjim i Donjim gradom i Kaptolom, brojnim muzejima, crkvama, galerijama, školama, javnim institucijama, trgovima i povijesnim ambijentima</w:t>
      </w:r>
      <w:r>
        <w:rPr>
          <w:rFonts w:ascii="Calibri" w:eastAsia="Times New Roman" w:hAnsi="Calibri" w:cs="Calibri"/>
          <w:bCs/>
          <w:lang w:eastAsia="hr-HR"/>
        </w:rPr>
        <w:t xml:space="preserve"> </w:t>
      </w:r>
      <w:r w:rsidRPr="00B42611">
        <w:rPr>
          <w:rFonts w:ascii="Calibri" w:eastAsia="Times New Roman" w:hAnsi="Calibri" w:cs="Calibri"/>
          <w:bCs/>
          <w:lang w:eastAsia="hr-HR"/>
        </w:rPr>
        <w:t>te tržnicom Dolac. Sjeverno od grada smještena je gora Medvednica sa skijalištem na kojem se održavaju utrke Svjetskog kupa te rijeka Sava sa pratećim zelenim sportsko/rekreacijskim pojasom s jezerima Bundek i Jarun i Zagrebačkim hipodromom.</w:t>
      </w:r>
    </w:p>
    <w:p w14:paraId="31B1036D"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t>Identitetski prepoznatljiva je i cjelina Novog Zagreba, sklopa planskih naselja visoke urbanističke i arhitektonske kvalitete, uz koju se i prostorno i identitetski čvrsto veže zaštićeni sklop Zagrebačkog velesajma, značajn</w:t>
      </w:r>
      <w:r>
        <w:rPr>
          <w:rFonts w:ascii="Calibri" w:eastAsia="Times New Roman" w:hAnsi="Calibri" w:cs="Calibri"/>
          <w:bCs/>
          <w:lang w:eastAsia="hr-HR"/>
        </w:rPr>
        <w:t>og</w:t>
      </w:r>
      <w:r w:rsidRPr="00B42611">
        <w:rPr>
          <w:rFonts w:ascii="Calibri" w:eastAsia="Times New Roman" w:hAnsi="Calibri" w:cs="Calibri"/>
          <w:bCs/>
          <w:lang w:eastAsia="hr-HR"/>
        </w:rPr>
        <w:t xml:space="preserve"> subjekt</w:t>
      </w:r>
      <w:r>
        <w:rPr>
          <w:rFonts w:ascii="Calibri" w:eastAsia="Times New Roman" w:hAnsi="Calibri" w:cs="Calibri"/>
          <w:bCs/>
          <w:lang w:eastAsia="hr-HR"/>
        </w:rPr>
        <w:t>a</w:t>
      </w:r>
      <w:r w:rsidRPr="00B42611">
        <w:rPr>
          <w:rFonts w:ascii="Calibri" w:eastAsia="Times New Roman" w:hAnsi="Calibri" w:cs="Calibri"/>
          <w:bCs/>
          <w:lang w:eastAsia="hr-HR"/>
        </w:rPr>
        <w:t xml:space="preserve"> u memoriji Novog Zagreba, prostor kojeg je potrebno revitalizirati i transformirati.</w:t>
      </w:r>
    </w:p>
    <w:p w14:paraId="6EDD4576"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t>Na području između željezničke pruge i rijeke Save nalazi se heterogeno naselje Trnje, koje presijecaju dvije značajne gradske avenije, od kojih Vukovarska avenija predstavlja značajan urbanistički ambijent iz 50-tih i 60-tih godina 20. stoljeća, kao široka i protočna ulica s tramvajskom prugom uz koju se nižu brojne stambene i poslovne zgrade, remek djela hrvatske moderne arhitekture.</w:t>
      </w:r>
    </w:p>
    <w:p w14:paraId="39BEAA0B"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t>Identitet područja grada prema istoku i prema zapadu je neujednačeno definiran</w:t>
      </w:r>
      <w:r>
        <w:rPr>
          <w:rFonts w:ascii="Calibri" w:eastAsia="Times New Roman" w:hAnsi="Calibri" w:cs="Calibri"/>
          <w:bCs/>
          <w:lang w:eastAsia="hr-HR"/>
        </w:rPr>
        <w:t>. Pojedina</w:t>
      </w:r>
      <w:r w:rsidRPr="00B42611">
        <w:rPr>
          <w:rFonts w:ascii="Calibri" w:eastAsia="Times New Roman" w:hAnsi="Calibri" w:cs="Calibri"/>
          <w:bCs/>
          <w:lang w:eastAsia="hr-HR"/>
        </w:rPr>
        <w:t xml:space="preserve"> naselja (Dubrava, Špansko, Gajnice i dr.) imaju subkulturnu prepoznatljivost</w:t>
      </w:r>
      <w:r>
        <w:rPr>
          <w:rFonts w:ascii="Calibri" w:eastAsia="Times New Roman" w:hAnsi="Calibri" w:cs="Calibri"/>
          <w:bCs/>
          <w:lang w:eastAsia="hr-HR"/>
        </w:rPr>
        <w:t>.</w:t>
      </w:r>
      <w:r w:rsidRPr="00B42611">
        <w:rPr>
          <w:rFonts w:ascii="Calibri" w:eastAsia="Times New Roman" w:hAnsi="Calibri" w:cs="Calibri"/>
          <w:bCs/>
          <w:lang w:eastAsia="hr-HR"/>
        </w:rPr>
        <w:t xml:space="preserve"> Maksimir je značajna lokacija zbog parka Maksimir, Zoo vrta i Dinamovog stadiona, Lanište se afirmiralo otvaranjem Arene i Arena centra, uz Zagrebačku aveniju i uz Radničku cestu formiralo se novo poslovno središte, no veći dio tih područja ne percipiraju se kao cjelina s turistički atraktivnijim centralnim dijelovima grada.</w:t>
      </w:r>
    </w:p>
    <w:p w14:paraId="628E2A4E"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t>Okvirno identitetsko naslijeđe grada Zagreba može se diferencirati kao predmoderno i moderno, pri čemu predmoderno naslijeđe opisuje raspon od prvih materijalnih dokaza života na teritoriju grada do početaka stvaranja moderne građanske industrijalizirane kulture, a moderno nasljeđe opisuju upravo razvoj i promjene od sredine 19. stoljeća do danas.</w:t>
      </w:r>
    </w:p>
    <w:p w14:paraId="02F9E907"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lastRenderedPageBreak/>
        <w:t>Bitnu stavku u identitetu grada čini njegova arhitektonska baština, bilo kao građevine koje su u funkciji za koju su građene</w:t>
      </w:r>
      <w:r>
        <w:rPr>
          <w:rFonts w:ascii="Calibri" w:eastAsia="Times New Roman" w:hAnsi="Calibri" w:cs="Calibri"/>
          <w:bCs/>
          <w:lang w:eastAsia="hr-HR"/>
        </w:rPr>
        <w:t>,</w:t>
      </w:r>
      <w:r w:rsidRPr="00B42611">
        <w:rPr>
          <w:rFonts w:ascii="Calibri" w:eastAsia="Times New Roman" w:hAnsi="Calibri" w:cs="Calibri"/>
          <w:bCs/>
          <w:lang w:eastAsia="hr-HR"/>
        </w:rPr>
        <w:t xml:space="preserve"> bilo kao preuređeni industrijski i slični kompleksi, odnosno zaštićeni graditeljski sklopovi. </w:t>
      </w:r>
    </w:p>
    <w:p w14:paraId="486D5A3B" w14:textId="77777777" w:rsidR="00C17261" w:rsidRPr="00B42611" w:rsidRDefault="00C17261" w:rsidP="00C17261">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t>U kreiranju identitetskog sustava važno je spomenuti brojne kulturne manifestacije svjetskog značaja, kao što su Animafest, Smotra folklora, Zagreb film festival, Tjedan suvremenog plesa, Festival komorne glazbe, Muzički biennale, Eurokaz i drugi. U nedostatku cjelovitog sustava komunikacijskog vrednovanja povijesne baštine, na suvremenoj razini svijesti, moguće je zaključiti kako bi najveće identitetske potencijale grada Zagreba iz njegovih povijesnih slojeva bilo moguće izvesti upravo iz:</w:t>
      </w:r>
    </w:p>
    <w:p w14:paraId="262B551E" w14:textId="77777777" w:rsidR="00C17261" w:rsidRPr="00B42611" w:rsidRDefault="00C17261" w:rsidP="00165C16">
      <w:pPr>
        <w:widowControl w:val="0"/>
        <w:numPr>
          <w:ilvl w:val="0"/>
          <w:numId w:val="3"/>
        </w:numPr>
        <w:tabs>
          <w:tab w:val="num" w:pos="284"/>
        </w:tabs>
        <w:autoSpaceDE w:val="0"/>
        <w:autoSpaceDN w:val="0"/>
        <w:adjustRightInd w:val="0"/>
        <w:spacing w:after="0" w:line="240" w:lineRule="auto"/>
        <w:ind w:left="284" w:right="-232" w:hanging="284"/>
        <w:jc w:val="both"/>
        <w:rPr>
          <w:rFonts w:ascii="Calibri" w:eastAsia="Times New Roman" w:hAnsi="Calibri" w:cs="Calibri"/>
          <w:bCs/>
          <w:lang w:eastAsia="hr-HR"/>
        </w:rPr>
      </w:pPr>
      <w:r w:rsidRPr="00B42611">
        <w:rPr>
          <w:rFonts w:ascii="Calibri" w:eastAsia="Times New Roman" w:hAnsi="Calibri" w:cs="Calibri"/>
          <w:bCs/>
          <w:lang w:eastAsia="hr-HR"/>
        </w:rPr>
        <w:t>vrijednosti prirodnih cjelina na čijem se području razvio Grad Zagreb: Medvednice i Save,</w:t>
      </w:r>
    </w:p>
    <w:p w14:paraId="676D158C" w14:textId="77777777" w:rsidR="00C17261" w:rsidRPr="00B42611" w:rsidRDefault="00C17261" w:rsidP="00165C16">
      <w:pPr>
        <w:widowControl w:val="0"/>
        <w:numPr>
          <w:ilvl w:val="0"/>
          <w:numId w:val="3"/>
        </w:numPr>
        <w:tabs>
          <w:tab w:val="num" w:pos="284"/>
        </w:tabs>
        <w:autoSpaceDE w:val="0"/>
        <w:autoSpaceDN w:val="0"/>
        <w:adjustRightInd w:val="0"/>
        <w:spacing w:after="0" w:line="240" w:lineRule="auto"/>
        <w:ind w:left="284" w:right="-232" w:hanging="284"/>
        <w:jc w:val="both"/>
        <w:rPr>
          <w:rFonts w:ascii="Calibri" w:eastAsia="Times New Roman" w:hAnsi="Calibri" w:cs="Calibri"/>
          <w:bCs/>
          <w:lang w:eastAsia="hr-HR"/>
        </w:rPr>
      </w:pPr>
      <w:r w:rsidRPr="00B42611">
        <w:rPr>
          <w:rFonts w:ascii="Calibri" w:eastAsia="Times New Roman" w:hAnsi="Calibri" w:cs="Calibri"/>
          <w:bCs/>
          <w:lang w:eastAsia="hr-HR"/>
        </w:rPr>
        <w:t>vrijednosti povijesnih i suvremenih gradskih ambijenata - trgovi, parkovi, ulični potezi,</w:t>
      </w:r>
    </w:p>
    <w:p w14:paraId="5EE077CB" w14:textId="77777777" w:rsidR="00C17261" w:rsidRPr="00B42611" w:rsidRDefault="00C17261" w:rsidP="00165C16">
      <w:pPr>
        <w:widowControl w:val="0"/>
        <w:numPr>
          <w:ilvl w:val="0"/>
          <w:numId w:val="3"/>
        </w:numPr>
        <w:tabs>
          <w:tab w:val="num" w:pos="284"/>
        </w:tabs>
        <w:autoSpaceDE w:val="0"/>
        <w:autoSpaceDN w:val="0"/>
        <w:adjustRightInd w:val="0"/>
        <w:spacing w:after="0" w:line="240" w:lineRule="auto"/>
        <w:ind w:left="284" w:right="-232" w:hanging="284"/>
        <w:jc w:val="both"/>
        <w:rPr>
          <w:rFonts w:ascii="Calibri" w:eastAsia="Times New Roman" w:hAnsi="Calibri" w:cs="Calibri"/>
          <w:bCs/>
          <w:lang w:eastAsia="hr-HR"/>
        </w:rPr>
      </w:pPr>
      <w:r w:rsidRPr="00B42611">
        <w:rPr>
          <w:rFonts w:ascii="Calibri" w:eastAsia="Times New Roman" w:hAnsi="Calibri" w:cs="Calibri"/>
          <w:bCs/>
          <w:lang w:eastAsia="hr-HR"/>
        </w:rPr>
        <w:t>vrijednosti povijesno održanih, memoriranih i suvremenih rituala - od gričkog topa do Hrelića,</w:t>
      </w:r>
    </w:p>
    <w:p w14:paraId="11C1C0EB" w14:textId="77777777" w:rsidR="005D49B9" w:rsidRDefault="00C17261" w:rsidP="00165C16">
      <w:pPr>
        <w:widowControl w:val="0"/>
        <w:numPr>
          <w:ilvl w:val="0"/>
          <w:numId w:val="3"/>
        </w:numPr>
        <w:tabs>
          <w:tab w:val="num" w:pos="284"/>
        </w:tabs>
        <w:autoSpaceDE w:val="0"/>
        <w:autoSpaceDN w:val="0"/>
        <w:adjustRightInd w:val="0"/>
        <w:spacing w:after="0" w:line="240" w:lineRule="auto"/>
        <w:ind w:left="284" w:right="-232" w:hanging="284"/>
        <w:jc w:val="both"/>
        <w:rPr>
          <w:rFonts w:ascii="Calibri" w:eastAsia="Times New Roman" w:hAnsi="Calibri" w:cs="Calibri"/>
          <w:bCs/>
          <w:lang w:eastAsia="hr-HR"/>
        </w:rPr>
      </w:pPr>
      <w:r w:rsidRPr="00B42611">
        <w:rPr>
          <w:rFonts w:ascii="Calibri" w:eastAsia="Times New Roman" w:hAnsi="Calibri" w:cs="Calibri"/>
          <w:bCs/>
          <w:lang w:eastAsia="hr-HR"/>
        </w:rPr>
        <w:t>vrijednosti</w:t>
      </w:r>
      <w:r>
        <w:rPr>
          <w:rFonts w:ascii="Calibri" w:eastAsia="Times New Roman" w:hAnsi="Calibri" w:cs="Calibri"/>
          <w:bCs/>
          <w:lang w:eastAsia="hr-HR"/>
        </w:rPr>
        <w:t xml:space="preserve"> </w:t>
      </w:r>
      <w:r w:rsidRPr="00B42611">
        <w:rPr>
          <w:rFonts w:ascii="Calibri" w:eastAsia="Times New Roman" w:hAnsi="Calibri" w:cs="Calibri"/>
          <w:bCs/>
          <w:lang w:eastAsia="hr-HR"/>
        </w:rPr>
        <w:t>tradicije održavanja kulturnih manifestacija.</w:t>
      </w:r>
    </w:p>
    <w:p w14:paraId="6460A213" w14:textId="5112BEA1" w:rsidR="00C17261" w:rsidRPr="00B42611" w:rsidRDefault="00C17261" w:rsidP="005D49B9">
      <w:pPr>
        <w:widowControl w:val="0"/>
        <w:autoSpaceDE w:val="0"/>
        <w:autoSpaceDN w:val="0"/>
        <w:adjustRightInd w:val="0"/>
        <w:spacing w:after="0" w:line="240" w:lineRule="auto"/>
        <w:ind w:left="284" w:right="-232"/>
        <w:jc w:val="both"/>
        <w:rPr>
          <w:rFonts w:ascii="Calibri" w:eastAsia="Times New Roman" w:hAnsi="Calibri" w:cs="Calibri"/>
          <w:bCs/>
          <w:lang w:eastAsia="hr-HR"/>
        </w:rPr>
      </w:pPr>
    </w:p>
    <w:tbl>
      <w:tblPr>
        <w:tblW w:w="0" w:type="auto"/>
        <w:tblLook w:val="01E0" w:firstRow="1" w:lastRow="1" w:firstColumn="1" w:lastColumn="1" w:noHBand="0" w:noVBand="0"/>
      </w:tblPr>
      <w:tblGrid>
        <w:gridCol w:w="4537"/>
        <w:gridCol w:w="4535"/>
      </w:tblGrid>
      <w:tr w:rsidR="00C17261" w:rsidRPr="00B42611" w14:paraId="7666F92A" w14:textId="77777777" w:rsidTr="00F50578">
        <w:tc>
          <w:tcPr>
            <w:tcW w:w="4643" w:type="dxa"/>
            <w:shd w:val="clear" w:color="auto" w:fill="D9D9D9"/>
          </w:tcPr>
          <w:bookmarkEnd w:id="11"/>
          <w:bookmarkEnd w:id="12"/>
          <w:p w14:paraId="6A36B25A" w14:textId="77777777" w:rsidR="00C17261" w:rsidRPr="00B42611" w:rsidRDefault="00C17261" w:rsidP="00F50578">
            <w:pPr>
              <w:spacing w:before="60" w:after="60" w:line="240" w:lineRule="auto"/>
              <w:jc w:val="both"/>
              <w:rPr>
                <w:rFonts w:ascii="Calibri" w:eastAsia="Times New Roman" w:hAnsi="Calibri" w:cs="Calibri"/>
                <w:b/>
                <w:sz w:val="20"/>
                <w:szCs w:val="20"/>
                <w:lang w:eastAsia="hr-HR"/>
              </w:rPr>
            </w:pPr>
            <w:r w:rsidRPr="00B42611">
              <w:rPr>
                <w:rFonts w:ascii="Calibri" w:eastAsia="Times New Roman" w:hAnsi="Calibri" w:cs="Calibri"/>
                <w:b/>
                <w:sz w:val="18"/>
                <w:szCs w:val="18"/>
                <w:lang w:eastAsia="hr-HR"/>
              </w:rPr>
              <w:t>RAZVOJNI PROBLEMI</w:t>
            </w:r>
          </w:p>
        </w:tc>
        <w:tc>
          <w:tcPr>
            <w:tcW w:w="4643" w:type="dxa"/>
            <w:shd w:val="clear" w:color="auto" w:fill="99CCFF"/>
          </w:tcPr>
          <w:p w14:paraId="4F6525C6" w14:textId="77777777" w:rsidR="00C17261" w:rsidRPr="00B42611" w:rsidRDefault="00C17261" w:rsidP="00F50578">
            <w:pPr>
              <w:spacing w:before="60" w:after="60" w:line="240" w:lineRule="auto"/>
              <w:jc w:val="both"/>
              <w:rPr>
                <w:rFonts w:ascii="Calibri" w:eastAsia="Times New Roman" w:hAnsi="Calibri" w:cs="Calibri"/>
                <w:b/>
                <w:sz w:val="20"/>
                <w:szCs w:val="20"/>
                <w:lang w:eastAsia="hr-HR"/>
              </w:rPr>
            </w:pPr>
            <w:r w:rsidRPr="00B42611">
              <w:rPr>
                <w:rFonts w:ascii="Calibri" w:eastAsia="Times New Roman" w:hAnsi="Calibri" w:cs="Calibri"/>
                <w:b/>
                <w:sz w:val="18"/>
                <w:szCs w:val="18"/>
                <w:lang w:eastAsia="hr-HR"/>
              </w:rPr>
              <w:t>RAZVOJNE POTREBE</w:t>
            </w:r>
          </w:p>
        </w:tc>
      </w:tr>
      <w:tr w:rsidR="00C17261" w:rsidRPr="00B42611" w14:paraId="3DB9B3ED" w14:textId="77777777" w:rsidTr="00F50578">
        <w:tc>
          <w:tcPr>
            <w:tcW w:w="4643" w:type="dxa"/>
            <w:shd w:val="clear" w:color="auto" w:fill="D9D9D9"/>
          </w:tcPr>
          <w:p w14:paraId="6771B119" w14:textId="77777777" w:rsidR="00C17261" w:rsidRPr="00B42611" w:rsidRDefault="00C17261"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globalizacijski procesi otežavaju definiranje i učvršćivanje lokalnih identiteta </w:t>
            </w:r>
          </w:p>
          <w:p w14:paraId="0FA3FB34" w14:textId="77777777" w:rsidR="00C17261" w:rsidRPr="00B42611" w:rsidRDefault="00C17261"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Zagreb tijekom svoje moderne povijesti nije uspio stvoriti i održati prepoznatljiv proizvod koji bi mogao biti asociran s gradom </w:t>
            </w:r>
          </w:p>
          <w:p w14:paraId="20E8BBAE" w14:textId="77777777" w:rsidR="00C17261" w:rsidRPr="00B42611" w:rsidRDefault="00C17261"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 xml:space="preserve">nesustavni pokušaji materijalizacije simboličke vrijednosti grada </w:t>
            </w:r>
          </w:p>
          <w:p w14:paraId="1B74C81F" w14:textId="77777777" w:rsidR="00C17261" w:rsidRPr="00B42611" w:rsidRDefault="00C17261"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stanovništvo slabo poznaje grad</w:t>
            </w:r>
            <w:r>
              <w:rPr>
                <w:rFonts w:ascii="Calibri" w:eastAsia="Times New Roman" w:hAnsi="Calibri" w:cs="Calibri"/>
                <w:sz w:val="18"/>
                <w:szCs w:val="18"/>
                <w:lang w:eastAsia="hr-HR"/>
              </w:rPr>
              <w:t>,</w:t>
            </w:r>
            <w:r w:rsidRPr="00B42611">
              <w:rPr>
                <w:rFonts w:ascii="Calibri" w:eastAsia="Times New Roman" w:hAnsi="Calibri" w:cs="Calibri"/>
                <w:sz w:val="18"/>
                <w:szCs w:val="18"/>
                <w:lang w:eastAsia="hr-HR"/>
              </w:rPr>
              <w:t xml:space="preserve"> njegove prostore i potencijale </w:t>
            </w:r>
          </w:p>
        </w:tc>
        <w:tc>
          <w:tcPr>
            <w:tcW w:w="4643" w:type="dxa"/>
            <w:shd w:val="clear" w:color="auto" w:fill="99CCFF"/>
          </w:tcPr>
          <w:p w14:paraId="6A2E12CB" w14:textId="473E4DF7" w:rsidR="00C17261" w:rsidRPr="00B42611" w:rsidRDefault="00C17261"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vrednova</w:t>
            </w:r>
            <w:r w:rsidR="004112EA">
              <w:rPr>
                <w:rFonts w:ascii="Calibri" w:eastAsia="Times New Roman" w:hAnsi="Calibri" w:cs="Calibri"/>
                <w:sz w:val="18"/>
                <w:szCs w:val="18"/>
                <w:lang w:eastAsia="hr-HR"/>
              </w:rPr>
              <w:t>ti</w:t>
            </w:r>
            <w:r w:rsidRPr="00B42611">
              <w:rPr>
                <w:rFonts w:ascii="Calibri" w:eastAsia="Times New Roman" w:hAnsi="Calibri" w:cs="Calibri"/>
                <w:sz w:val="18"/>
                <w:szCs w:val="18"/>
                <w:lang w:eastAsia="hr-HR"/>
              </w:rPr>
              <w:t>, zaštit</w:t>
            </w:r>
            <w:r w:rsidR="004112EA">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obnov</w:t>
            </w:r>
            <w:r w:rsidR="004112EA">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i održ</w:t>
            </w:r>
            <w:r w:rsidR="004112EA">
              <w:rPr>
                <w:rFonts w:ascii="Calibri" w:eastAsia="Times New Roman" w:hAnsi="Calibri" w:cs="Calibri"/>
                <w:sz w:val="18"/>
                <w:szCs w:val="18"/>
                <w:lang w:eastAsia="hr-HR"/>
              </w:rPr>
              <w:t>ati</w:t>
            </w:r>
            <w:r w:rsidRPr="00B42611">
              <w:rPr>
                <w:rFonts w:ascii="Calibri" w:eastAsia="Times New Roman" w:hAnsi="Calibri" w:cs="Calibri"/>
                <w:sz w:val="18"/>
                <w:szCs w:val="18"/>
                <w:lang w:eastAsia="hr-HR"/>
              </w:rPr>
              <w:t xml:space="preserve"> razvitak konstitucijskih elemenata slike Grada: povijesne jezgre, Medvednice i Save </w:t>
            </w:r>
          </w:p>
          <w:p w14:paraId="0493E52B" w14:textId="40EC8402" w:rsidR="00C17261" w:rsidRPr="00B42611" w:rsidRDefault="00C17261"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razv</w:t>
            </w:r>
            <w:r w:rsidR="004112EA">
              <w:rPr>
                <w:rFonts w:ascii="Calibri" w:eastAsia="Times New Roman" w:hAnsi="Calibri" w:cs="Calibri"/>
                <w:sz w:val="18"/>
                <w:szCs w:val="18"/>
                <w:lang w:eastAsia="hr-HR"/>
              </w:rPr>
              <w:t>iti</w:t>
            </w:r>
            <w:r w:rsidRPr="00B42611">
              <w:rPr>
                <w:rFonts w:ascii="Calibri" w:eastAsia="Times New Roman" w:hAnsi="Calibri" w:cs="Calibri"/>
                <w:sz w:val="18"/>
                <w:szCs w:val="18"/>
                <w:lang w:eastAsia="hr-HR"/>
              </w:rPr>
              <w:t xml:space="preserve"> jedinstven</w:t>
            </w:r>
            <w:r w:rsidR="004112EA">
              <w:rPr>
                <w:rFonts w:ascii="Calibri" w:eastAsia="Times New Roman" w:hAnsi="Calibri" w:cs="Calibri"/>
                <w:sz w:val="18"/>
                <w:szCs w:val="18"/>
                <w:lang w:eastAsia="hr-HR"/>
              </w:rPr>
              <w:t>i</w:t>
            </w:r>
            <w:r w:rsidRPr="00B42611">
              <w:rPr>
                <w:rFonts w:ascii="Calibri" w:eastAsia="Times New Roman" w:hAnsi="Calibri" w:cs="Calibri"/>
                <w:sz w:val="18"/>
                <w:szCs w:val="18"/>
                <w:lang w:eastAsia="hr-HR"/>
              </w:rPr>
              <w:t xml:space="preserve"> pristup</w:t>
            </w:r>
            <w:r w:rsidR="004112EA">
              <w:rPr>
                <w:rFonts w:ascii="Calibri" w:eastAsia="Times New Roman" w:hAnsi="Calibri" w:cs="Calibri"/>
                <w:sz w:val="18"/>
                <w:szCs w:val="18"/>
                <w:lang w:eastAsia="hr-HR"/>
              </w:rPr>
              <w:t xml:space="preserve"> u</w:t>
            </w:r>
            <w:r w:rsidRPr="00B42611">
              <w:rPr>
                <w:rFonts w:ascii="Calibri" w:eastAsia="Times New Roman" w:hAnsi="Calibri" w:cs="Calibri"/>
                <w:sz w:val="18"/>
                <w:szCs w:val="18"/>
                <w:lang w:eastAsia="hr-HR"/>
              </w:rPr>
              <w:t xml:space="preserve"> utvrđivanju i promicanju identiteta Grada Zagreba</w:t>
            </w:r>
          </w:p>
          <w:p w14:paraId="38CB59EB" w14:textId="4B29C916" w:rsidR="00C17261" w:rsidRPr="00B42611" w:rsidRDefault="00C17261"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afirmira</w:t>
            </w:r>
            <w:r w:rsidR="004112EA">
              <w:rPr>
                <w:rFonts w:ascii="Calibri" w:eastAsia="Times New Roman" w:hAnsi="Calibri" w:cs="Calibri"/>
                <w:sz w:val="18"/>
                <w:szCs w:val="18"/>
                <w:lang w:eastAsia="hr-HR"/>
              </w:rPr>
              <w:t>ti</w:t>
            </w:r>
            <w:r w:rsidRPr="00B42611">
              <w:rPr>
                <w:rFonts w:ascii="Calibri" w:eastAsia="Times New Roman" w:hAnsi="Calibri" w:cs="Calibri"/>
                <w:sz w:val="18"/>
                <w:szCs w:val="18"/>
                <w:lang w:eastAsia="hr-HR"/>
              </w:rPr>
              <w:t xml:space="preserve"> identitet povijesnih i planiranih urbanih cjelina na području Grada Zagreba</w:t>
            </w:r>
          </w:p>
          <w:p w14:paraId="6C456828" w14:textId="45B25E6C" w:rsidR="00C17261" w:rsidRPr="00B42611" w:rsidRDefault="00DF64BF" w:rsidP="00165C16">
            <w:pPr>
              <w:numPr>
                <w:ilvl w:val="0"/>
                <w:numId w:val="1"/>
              </w:numPr>
              <w:tabs>
                <w:tab w:val="num" w:pos="284"/>
              </w:tabs>
              <w:spacing w:before="60" w:after="60" w:line="240" w:lineRule="auto"/>
              <w:ind w:left="284" w:right="-2" w:hanging="284"/>
              <w:jc w:val="both"/>
              <w:rPr>
                <w:rFonts w:ascii="Calibri" w:eastAsia="Times New Roman" w:hAnsi="Calibri" w:cs="Calibri"/>
                <w:sz w:val="18"/>
                <w:szCs w:val="18"/>
                <w:lang w:eastAsia="hr-HR"/>
              </w:rPr>
            </w:pPr>
            <w:r w:rsidRPr="00DF64BF">
              <w:rPr>
                <w:sz w:val="18"/>
                <w:szCs w:val="18"/>
              </w:rPr>
              <w:t>v</w:t>
            </w:r>
            <w:r w:rsidRPr="00DF64BF">
              <w:rPr>
                <w:rFonts w:ascii="Calibri" w:eastAsia="Times New Roman" w:hAnsi="Calibri" w:cs="Calibri"/>
                <w:sz w:val="18"/>
                <w:szCs w:val="18"/>
                <w:lang w:eastAsia="hr-HR"/>
              </w:rPr>
              <w:t>alorizirati teren Velesajma s ciljem afirmiranja identiteta Grada</w:t>
            </w:r>
          </w:p>
        </w:tc>
      </w:tr>
    </w:tbl>
    <w:p w14:paraId="18386C6F" w14:textId="77777777" w:rsidR="00C17261" w:rsidRPr="00B42611" w:rsidRDefault="00C17261" w:rsidP="00C17261">
      <w:pPr>
        <w:tabs>
          <w:tab w:val="left" w:pos="-720"/>
        </w:tabs>
        <w:suppressAutoHyphens/>
        <w:spacing w:after="200" w:line="276" w:lineRule="auto"/>
        <w:ind w:right="-2"/>
        <w:jc w:val="both"/>
        <w:rPr>
          <w:rFonts w:ascii="Calibri" w:eastAsia="Calibri" w:hAnsi="Calibri" w:cs="Calibri"/>
          <w:b/>
        </w:rPr>
      </w:pPr>
    </w:p>
    <w:p w14:paraId="47A48FED" w14:textId="38E3FF59" w:rsidR="00C17261" w:rsidRPr="00B42611" w:rsidRDefault="00C17261" w:rsidP="00BA4CA0">
      <w:pPr>
        <w:pStyle w:val="Stil2"/>
      </w:pPr>
      <w:bookmarkStart w:id="14" w:name="_Toc97123780"/>
      <w:r w:rsidRPr="00B42611">
        <w:t xml:space="preserve">1.2. </w:t>
      </w:r>
      <w:r>
        <w:t>DEMOGRAFSKA OBILJEŽJA</w:t>
      </w:r>
      <w:bookmarkEnd w:id="14"/>
      <w:r>
        <w:t xml:space="preserve"> </w:t>
      </w:r>
    </w:p>
    <w:p w14:paraId="0147D840" w14:textId="56EA2E0E" w:rsidR="00BA4CA0" w:rsidRDefault="00C17261" w:rsidP="00DD5276">
      <w:pPr>
        <w:pStyle w:val="Stil2"/>
      </w:pPr>
      <w:bookmarkStart w:id="15" w:name="_Toc97123781"/>
      <w:r w:rsidRPr="00DD5276">
        <w:rPr>
          <w:rStyle w:val="Stil2Char"/>
          <w:b/>
          <w:bCs/>
        </w:rPr>
        <w:t>1.2.1. Broj stanovnika</w:t>
      </w:r>
      <w:bookmarkEnd w:id="15"/>
      <w:r w:rsidRPr="00DD5276">
        <w:t xml:space="preserve"> </w:t>
      </w:r>
    </w:p>
    <w:p w14:paraId="1F7CD0F6" w14:textId="5FCABE68" w:rsidR="00696143" w:rsidRDefault="00696143" w:rsidP="00696143">
      <w:pPr>
        <w:tabs>
          <w:tab w:val="left" w:pos="-720"/>
        </w:tabs>
        <w:suppressAutoHyphens/>
        <w:spacing w:after="200" w:line="240" w:lineRule="auto"/>
        <w:ind w:right="-2"/>
        <w:jc w:val="both"/>
        <w:rPr>
          <w:rFonts w:ascii="Calibri" w:eastAsia="Calibri" w:hAnsi="Calibri" w:cs="Calibri"/>
          <w:bCs/>
        </w:rPr>
      </w:pPr>
      <w:r w:rsidRPr="00B42611">
        <w:rPr>
          <w:rFonts w:ascii="Calibri" w:eastAsia="Calibri" w:hAnsi="Calibri" w:cs="Calibri"/>
          <w:bCs/>
        </w:rPr>
        <w:t>Od 1948. do 2011. broj stanovnika u Gradu Zagrebu se povećao sa 356</w:t>
      </w:r>
      <w:r>
        <w:rPr>
          <w:rFonts w:ascii="Calibri" w:eastAsia="Calibri" w:hAnsi="Calibri" w:cs="Calibri"/>
          <w:bCs/>
        </w:rPr>
        <w:t>.</w:t>
      </w:r>
      <w:r w:rsidRPr="00B42611">
        <w:rPr>
          <w:rFonts w:ascii="Calibri" w:eastAsia="Calibri" w:hAnsi="Calibri" w:cs="Calibri"/>
          <w:bCs/>
        </w:rPr>
        <w:t>000 na oko 790</w:t>
      </w:r>
      <w:r>
        <w:rPr>
          <w:rFonts w:ascii="Calibri" w:eastAsia="Calibri" w:hAnsi="Calibri" w:cs="Calibri"/>
          <w:bCs/>
        </w:rPr>
        <w:t>.</w:t>
      </w:r>
      <w:r w:rsidRPr="00B42611">
        <w:rPr>
          <w:rFonts w:ascii="Calibri" w:eastAsia="Calibri" w:hAnsi="Calibri" w:cs="Calibri"/>
          <w:bCs/>
        </w:rPr>
        <w:t>000. Procjenjuje se da je u Gradu Zagrebu 20</w:t>
      </w:r>
      <w:r>
        <w:rPr>
          <w:rFonts w:ascii="Calibri" w:eastAsia="Calibri" w:hAnsi="Calibri" w:cs="Calibri"/>
          <w:bCs/>
        </w:rPr>
        <w:t>20</w:t>
      </w:r>
      <w:r w:rsidRPr="00B42611">
        <w:rPr>
          <w:rFonts w:ascii="Calibri" w:eastAsia="Calibri" w:hAnsi="Calibri" w:cs="Calibri"/>
          <w:bCs/>
        </w:rPr>
        <w:t xml:space="preserve">. živjelo </w:t>
      </w:r>
      <w:r w:rsidRPr="00CB7DB8">
        <w:rPr>
          <w:rFonts w:ascii="Calibri" w:eastAsia="Calibri" w:hAnsi="Calibri" w:cs="Calibri"/>
          <w:bCs/>
        </w:rPr>
        <w:t xml:space="preserve">807.254 </w:t>
      </w:r>
      <w:r w:rsidRPr="00B42611">
        <w:rPr>
          <w:rFonts w:ascii="Calibri" w:eastAsia="Calibri" w:hAnsi="Calibri" w:cs="Calibri"/>
          <w:bCs/>
        </w:rPr>
        <w:t>stanovnika</w:t>
      </w:r>
      <w:r w:rsidR="00050A9A" w:rsidRPr="00B42611">
        <w:rPr>
          <w:rFonts w:ascii="Calibri" w:eastAsia="Calibri" w:hAnsi="Calibri" w:cs="Calibri"/>
          <w:bCs/>
        </w:rPr>
        <w:t>.</w:t>
      </w:r>
      <w:r w:rsidR="00050A9A">
        <w:rPr>
          <w:rFonts w:ascii="Calibri" w:eastAsia="Calibri" w:hAnsi="Calibri" w:cs="Calibri"/>
          <w:bCs/>
        </w:rPr>
        <w:t xml:space="preserve"> </w:t>
      </w:r>
      <w:r w:rsidRPr="00B42611">
        <w:rPr>
          <w:rFonts w:ascii="Calibri" w:eastAsia="Calibri" w:hAnsi="Calibri" w:cs="Calibri"/>
          <w:bCs/>
        </w:rPr>
        <w:t>.</w:t>
      </w:r>
      <w:r>
        <w:rPr>
          <w:rFonts w:ascii="Calibri" w:eastAsia="Calibri" w:hAnsi="Calibri" w:cs="Calibri"/>
          <w:bCs/>
        </w:rPr>
        <w:t xml:space="preserve"> </w:t>
      </w:r>
    </w:p>
    <w:p w14:paraId="66F65921" w14:textId="1E5434DD" w:rsidR="00696143" w:rsidRPr="00B42611" w:rsidRDefault="00696143" w:rsidP="00696143">
      <w:pPr>
        <w:tabs>
          <w:tab w:val="left" w:pos="-720"/>
        </w:tabs>
        <w:suppressAutoHyphens/>
        <w:spacing w:after="200" w:line="240" w:lineRule="auto"/>
        <w:ind w:right="-2"/>
        <w:jc w:val="both"/>
        <w:rPr>
          <w:rFonts w:ascii="Calibri" w:eastAsia="Calibri" w:hAnsi="Calibri" w:cs="Calibri"/>
          <w:bCs/>
        </w:rPr>
      </w:pPr>
      <w:r w:rsidRPr="00B42611">
        <w:rPr>
          <w:rFonts w:ascii="Calibri" w:eastAsia="Calibri" w:hAnsi="Calibri" w:cs="Calibri"/>
          <w:bCs/>
        </w:rPr>
        <w:t>U posljednjem međupopisnom razdoblju</w:t>
      </w:r>
      <w:r>
        <w:rPr>
          <w:rFonts w:ascii="Calibri" w:eastAsia="Calibri" w:hAnsi="Calibri" w:cs="Calibri"/>
          <w:bCs/>
        </w:rPr>
        <w:t xml:space="preserve"> </w:t>
      </w:r>
      <w:r w:rsidRPr="00B42611">
        <w:rPr>
          <w:rFonts w:ascii="Calibri" w:eastAsia="Calibri" w:hAnsi="Calibri" w:cs="Calibri"/>
          <w:bCs/>
        </w:rPr>
        <w:t>(2001. do 2011.) Zagreb bilježi nešto veći rast broja stanovnika (1,4% ili 10.872) nego 90-tih godina. Razlog je daljnje produblj</w:t>
      </w:r>
      <w:r>
        <w:rPr>
          <w:rFonts w:ascii="Calibri" w:eastAsia="Calibri" w:hAnsi="Calibri" w:cs="Calibri"/>
          <w:bCs/>
        </w:rPr>
        <w:t>i</w:t>
      </w:r>
      <w:r w:rsidRPr="00B42611">
        <w:rPr>
          <w:rFonts w:ascii="Calibri" w:eastAsia="Calibri" w:hAnsi="Calibri" w:cs="Calibri"/>
          <w:bCs/>
        </w:rPr>
        <w:t>vanje regionalnih razlika u razvoju Hrvatske u odnosu na Zagreb pa je i u uvjetima neravnomjernog razvoja Hrvatske</w:t>
      </w:r>
      <w:r>
        <w:rPr>
          <w:rFonts w:ascii="Calibri" w:eastAsia="Calibri" w:hAnsi="Calibri" w:cs="Calibri"/>
          <w:bCs/>
        </w:rPr>
        <w:t>,</w:t>
      </w:r>
      <w:r w:rsidRPr="00B42611">
        <w:rPr>
          <w:rFonts w:ascii="Calibri" w:eastAsia="Calibri" w:hAnsi="Calibri" w:cs="Calibri"/>
          <w:bCs/>
        </w:rPr>
        <w:t xml:space="preserve"> Zagreb još uvijek privlačan brojnim mlađim doseljenicima iz slabije razvijenih područja. </w:t>
      </w:r>
    </w:p>
    <w:p w14:paraId="70F5B955" w14:textId="56E403D0" w:rsidR="00696143" w:rsidRPr="00B64E93" w:rsidRDefault="00696143" w:rsidP="00B64E93">
      <w:pPr>
        <w:tabs>
          <w:tab w:val="left" w:pos="-720"/>
        </w:tabs>
        <w:suppressAutoHyphens/>
        <w:spacing w:after="200" w:line="240" w:lineRule="auto"/>
        <w:ind w:right="-2"/>
        <w:jc w:val="both"/>
        <w:rPr>
          <w:rFonts w:ascii="Calibri" w:eastAsia="Calibri" w:hAnsi="Calibri" w:cs="Calibri"/>
          <w:bCs/>
        </w:rPr>
      </w:pPr>
      <w:r w:rsidRPr="00B42611">
        <w:rPr>
          <w:rFonts w:ascii="Calibri" w:eastAsia="Calibri" w:hAnsi="Calibri" w:cs="Calibri"/>
          <w:bCs/>
        </w:rPr>
        <w:t>Dok je u Gradu Zagrebu još uvijek blago pozitivan saldo ukupne migracije</w:t>
      </w:r>
      <w:r>
        <w:rPr>
          <w:rFonts w:ascii="Calibri" w:eastAsia="Calibri" w:hAnsi="Calibri" w:cs="Calibri"/>
          <w:bCs/>
        </w:rPr>
        <w:t>,</w:t>
      </w:r>
      <w:r w:rsidRPr="00B42611">
        <w:rPr>
          <w:rFonts w:ascii="Calibri" w:eastAsia="Calibri" w:hAnsi="Calibri" w:cs="Calibri"/>
          <w:bCs/>
        </w:rPr>
        <w:t xml:space="preserve"> zadnjih godina primjećuje se priljev stanovništva iz drugih županija dok se u isto vrijeme događa odljev njegovih stanovnika u inozemstvo. Prema podacima</w:t>
      </w:r>
      <w:r w:rsidRPr="00B42611">
        <w:rPr>
          <w:rFonts w:ascii="Calibri" w:eastAsia="Calibri" w:hAnsi="Calibri" w:cs="Calibri"/>
          <w:bCs/>
          <w:vertAlign w:val="superscript"/>
        </w:rPr>
        <w:footnoteReference w:id="10"/>
      </w:r>
      <w:r w:rsidRPr="00B42611">
        <w:rPr>
          <w:rFonts w:ascii="Calibri" w:eastAsia="Calibri" w:hAnsi="Calibri" w:cs="Calibri"/>
          <w:bCs/>
        </w:rPr>
        <w:t xml:space="preserve"> saldo ukupne migracije u 201</w:t>
      </w:r>
      <w:r>
        <w:rPr>
          <w:rFonts w:ascii="Calibri" w:eastAsia="Calibri" w:hAnsi="Calibri" w:cs="Calibri"/>
          <w:bCs/>
        </w:rPr>
        <w:t>9</w:t>
      </w:r>
      <w:r w:rsidRPr="00B42611">
        <w:rPr>
          <w:rFonts w:ascii="Calibri" w:eastAsia="Calibri" w:hAnsi="Calibri" w:cs="Calibri"/>
          <w:bCs/>
        </w:rPr>
        <w:t xml:space="preserve">. u Gradu Zagrebu je pozitivan i iznosi  </w:t>
      </w:r>
      <w:r>
        <w:rPr>
          <w:rFonts w:ascii="Calibri" w:eastAsia="Calibri" w:hAnsi="Calibri" w:cs="Calibri"/>
          <w:bCs/>
        </w:rPr>
        <w:t>3.697</w:t>
      </w:r>
      <w:r w:rsidRPr="00B42611">
        <w:rPr>
          <w:rFonts w:ascii="Calibri" w:eastAsia="Calibri" w:hAnsi="Calibri" w:cs="Calibri"/>
          <w:bCs/>
        </w:rPr>
        <w:t>. U Grad Zagreb je 201</w:t>
      </w:r>
      <w:r>
        <w:rPr>
          <w:rFonts w:ascii="Calibri" w:eastAsia="Calibri" w:hAnsi="Calibri" w:cs="Calibri"/>
          <w:bCs/>
        </w:rPr>
        <w:t>9</w:t>
      </w:r>
      <w:r w:rsidRPr="00B42611">
        <w:rPr>
          <w:rFonts w:ascii="Calibri" w:eastAsia="Calibri" w:hAnsi="Calibri" w:cs="Calibri"/>
          <w:bCs/>
        </w:rPr>
        <w:t xml:space="preserve">. doselilo </w:t>
      </w:r>
      <w:r w:rsidRPr="00CB7DB8">
        <w:rPr>
          <w:rFonts w:ascii="Calibri" w:eastAsia="Calibri" w:hAnsi="Calibri" w:cs="Calibri"/>
          <w:bCs/>
        </w:rPr>
        <w:t>17</w:t>
      </w:r>
      <w:r>
        <w:rPr>
          <w:rFonts w:ascii="Calibri" w:eastAsia="Calibri" w:hAnsi="Calibri" w:cs="Calibri"/>
          <w:bCs/>
        </w:rPr>
        <w:t>.</w:t>
      </w:r>
      <w:r w:rsidRPr="00CB7DB8">
        <w:rPr>
          <w:rFonts w:ascii="Calibri" w:eastAsia="Calibri" w:hAnsi="Calibri" w:cs="Calibri"/>
          <w:bCs/>
        </w:rPr>
        <w:t>527</w:t>
      </w:r>
      <w:r>
        <w:rPr>
          <w:rFonts w:ascii="Calibri" w:eastAsia="Calibri" w:hAnsi="Calibri" w:cs="Calibri"/>
          <w:bCs/>
        </w:rPr>
        <w:t xml:space="preserve"> </w:t>
      </w:r>
      <w:r w:rsidRPr="00B42611">
        <w:rPr>
          <w:rFonts w:ascii="Calibri" w:eastAsia="Calibri" w:hAnsi="Calibri" w:cs="Calibri"/>
          <w:bCs/>
        </w:rPr>
        <w:t>osoba, od toga</w:t>
      </w:r>
      <w:r>
        <w:rPr>
          <w:rFonts w:ascii="Calibri" w:eastAsia="Calibri" w:hAnsi="Calibri" w:cs="Calibri"/>
          <w:bCs/>
        </w:rPr>
        <w:t xml:space="preserve"> </w:t>
      </w:r>
      <w:r w:rsidRPr="00CB7DB8">
        <w:rPr>
          <w:rFonts w:ascii="Calibri" w:eastAsia="Calibri" w:hAnsi="Calibri" w:cs="Calibri"/>
          <w:bCs/>
        </w:rPr>
        <w:t>9882</w:t>
      </w:r>
      <w:r w:rsidRPr="00B42611">
        <w:rPr>
          <w:rFonts w:ascii="Calibri" w:eastAsia="Calibri" w:hAnsi="Calibri" w:cs="Calibri"/>
          <w:bCs/>
        </w:rPr>
        <w:t xml:space="preserve">  iz drugih županija, a</w:t>
      </w:r>
      <w:r>
        <w:rPr>
          <w:rFonts w:ascii="Calibri" w:eastAsia="Calibri" w:hAnsi="Calibri" w:cs="Calibri"/>
          <w:bCs/>
        </w:rPr>
        <w:t xml:space="preserve"> </w:t>
      </w:r>
      <w:r w:rsidRPr="00CB7DB8">
        <w:rPr>
          <w:rFonts w:ascii="Calibri" w:eastAsia="Calibri" w:hAnsi="Calibri" w:cs="Calibri"/>
          <w:bCs/>
        </w:rPr>
        <w:t>7645</w:t>
      </w:r>
      <w:r w:rsidRPr="00B42611">
        <w:rPr>
          <w:rFonts w:ascii="Calibri" w:eastAsia="Calibri" w:hAnsi="Calibri" w:cs="Calibri"/>
          <w:bCs/>
        </w:rPr>
        <w:t xml:space="preserve">  iz inozemstva, a u isto vrijeme iselilo je </w:t>
      </w:r>
      <w:r w:rsidRPr="00CB7DB8">
        <w:rPr>
          <w:rFonts w:ascii="Calibri" w:eastAsia="Calibri" w:hAnsi="Calibri" w:cs="Calibri"/>
          <w:bCs/>
        </w:rPr>
        <w:t>13830</w:t>
      </w:r>
      <w:r>
        <w:rPr>
          <w:rFonts w:ascii="Calibri" w:eastAsia="Calibri" w:hAnsi="Calibri" w:cs="Calibri"/>
          <w:bCs/>
        </w:rPr>
        <w:t xml:space="preserve"> </w:t>
      </w:r>
      <w:r w:rsidRPr="00B42611">
        <w:rPr>
          <w:rFonts w:ascii="Calibri" w:eastAsia="Calibri" w:hAnsi="Calibri" w:cs="Calibri"/>
          <w:bCs/>
        </w:rPr>
        <w:t xml:space="preserve"> stanovnika, pri čemu </w:t>
      </w:r>
      <w:r w:rsidRPr="00CB7DB8">
        <w:rPr>
          <w:rFonts w:ascii="Calibri" w:eastAsia="Calibri" w:hAnsi="Calibri" w:cs="Calibri"/>
          <w:bCs/>
        </w:rPr>
        <w:t>6573</w:t>
      </w:r>
      <w:r>
        <w:rPr>
          <w:rFonts w:ascii="Calibri" w:eastAsia="Calibri" w:hAnsi="Calibri" w:cs="Calibri"/>
          <w:bCs/>
        </w:rPr>
        <w:t xml:space="preserve"> </w:t>
      </w:r>
      <w:r w:rsidRPr="00B42611">
        <w:rPr>
          <w:rFonts w:ascii="Calibri" w:eastAsia="Calibri" w:hAnsi="Calibri" w:cs="Calibri"/>
          <w:bCs/>
        </w:rPr>
        <w:t xml:space="preserve"> u druge županije, a </w:t>
      </w:r>
      <w:r w:rsidRPr="00CB7DB8">
        <w:rPr>
          <w:rFonts w:ascii="Calibri" w:eastAsia="Calibri" w:hAnsi="Calibri" w:cs="Calibri"/>
          <w:bCs/>
        </w:rPr>
        <w:t>7257</w:t>
      </w:r>
      <w:r>
        <w:rPr>
          <w:rFonts w:ascii="Calibri" w:eastAsia="Calibri" w:hAnsi="Calibri" w:cs="Calibri"/>
          <w:bCs/>
        </w:rPr>
        <w:t xml:space="preserve"> </w:t>
      </w:r>
      <w:r w:rsidRPr="00B42611">
        <w:rPr>
          <w:rFonts w:ascii="Calibri" w:eastAsia="Calibri" w:hAnsi="Calibri" w:cs="Calibri"/>
          <w:bCs/>
        </w:rPr>
        <w:t xml:space="preserve"> u inozemstvo. </w:t>
      </w:r>
    </w:p>
    <w:p w14:paraId="43CF6789" w14:textId="77777777" w:rsidR="00C17261" w:rsidRPr="00B42611" w:rsidRDefault="00C17261" w:rsidP="00C17261">
      <w:pPr>
        <w:tabs>
          <w:tab w:val="left" w:pos="-720"/>
        </w:tabs>
        <w:suppressAutoHyphens/>
        <w:spacing w:after="200" w:line="240" w:lineRule="auto"/>
        <w:ind w:right="-2"/>
        <w:jc w:val="both"/>
        <w:rPr>
          <w:rFonts w:ascii="Calibri" w:eastAsia="Calibri" w:hAnsi="Calibri" w:cs="Calibri"/>
          <w:bCs/>
        </w:rPr>
      </w:pPr>
      <w:r w:rsidRPr="00967852">
        <w:rPr>
          <w:rFonts w:ascii="Calibri" w:eastAsia="Calibri" w:hAnsi="Calibri" w:cs="Calibri"/>
          <w:bCs/>
        </w:rPr>
        <w:t>Na dan 3. 5. 2019. 86.274 stanovnika činile su osobe s invaliditetom (8,9%). Od ukupnog broja osoba s invaliditetom, 47% su žene (40.664) te se 51% (43.887) nalazi u dobnoj skupini 65+, a invaliditet se pojavljuje k</w:t>
      </w:r>
      <w:r>
        <w:rPr>
          <w:rFonts w:ascii="Calibri" w:eastAsia="Calibri" w:hAnsi="Calibri" w:cs="Calibri"/>
          <w:bCs/>
        </w:rPr>
        <w:t>od</w:t>
      </w:r>
      <w:r w:rsidRPr="00967852">
        <w:rPr>
          <w:rFonts w:ascii="Calibri" w:eastAsia="Calibri" w:hAnsi="Calibri" w:cs="Calibri"/>
          <w:bCs/>
        </w:rPr>
        <w:t xml:space="preserve"> 10% djece od 0-19 godina. U Gradu Zagrebu, u odnosu na ostatak Hrvatske, živi najveći </w:t>
      </w:r>
      <w:r w:rsidRPr="00967852">
        <w:rPr>
          <w:rFonts w:ascii="Calibri" w:eastAsia="Calibri" w:hAnsi="Calibri" w:cs="Calibri"/>
          <w:bCs/>
        </w:rPr>
        <w:lastRenderedPageBreak/>
        <w:t>broj djece s invaliditetom i većim teškoćama u razvoju, odnosno 7637 djece, što čini 23,8% ukupnog broja djece u Hrvatskoj, odnosno svako 19 dijete ima određene teškoće u razvoju ili invaliditet.</w:t>
      </w:r>
      <w:r w:rsidRPr="00967852">
        <w:rPr>
          <w:rFonts w:ascii="Calibri" w:eastAsia="Calibri" w:hAnsi="Calibri" w:cs="Calibri"/>
          <w:bCs/>
          <w:vertAlign w:val="superscript"/>
        </w:rPr>
        <w:footnoteReference w:id="11"/>
      </w:r>
    </w:p>
    <w:p w14:paraId="06C3C9D7" w14:textId="7F7B5C15" w:rsidR="00C17261" w:rsidRPr="00B42611" w:rsidRDefault="00B64E93" w:rsidP="00C17261">
      <w:pPr>
        <w:tabs>
          <w:tab w:val="left" w:pos="-720"/>
        </w:tabs>
        <w:suppressAutoHyphens/>
        <w:spacing w:after="200" w:line="240" w:lineRule="auto"/>
        <w:ind w:right="-2"/>
        <w:jc w:val="both"/>
        <w:rPr>
          <w:rFonts w:ascii="Calibri" w:eastAsia="Calibri" w:hAnsi="Calibri" w:cs="Calibri"/>
          <w:b/>
          <w:color w:val="000000"/>
        </w:rPr>
      </w:pPr>
      <w:r w:rsidRPr="00B42611">
        <w:rPr>
          <w:rFonts w:ascii="Calibri" w:eastAsia="Calibri" w:hAnsi="Calibri" w:cs="Calibri"/>
          <w:iCs/>
        </w:rPr>
        <w:t>Broj</w:t>
      </w:r>
      <w:r w:rsidR="00C17261" w:rsidRPr="00B42611">
        <w:rPr>
          <w:rFonts w:ascii="Calibri" w:eastAsia="Calibri" w:hAnsi="Calibri" w:cs="Calibri"/>
          <w:iCs/>
        </w:rPr>
        <w:t xml:space="preserve"> živorođenih u Gradu Zagrebu u 201</w:t>
      </w:r>
      <w:r w:rsidR="00C17261">
        <w:rPr>
          <w:rFonts w:ascii="Calibri" w:eastAsia="Calibri" w:hAnsi="Calibri" w:cs="Calibri"/>
          <w:iCs/>
        </w:rPr>
        <w:t>9</w:t>
      </w:r>
      <w:r w:rsidR="00C17261" w:rsidRPr="00B42611">
        <w:rPr>
          <w:rFonts w:ascii="Calibri" w:eastAsia="Calibri" w:hAnsi="Calibri" w:cs="Calibri"/>
          <w:iCs/>
        </w:rPr>
        <w:t>. iznosio je 8</w:t>
      </w:r>
      <w:r w:rsidR="00C17261">
        <w:rPr>
          <w:rFonts w:ascii="Calibri" w:eastAsia="Calibri" w:hAnsi="Calibri" w:cs="Calibri"/>
          <w:iCs/>
        </w:rPr>
        <w:t xml:space="preserve">062 </w:t>
      </w:r>
      <w:r w:rsidR="00C17261" w:rsidRPr="00B42611">
        <w:rPr>
          <w:rFonts w:ascii="Calibri" w:eastAsia="Calibri" w:hAnsi="Calibri" w:cs="Calibri"/>
          <w:iCs/>
        </w:rPr>
        <w:t xml:space="preserve">. </w:t>
      </w:r>
      <w:r w:rsidR="00C17261" w:rsidRPr="00B42611">
        <w:rPr>
          <w:rFonts w:ascii="Calibri" w:eastAsia="Times New Roman" w:hAnsi="Calibri" w:cs="Times New Roman"/>
        </w:rPr>
        <w:t>Tijekom 1</w:t>
      </w:r>
      <w:r w:rsidR="00C17261">
        <w:rPr>
          <w:rFonts w:ascii="Calibri" w:eastAsia="Times New Roman" w:hAnsi="Calibri" w:cs="Times New Roman"/>
        </w:rPr>
        <w:t>9</w:t>
      </w:r>
      <w:r w:rsidR="00C17261" w:rsidRPr="00B42611">
        <w:rPr>
          <w:rFonts w:ascii="Calibri" w:eastAsia="Times New Roman" w:hAnsi="Calibri" w:cs="Times New Roman"/>
        </w:rPr>
        <w:t>-godišnjeg razdoblja (2001.-201</w:t>
      </w:r>
      <w:r w:rsidR="00C17261">
        <w:rPr>
          <w:rFonts w:ascii="Calibri" w:eastAsia="Times New Roman" w:hAnsi="Calibri" w:cs="Times New Roman"/>
        </w:rPr>
        <w:t>9</w:t>
      </w:r>
      <w:r w:rsidR="00C17261" w:rsidRPr="00B42611">
        <w:rPr>
          <w:rFonts w:ascii="Calibri" w:eastAsia="Times New Roman" w:hAnsi="Calibri" w:cs="Times New Roman"/>
        </w:rPr>
        <w:t xml:space="preserve">.) smrtnost je bila veća tijekom </w:t>
      </w:r>
      <w:r w:rsidR="00C17261">
        <w:rPr>
          <w:rFonts w:ascii="Calibri" w:eastAsia="Times New Roman" w:hAnsi="Calibri" w:cs="Times New Roman"/>
        </w:rPr>
        <w:t>tri</w:t>
      </w:r>
      <w:r w:rsidR="00C17261" w:rsidRPr="00B42611">
        <w:rPr>
          <w:rFonts w:ascii="Calibri" w:eastAsia="Times New Roman" w:hAnsi="Calibri" w:cs="Times New Roman"/>
        </w:rPr>
        <w:t>naest, a rodnost tijekom šest godina. U ovom razdoblju Grad Zagreb imao je ukupni prirodni pad stanovništva od -</w:t>
      </w:r>
      <w:r w:rsidR="00C17261">
        <w:rPr>
          <w:rFonts w:ascii="Calibri" w:eastAsia="Times New Roman" w:hAnsi="Calibri" w:cs="Times New Roman"/>
        </w:rPr>
        <w:t>9187</w:t>
      </w:r>
      <w:r w:rsidR="00C17261" w:rsidRPr="00B42611">
        <w:rPr>
          <w:rFonts w:ascii="Calibri" w:eastAsia="Times New Roman" w:hAnsi="Calibri" w:cs="Times New Roman"/>
        </w:rPr>
        <w:t xml:space="preserve"> stanovnika.</w:t>
      </w:r>
      <w:r w:rsidR="00C17261" w:rsidRPr="00B42611">
        <w:rPr>
          <w:rFonts w:ascii="Calibri" w:eastAsia="Calibri" w:hAnsi="Calibri" w:cs="Calibri"/>
          <w:iCs/>
        </w:rPr>
        <w:t xml:space="preserve"> Zbog prirodnog pada stanovništva u razdoblju 2001.-201</w:t>
      </w:r>
      <w:r w:rsidR="00C17261">
        <w:rPr>
          <w:rFonts w:ascii="Calibri" w:eastAsia="Calibri" w:hAnsi="Calibri" w:cs="Calibri"/>
          <w:iCs/>
        </w:rPr>
        <w:t>9</w:t>
      </w:r>
      <w:r w:rsidR="00C17261" w:rsidRPr="00B42611">
        <w:rPr>
          <w:rFonts w:ascii="Calibri" w:eastAsia="Calibri" w:hAnsi="Calibri" w:cs="Calibri"/>
          <w:iCs/>
        </w:rPr>
        <w:t xml:space="preserve">., ukupan je porast stanovništva Zagreba u posljednjem međupopisnom razdoblju, kao i razdoblju nakon popisa  (2011. </w:t>
      </w:r>
      <w:r w:rsidR="00C17261">
        <w:rPr>
          <w:rFonts w:ascii="Calibri" w:eastAsia="Calibri" w:hAnsi="Calibri" w:cs="Calibri"/>
          <w:iCs/>
        </w:rPr>
        <w:t>–</w:t>
      </w:r>
      <w:r w:rsidR="00C17261" w:rsidRPr="00B42611">
        <w:rPr>
          <w:rFonts w:ascii="Calibri" w:eastAsia="Calibri" w:hAnsi="Calibri" w:cs="Calibri"/>
          <w:iCs/>
        </w:rPr>
        <w:t xml:space="preserve"> 201</w:t>
      </w:r>
      <w:r w:rsidR="00C17261">
        <w:rPr>
          <w:rFonts w:ascii="Calibri" w:eastAsia="Calibri" w:hAnsi="Calibri" w:cs="Calibri"/>
          <w:iCs/>
        </w:rPr>
        <w:t>9</w:t>
      </w:r>
      <w:r w:rsidR="00C17261" w:rsidRPr="00B42611">
        <w:rPr>
          <w:rFonts w:ascii="Calibri" w:eastAsia="Calibri" w:hAnsi="Calibri" w:cs="Calibri"/>
          <w:iCs/>
        </w:rPr>
        <w:t>.), ovisio o migracijskom priljevu stanovništva s trajnim doseljenjem.</w:t>
      </w:r>
      <w:r w:rsidR="00C17261" w:rsidRPr="00B42611">
        <w:rPr>
          <w:rFonts w:ascii="Calibri" w:eastAsia="Calibri" w:hAnsi="Calibri" w:cs="Calibri"/>
          <w:b/>
          <w:color w:val="000000"/>
        </w:rPr>
        <w:t xml:space="preserve"> </w:t>
      </w:r>
    </w:p>
    <w:p w14:paraId="2022F322" w14:textId="0336E45E" w:rsidR="00C17261" w:rsidRDefault="007960D5"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3</w:t>
      </w:r>
      <w:r w:rsidR="00751C19">
        <w:rPr>
          <w:noProof/>
        </w:rPr>
        <w:fldChar w:fldCharType="end"/>
      </w:r>
      <w:r>
        <w:t xml:space="preserve">. </w:t>
      </w:r>
      <w:r w:rsidRPr="002C668F">
        <w:t>Prirodno kretanje stanovništva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1559"/>
        <w:gridCol w:w="1559"/>
      </w:tblGrid>
      <w:tr w:rsidR="00C17261" w:rsidRPr="00B42611" w14:paraId="2C8367CF" w14:textId="77777777" w:rsidTr="00F50578">
        <w:tc>
          <w:tcPr>
            <w:tcW w:w="2518" w:type="dxa"/>
          </w:tcPr>
          <w:p w14:paraId="77D61167"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godina</w:t>
            </w:r>
          </w:p>
        </w:tc>
        <w:tc>
          <w:tcPr>
            <w:tcW w:w="1985" w:type="dxa"/>
          </w:tcPr>
          <w:p w14:paraId="6A668324"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Živorođeni</w:t>
            </w:r>
          </w:p>
        </w:tc>
        <w:tc>
          <w:tcPr>
            <w:tcW w:w="1559" w:type="dxa"/>
          </w:tcPr>
          <w:p w14:paraId="79C1FD7A"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Umrli</w:t>
            </w:r>
          </w:p>
        </w:tc>
        <w:tc>
          <w:tcPr>
            <w:tcW w:w="1559" w:type="dxa"/>
          </w:tcPr>
          <w:p w14:paraId="222625C3"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Prirodni prirast</w:t>
            </w:r>
          </w:p>
        </w:tc>
      </w:tr>
      <w:tr w:rsidR="00C17261" w:rsidRPr="00B42611" w14:paraId="217B6BE6" w14:textId="77777777" w:rsidTr="00F50578">
        <w:tc>
          <w:tcPr>
            <w:tcW w:w="2518" w:type="dxa"/>
          </w:tcPr>
          <w:p w14:paraId="48322BFE"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2010.</w:t>
            </w:r>
          </w:p>
        </w:tc>
        <w:tc>
          <w:tcPr>
            <w:tcW w:w="1985" w:type="dxa"/>
          </w:tcPr>
          <w:p w14:paraId="47CE872A"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8.792</w:t>
            </w:r>
          </w:p>
        </w:tc>
        <w:tc>
          <w:tcPr>
            <w:tcW w:w="1559" w:type="dxa"/>
          </w:tcPr>
          <w:p w14:paraId="59243291"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8.465</w:t>
            </w:r>
          </w:p>
        </w:tc>
        <w:tc>
          <w:tcPr>
            <w:tcW w:w="1559" w:type="dxa"/>
          </w:tcPr>
          <w:p w14:paraId="5CB4DC7C"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327</w:t>
            </w:r>
          </w:p>
        </w:tc>
      </w:tr>
      <w:tr w:rsidR="00C17261" w:rsidRPr="00B42611" w14:paraId="0F4520EC" w14:textId="77777777" w:rsidTr="00F50578">
        <w:tc>
          <w:tcPr>
            <w:tcW w:w="2518" w:type="dxa"/>
          </w:tcPr>
          <w:p w14:paraId="16E70AC8"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2011.</w:t>
            </w:r>
          </w:p>
        </w:tc>
        <w:tc>
          <w:tcPr>
            <w:tcW w:w="1985" w:type="dxa"/>
          </w:tcPr>
          <w:p w14:paraId="38956549"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8.411.</w:t>
            </w:r>
          </w:p>
        </w:tc>
        <w:tc>
          <w:tcPr>
            <w:tcW w:w="1559" w:type="dxa"/>
          </w:tcPr>
          <w:p w14:paraId="565B7810"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8.396</w:t>
            </w:r>
          </w:p>
        </w:tc>
        <w:tc>
          <w:tcPr>
            <w:tcW w:w="1559" w:type="dxa"/>
          </w:tcPr>
          <w:p w14:paraId="0E19CFCA"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15</w:t>
            </w:r>
          </w:p>
        </w:tc>
      </w:tr>
      <w:tr w:rsidR="00C17261" w:rsidRPr="00B42611" w14:paraId="2DD0F756" w14:textId="77777777" w:rsidTr="00F50578">
        <w:tc>
          <w:tcPr>
            <w:tcW w:w="2518" w:type="dxa"/>
          </w:tcPr>
          <w:p w14:paraId="6A0CBB79"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2012.</w:t>
            </w:r>
          </w:p>
        </w:tc>
        <w:tc>
          <w:tcPr>
            <w:tcW w:w="1985" w:type="dxa"/>
          </w:tcPr>
          <w:p w14:paraId="05810493"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8.394</w:t>
            </w:r>
          </w:p>
        </w:tc>
        <w:tc>
          <w:tcPr>
            <w:tcW w:w="1559" w:type="dxa"/>
          </w:tcPr>
          <w:p w14:paraId="4199394B"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8.329</w:t>
            </w:r>
          </w:p>
        </w:tc>
        <w:tc>
          <w:tcPr>
            <w:tcW w:w="1559" w:type="dxa"/>
          </w:tcPr>
          <w:p w14:paraId="2E37CD6F"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65</w:t>
            </w:r>
          </w:p>
        </w:tc>
      </w:tr>
      <w:tr w:rsidR="00C17261" w:rsidRPr="00B42611" w14:paraId="3BFB592D" w14:textId="77777777" w:rsidTr="00F50578">
        <w:tc>
          <w:tcPr>
            <w:tcW w:w="2518" w:type="dxa"/>
          </w:tcPr>
          <w:p w14:paraId="44AD7A2E"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2013.</w:t>
            </w:r>
          </w:p>
        </w:tc>
        <w:tc>
          <w:tcPr>
            <w:tcW w:w="1985" w:type="dxa"/>
          </w:tcPr>
          <w:p w14:paraId="4E350BAE"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8.254</w:t>
            </w:r>
          </w:p>
        </w:tc>
        <w:tc>
          <w:tcPr>
            <w:tcW w:w="1559" w:type="dxa"/>
          </w:tcPr>
          <w:p w14:paraId="640DEB4C"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8.360</w:t>
            </w:r>
          </w:p>
        </w:tc>
        <w:tc>
          <w:tcPr>
            <w:tcW w:w="1559" w:type="dxa"/>
          </w:tcPr>
          <w:p w14:paraId="0508C1B1"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-106</w:t>
            </w:r>
          </w:p>
        </w:tc>
      </w:tr>
      <w:tr w:rsidR="00C17261" w:rsidRPr="00B42611" w14:paraId="07CFCC3F" w14:textId="77777777" w:rsidTr="00F50578">
        <w:tc>
          <w:tcPr>
            <w:tcW w:w="2518" w:type="dxa"/>
          </w:tcPr>
          <w:p w14:paraId="3498DDD4"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2014.</w:t>
            </w:r>
          </w:p>
        </w:tc>
        <w:tc>
          <w:tcPr>
            <w:tcW w:w="1985" w:type="dxa"/>
          </w:tcPr>
          <w:p w14:paraId="6782D69E"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8.452</w:t>
            </w:r>
          </w:p>
        </w:tc>
        <w:tc>
          <w:tcPr>
            <w:tcW w:w="1559" w:type="dxa"/>
          </w:tcPr>
          <w:p w14:paraId="21706BFA"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8.359</w:t>
            </w:r>
          </w:p>
        </w:tc>
        <w:tc>
          <w:tcPr>
            <w:tcW w:w="1559" w:type="dxa"/>
          </w:tcPr>
          <w:p w14:paraId="70EB23F8"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93</w:t>
            </w:r>
          </w:p>
        </w:tc>
      </w:tr>
      <w:tr w:rsidR="00C17261" w:rsidRPr="00B42611" w14:paraId="44F07643" w14:textId="77777777" w:rsidTr="00F50578">
        <w:tc>
          <w:tcPr>
            <w:tcW w:w="2518" w:type="dxa"/>
          </w:tcPr>
          <w:p w14:paraId="49DB36C5"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2015.</w:t>
            </w:r>
          </w:p>
        </w:tc>
        <w:tc>
          <w:tcPr>
            <w:tcW w:w="1985" w:type="dxa"/>
          </w:tcPr>
          <w:p w14:paraId="79D11202"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8.039</w:t>
            </w:r>
          </w:p>
        </w:tc>
        <w:tc>
          <w:tcPr>
            <w:tcW w:w="1559" w:type="dxa"/>
          </w:tcPr>
          <w:p w14:paraId="64ACCCE3"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8.821</w:t>
            </w:r>
          </w:p>
        </w:tc>
        <w:tc>
          <w:tcPr>
            <w:tcW w:w="1559" w:type="dxa"/>
          </w:tcPr>
          <w:p w14:paraId="543D0B89"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-782</w:t>
            </w:r>
          </w:p>
        </w:tc>
      </w:tr>
      <w:tr w:rsidR="00C17261" w:rsidRPr="00B42611" w14:paraId="38517D64" w14:textId="77777777" w:rsidTr="00F50578">
        <w:tc>
          <w:tcPr>
            <w:tcW w:w="2518" w:type="dxa"/>
            <w:tcBorders>
              <w:top w:val="single" w:sz="4" w:space="0" w:color="auto"/>
              <w:left w:val="single" w:sz="4" w:space="0" w:color="auto"/>
              <w:bottom w:val="single" w:sz="4" w:space="0" w:color="auto"/>
              <w:right w:val="single" w:sz="4" w:space="0" w:color="auto"/>
            </w:tcBorders>
          </w:tcPr>
          <w:p w14:paraId="57F5CCF8"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2016.</w:t>
            </w:r>
          </w:p>
        </w:tc>
        <w:tc>
          <w:tcPr>
            <w:tcW w:w="1985" w:type="dxa"/>
            <w:tcBorders>
              <w:top w:val="single" w:sz="4" w:space="0" w:color="auto"/>
              <w:left w:val="single" w:sz="4" w:space="0" w:color="auto"/>
              <w:bottom w:val="single" w:sz="4" w:space="0" w:color="auto"/>
              <w:right w:val="single" w:sz="4" w:space="0" w:color="auto"/>
            </w:tcBorders>
          </w:tcPr>
          <w:p w14:paraId="0BC51DC3"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8120</w:t>
            </w:r>
          </w:p>
        </w:tc>
        <w:tc>
          <w:tcPr>
            <w:tcW w:w="1559" w:type="dxa"/>
            <w:tcBorders>
              <w:top w:val="single" w:sz="4" w:space="0" w:color="auto"/>
              <w:left w:val="single" w:sz="4" w:space="0" w:color="auto"/>
              <w:bottom w:val="single" w:sz="4" w:space="0" w:color="auto"/>
              <w:right w:val="single" w:sz="4" w:space="0" w:color="auto"/>
            </w:tcBorders>
          </w:tcPr>
          <w:p w14:paraId="24138940"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8.528</w:t>
            </w:r>
          </w:p>
        </w:tc>
        <w:tc>
          <w:tcPr>
            <w:tcW w:w="1559" w:type="dxa"/>
            <w:tcBorders>
              <w:top w:val="single" w:sz="4" w:space="0" w:color="auto"/>
              <w:left w:val="single" w:sz="4" w:space="0" w:color="auto"/>
              <w:bottom w:val="single" w:sz="4" w:space="0" w:color="auto"/>
              <w:right w:val="single" w:sz="4" w:space="0" w:color="auto"/>
            </w:tcBorders>
          </w:tcPr>
          <w:p w14:paraId="1C8513B3"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-408</w:t>
            </w:r>
          </w:p>
        </w:tc>
      </w:tr>
      <w:tr w:rsidR="00C17261" w:rsidRPr="00B42611" w14:paraId="70867998" w14:textId="77777777" w:rsidTr="00F50578">
        <w:tc>
          <w:tcPr>
            <w:tcW w:w="2518" w:type="dxa"/>
            <w:tcBorders>
              <w:top w:val="single" w:sz="4" w:space="0" w:color="auto"/>
              <w:left w:val="single" w:sz="4" w:space="0" w:color="auto"/>
              <w:bottom w:val="single" w:sz="4" w:space="0" w:color="auto"/>
              <w:right w:val="single" w:sz="4" w:space="0" w:color="auto"/>
            </w:tcBorders>
          </w:tcPr>
          <w:p w14:paraId="2944241F"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2017.</w:t>
            </w:r>
          </w:p>
        </w:tc>
        <w:tc>
          <w:tcPr>
            <w:tcW w:w="1985" w:type="dxa"/>
            <w:tcBorders>
              <w:top w:val="single" w:sz="4" w:space="0" w:color="auto"/>
              <w:left w:val="single" w:sz="4" w:space="0" w:color="auto"/>
              <w:bottom w:val="single" w:sz="4" w:space="0" w:color="auto"/>
              <w:right w:val="single" w:sz="4" w:space="0" w:color="auto"/>
            </w:tcBorders>
          </w:tcPr>
          <w:p w14:paraId="362A74FB"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8.076</w:t>
            </w:r>
          </w:p>
        </w:tc>
        <w:tc>
          <w:tcPr>
            <w:tcW w:w="1559" w:type="dxa"/>
            <w:tcBorders>
              <w:top w:val="single" w:sz="4" w:space="0" w:color="auto"/>
              <w:left w:val="single" w:sz="4" w:space="0" w:color="auto"/>
              <w:bottom w:val="single" w:sz="4" w:space="0" w:color="auto"/>
              <w:right w:val="single" w:sz="4" w:space="0" w:color="auto"/>
            </w:tcBorders>
          </w:tcPr>
          <w:p w14:paraId="15D6921C"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8.826</w:t>
            </w:r>
          </w:p>
        </w:tc>
        <w:tc>
          <w:tcPr>
            <w:tcW w:w="1559" w:type="dxa"/>
            <w:tcBorders>
              <w:top w:val="single" w:sz="4" w:space="0" w:color="auto"/>
              <w:left w:val="single" w:sz="4" w:space="0" w:color="auto"/>
              <w:bottom w:val="single" w:sz="4" w:space="0" w:color="auto"/>
              <w:right w:val="single" w:sz="4" w:space="0" w:color="auto"/>
            </w:tcBorders>
          </w:tcPr>
          <w:p w14:paraId="63AFF63D"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-750</w:t>
            </w:r>
          </w:p>
        </w:tc>
      </w:tr>
      <w:tr w:rsidR="00C17261" w:rsidRPr="00B42611" w14:paraId="64AB1724" w14:textId="77777777" w:rsidTr="00F50578">
        <w:tc>
          <w:tcPr>
            <w:tcW w:w="2518" w:type="dxa"/>
            <w:tcBorders>
              <w:top w:val="single" w:sz="4" w:space="0" w:color="auto"/>
              <w:left w:val="single" w:sz="4" w:space="0" w:color="auto"/>
              <w:bottom w:val="single" w:sz="4" w:space="0" w:color="auto"/>
              <w:right w:val="single" w:sz="4" w:space="0" w:color="auto"/>
            </w:tcBorders>
          </w:tcPr>
          <w:p w14:paraId="71F3AA96"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2018.</w:t>
            </w:r>
          </w:p>
        </w:tc>
        <w:tc>
          <w:tcPr>
            <w:tcW w:w="1985" w:type="dxa"/>
            <w:tcBorders>
              <w:top w:val="single" w:sz="4" w:space="0" w:color="auto"/>
              <w:left w:val="single" w:sz="4" w:space="0" w:color="auto"/>
              <w:bottom w:val="single" w:sz="4" w:space="0" w:color="auto"/>
              <w:right w:val="single" w:sz="4" w:space="0" w:color="auto"/>
            </w:tcBorders>
          </w:tcPr>
          <w:p w14:paraId="2BE42BC3"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8.235</w:t>
            </w:r>
          </w:p>
        </w:tc>
        <w:tc>
          <w:tcPr>
            <w:tcW w:w="1559" w:type="dxa"/>
            <w:tcBorders>
              <w:top w:val="single" w:sz="4" w:space="0" w:color="auto"/>
              <w:left w:val="single" w:sz="4" w:space="0" w:color="auto"/>
              <w:bottom w:val="single" w:sz="4" w:space="0" w:color="auto"/>
              <w:right w:val="single" w:sz="4" w:space="0" w:color="auto"/>
            </w:tcBorders>
          </w:tcPr>
          <w:p w14:paraId="6B6FA7A3"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9.036</w:t>
            </w:r>
          </w:p>
        </w:tc>
        <w:tc>
          <w:tcPr>
            <w:tcW w:w="1559" w:type="dxa"/>
            <w:tcBorders>
              <w:top w:val="single" w:sz="4" w:space="0" w:color="auto"/>
              <w:left w:val="single" w:sz="4" w:space="0" w:color="auto"/>
              <w:bottom w:val="single" w:sz="4" w:space="0" w:color="auto"/>
              <w:right w:val="single" w:sz="4" w:space="0" w:color="auto"/>
            </w:tcBorders>
          </w:tcPr>
          <w:p w14:paraId="357F0337"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sidRPr="00B42611">
              <w:rPr>
                <w:rFonts w:ascii="Calibri" w:eastAsia="Times New Roman" w:hAnsi="Calibri" w:cs="Calibri"/>
                <w:sz w:val="20"/>
                <w:szCs w:val="20"/>
              </w:rPr>
              <w:t>-801</w:t>
            </w:r>
          </w:p>
        </w:tc>
      </w:tr>
      <w:tr w:rsidR="00C17261" w:rsidRPr="00B42611" w14:paraId="0CB9EEFD" w14:textId="77777777" w:rsidTr="00F50578">
        <w:tc>
          <w:tcPr>
            <w:tcW w:w="2518" w:type="dxa"/>
            <w:tcBorders>
              <w:top w:val="single" w:sz="4" w:space="0" w:color="auto"/>
              <w:left w:val="single" w:sz="4" w:space="0" w:color="auto"/>
              <w:bottom w:val="single" w:sz="4" w:space="0" w:color="auto"/>
              <w:right w:val="single" w:sz="4" w:space="0" w:color="auto"/>
            </w:tcBorders>
          </w:tcPr>
          <w:p w14:paraId="12A3A8D5"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Pr>
                <w:rFonts w:ascii="Calibri" w:eastAsia="Times New Roman" w:hAnsi="Calibri" w:cs="Calibri"/>
                <w:sz w:val="20"/>
                <w:szCs w:val="20"/>
              </w:rPr>
              <w:t>2019.</w:t>
            </w:r>
          </w:p>
        </w:tc>
        <w:tc>
          <w:tcPr>
            <w:tcW w:w="1985" w:type="dxa"/>
            <w:tcBorders>
              <w:top w:val="single" w:sz="4" w:space="0" w:color="auto"/>
              <w:left w:val="single" w:sz="4" w:space="0" w:color="auto"/>
              <w:bottom w:val="single" w:sz="4" w:space="0" w:color="auto"/>
              <w:right w:val="single" w:sz="4" w:space="0" w:color="auto"/>
            </w:tcBorders>
          </w:tcPr>
          <w:p w14:paraId="2B90A44F"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Pr>
                <w:rFonts w:ascii="Calibri" w:eastAsia="Times New Roman" w:hAnsi="Calibri" w:cs="Calibri"/>
                <w:sz w:val="20"/>
                <w:szCs w:val="20"/>
              </w:rPr>
              <w:t>8.062</w:t>
            </w:r>
          </w:p>
        </w:tc>
        <w:tc>
          <w:tcPr>
            <w:tcW w:w="1559" w:type="dxa"/>
            <w:tcBorders>
              <w:top w:val="single" w:sz="4" w:space="0" w:color="auto"/>
              <w:left w:val="single" w:sz="4" w:space="0" w:color="auto"/>
              <w:bottom w:val="single" w:sz="4" w:space="0" w:color="auto"/>
              <w:right w:val="single" w:sz="4" w:space="0" w:color="auto"/>
            </w:tcBorders>
          </w:tcPr>
          <w:p w14:paraId="66FC35A0"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Pr>
                <w:rFonts w:ascii="Calibri" w:eastAsia="Times New Roman" w:hAnsi="Calibri" w:cs="Calibri"/>
                <w:sz w:val="20"/>
                <w:szCs w:val="20"/>
              </w:rPr>
              <w:t>8865</w:t>
            </w:r>
          </w:p>
        </w:tc>
        <w:tc>
          <w:tcPr>
            <w:tcW w:w="1559" w:type="dxa"/>
            <w:tcBorders>
              <w:top w:val="single" w:sz="4" w:space="0" w:color="auto"/>
              <w:left w:val="single" w:sz="4" w:space="0" w:color="auto"/>
              <w:bottom w:val="single" w:sz="4" w:space="0" w:color="auto"/>
              <w:right w:val="single" w:sz="4" w:space="0" w:color="auto"/>
            </w:tcBorders>
          </w:tcPr>
          <w:p w14:paraId="74A22D8A" w14:textId="77777777" w:rsidR="00C17261" w:rsidRPr="00B42611" w:rsidRDefault="00C17261" w:rsidP="00F50578">
            <w:pPr>
              <w:tabs>
                <w:tab w:val="left" w:pos="-720"/>
              </w:tabs>
              <w:suppressAutoHyphens/>
              <w:spacing w:after="200" w:line="240" w:lineRule="auto"/>
              <w:ind w:right="-2"/>
              <w:jc w:val="both"/>
              <w:rPr>
                <w:rFonts w:ascii="Calibri" w:eastAsia="Times New Roman" w:hAnsi="Calibri" w:cs="Calibri"/>
                <w:sz w:val="20"/>
                <w:szCs w:val="20"/>
              </w:rPr>
            </w:pPr>
            <w:r>
              <w:rPr>
                <w:rFonts w:ascii="Calibri" w:eastAsia="Times New Roman" w:hAnsi="Calibri" w:cs="Calibri"/>
                <w:sz w:val="20"/>
                <w:szCs w:val="20"/>
              </w:rPr>
              <w:t>-803</w:t>
            </w:r>
          </w:p>
        </w:tc>
      </w:tr>
    </w:tbl>
    <w:p w14:paraId="54120A18" w14:textId="77777777" w:rsidR="00C17261" w:rsidRPr="00F11C8D" w:rsidRDefault="00C17261" w:rsidP="00C17261">
      <w:pPr>
        <w:tabs>
          <w:tab w:val="left" w:pos="-720"/>
        </w:tabs>
        <w:suppressAutoHyphens/>
        <w:spacing w:after="200" w:line="240" w:lineRule="auto"/>
        <w:ind w:right="-2"/>
        <w:jc w:val="both"/>
        <w:rPr>
          <w:rFonts w:ascii="Calibri" w:eastAsia="Calibri" w:hAnsi="Calibri" w:cs="Calibri"/>
          <w:b/>
          <w:sz w:val="20"/>
          <w:szCs w:val="20"/>
        </w:rPr>
      </w:pPr>
      <w:r w:rsidRPr="00B42611">
        <w:rPr>
          <w:rFonts w:ascii="Calibri" w:eastAsia="Calibri" w:hAnsi="Calibri" w:cs="Calibri"/>
          <w:iCs/>
          <w:sz w:val="20"/>
          <w:szCs w:val="20"/>
        </w:rPr>
        <w:t>Izvor: Statistički ljetopis Grada Zagreba 20</w:t>
      </w:r>
      <w:r>
        <w:rPr>
          <w:rFonts w:ascii="Calibri" w:eastAsia="Calibri" w:hAnsi="Calibri" w:cs="Calibri"/>
          <w:iCs/>
          <w:sz w:val="20"/>
          <w:szCs w:val="20"/>
        </w:rPr>
        <w:t>20</w:t>
      </w:r>
      <w:r w:rsidRPr="00B42611">
        <w:rPr>
          <w:rFonts w:ascii="Calibri" w:eastAsia="Calibri" w:hAnsi="Calibri" w:cs="Calibri"/>
          <w:iCs/>
          <w:sz w:val="20"/>
          <w:szCs w:val="20"/>
        </w:rPr>
        <w:t xml:space="preserve">, </w:t>
      </w:r>
      <w:r>
        <w:rPr>
          <w:rFonts w:ascii="Calibri" w:eastAsia="Calibri" w:hAnsi="Calibri" w:cs="Calibri"/>
          <w:iCs/>
          <w:sz w:val="20"/>
          <w:szCs w:val="20"/>
        </w:rPr>
        <w:t>str. 80</w:t>
      </w:r>
    </w:p>
    <w:p w14:paraId="6BFB87C7" w14:textId="5E052FA9" w:rsidR="00BA4CA0" w:rsidRPr="002137CD" w:rsidRDefault="00F50B42" w:rsidP="00DD5276">
      <w:pPr>
        <w:pStyle w:val="Stil2"/>
      </w:pPr>
      <w:bookmarkStart w:id="16" w:name="_Toc97123782"/>
      <w:r w:rsidRPr="002137CD">
        <w:t>1.2</w:t>
      </w:r>
      <w:r w:rsidRPr="00F50B42">
        <w:t>.2. Dobna struktura</w:t>
      </w:r>
      <w:bookmarkEnd w:id="16"/>
    </w:p>
    <w:p w14:paraId="55CA84DF" w14:textId="6B83EC47" w:rsidR="00F50B42" w:rsidRPr="005D5388" w:rsidRDefault="00050A9A" w:rsidP="00F50B42">
      <w:pPr>
        <w:tabs>
          <w:tab w:val="left" w:pos="-720"/>
        </w:tabs>
        <w:suppressAutoHyphens/>
        <w:spacing w:after="200" w:line="240" w:lineRule="auto"/>
        <w:ind w:right="-2"/>
        <w:jc w:val="both"/>
        <w:rPr>
          <w:rFonts w:ascii="Calibri" w:eastAsia="Calibri" w:hAnsi="Calibri" w:cs="Calibri"/>
          <w:iCs/>
        </w:rPr>
      </w:pPr>
      <w:r w:rsidRPr="00B42611">
        <w:rPr>
          <w:rFonts w:ascii="Calibri" w:eastAsia="Calibri" w:hAnsi="Calibri" w:cs="Calibri"/>
          <w:iCs/>
        </w:rPr>
        <w:t>Podaci</w:t>
      </w:r>
      <w:r>
        <w:rPr>
          <w:rFonts w:ascii="Calibri" w:eastAsia="Calibri" w:hAnsi="Calibri" w:cs="Calibri"/>
          <w:iCs/>
        </w:rPr>
        <w:t xml:space="preserve"> </w:t>
      </w:r>
      <w:r w:rsidRPr="00B42611">
        <w:rPr>
          <w:rFonts w:ascii="Calibri" w:eastAsia="Calibri" w:hAnsi="Calibri" w:cs="Calibri"/>
          <w:iCs/>
        </w:rPr>
        <w:t xml:space="preserve">Popisa stanovništva 2011. </w:t>
      </w:r>
      <w:r w:rsidR="00F50B42" w:rsidRPr="00B42611">
        <w:rPr>
          <w:rFonts w:ascii="Calibri" w:eastAsia="Calibri" w:hAnsi="Calibri" w:cs="Calibri"/>
          <w:iCs/>
        </w:rPr>
        <w:t>Podaci</w:t>
      </w:r>
      <w:r w:rsidR="00F50B42">
        <w:rPr>
          <w:rFonts w:ascii="Calibri" w:eastAsia="Calibri" w:hAnsi="Calibri" w:cs="Calibri"/>
          <w:iCs/>
        </w:rPr>
        <w:t xml:space="preserve"> </w:t>
      </w:r>
      <w:r w:rsidR="00F50B42" w:rsidRPr="00B42611">
        <w:rPr>
          <w:rFonts w:ascii="Calibri" w:eastAsia="Calibri" w:hAnsi="Calibri" w:cs="Calibri"/>
          <w:iCs/>
        </w:rPr>
        <w:t xml:space="preserve">Popisa stanovništva 2011. pokazuju nastavak ranijih trendova ubrzanja procesa starenja stanovništva u Zagrebu, kao i u Hrvatskoj. Stanovništvo Zagreba znatno je starije nego 2001. </w:t>
      </w:r>
      <w:r w:rsidR="00F50B42">
        <w:rPr>
          <w:rFonts w:ascii="Calibri" w:eastAsia="Calibri" w:hAnsi="Calibri" w:cs="Calibri"/>
          <w:iCs/>
        </w:rPr>
        <w:t>U</w:t>
      </w:r>
      <w:r w:rsidR="00F50B42" w:rsidRPr="00B42611">
        <w:rPr>
          <w:rFonts w:ascii="Calibri" w:eastAsia="Calibri" w:hAnsi="Calibri" w:cs="Calibri"/>
          <w:iCs/>
        </w:rPr>
        <w:t xml:space="preserve">dio stanovništva starog 65 i više godina porastao </w:t>
      </w:r>
      <w:r w:rsidR="00F50B42">
        <w:rPr>
          <w:rFonts w:ascii="Calibri" w:eastAsia="Calibri" w:hAnsi="Calibri" w:cs="Calibri"/>
          <w:iCs/>
        </w:rPr>
        <w:t xml:space="preserve">je </w:t>
      </w:r>
      <w:r w:rsidR="00F50B42" w:rsidRPr="00B42611">
        <w:rPr>
          <w:rFonts w:ascii="Calibri" w:eastAsia="Calibri" w:hAnsi="Calibri" w:cs="Calibri"/>
          <w:iCs/>
        </w:rPr>
        <w:t>sa 14,9% 2001. na 17,3% 2011., a prosječna starost iznosi 41,6 godina, što je približno prosječnoj starosti hrvatskog stanovništva. Zabrinjavajuće je što Zagreb bilježi vidljivo smanjivanje udjela mlađe populacije, uz porast udjela starije. Ukoliko taj trend bude u narednom razdoblju dodatno ubrzan pojačanim procesom iseljavanja mladih u inozemstvo, zbog otežanog zapošljavanja, Zagreb bi trebao poduzimati specijalne mjere gospodarsko-populacijske politike ko</w:t>
      </w:r>
      <w:r w:rsidR="00F50B42">
        <w:rPr>
          <w:rFonts w:ascii="Calibri" w:eastAsia="Calibri" w:hAnsi="Calibri" w:cs="Calibri"/>
          <w:iCs/>
        </w:rPr>
        <w:t>je</w:t>
      </w:r>
      <w:r w:rsidR="00F50B42" w:rsidRPr="00B42611">
        <w:rPr>
          <w:rFonts w:ascii="Calibri" w:eastAsia="Calibri" w:hAnsi="Calibri" w:cs="Calibri"/>
          <w:iCs/>
        </w:rPr>
        <w:t xml:space="preserve"> se svojim pozitivnim primjerom za zaustavljanje iseljavanja mladih mogu razlikovati od nacionalnih. Ujedno i zbog niskog nataliteta smanjio se broj i udjel mladog stanovništva dobnih skupina 0-14 godina na svega 14,7%. Središnje gradsko područje ima starije stanovništvo, a širi prostor naselja Zagreb i sesvetsko područje imaju znatno mlađe stanovništvo</w:t>
      </w:r>
      <w:r w:rsidR="00F50B42">
        <w:rPr>
          <w:rFonts w:ascii="Calibri" w:eastAsia="Calibri" w:hAnsi="Calibri" w:cs="Calibri"/>
          <w:iCs/>
        </w:rPr>
        <w:t xml:space="preserve">, </w:t>
      </w:r>
      <w:r w:rsidR="00F50B42" w:rsidRPr="00B42611">
        <w:rPr>
          <w:rFonts w:ascii="Calibri" w:eastAsia="Calibri" w:hAnsi="Calibri" w:cs="Calibri"/>
          <w:iCs/>
        </w:rPr>
        <w:t>uglavnom zbog doseljavanja novog stanovništva</w:t>
      </w:r>
      <w:r w:rsidR="00F50B42">
        <w:rPr>
          <w:rFonts w:ascii="Calibri" w:eastAsia="Calibri" w:hAnsi="Calibri" w:cs="Calibri"/>
          <w:iCs/>
        </w:rPr>
        <w:t xml:space="preserve"> </w:t>
      </w:r>
      <w:r w:rsidR="00F50B42" w:rsidRPr="00B42611">
        <w:rPr>
          <w:rFonts w:ascii="Calibri" w:eastAsia="Calibri" w:hAnsi="Calibri" w:cs="Calibri"/>
          <w:iCs/>
        </w:rPr>
        <w:t>u ta područja.</w:t>
      </w:r>
      <w:r w:rsidR="00F50B42" w:rsidRPr="00B42611">
        <w:rPr>
          <w:rFonts w:ascii="Calibri" w:eastAsia="Calibri" w:hAnsi="Calibri" w:cs="Calibri"/>
          <w:b/>
          <w:bCs/>
          <w:i/>
          <w:color w:val="000000"/>
          <w:sz w:val="20"/>
          <w:szCs w:val="20"/>
        </w:rPr>
        <w:t xml:space="preserve"> </w:t>
      </w:r>
    </w:p>
    <w:p w14:paraId="34589155" w14:textId="77777777" w:rsidR="00F50B42" w:rsidRDefault="00F50B42" w:rsidP="00F50B42">
      <w:pPr>
        <w:pStyle w:val="Stil2"/>
      </w:pPr>
      <w:bookmarkStart w:id="17" w:name="_Toc97123783"/>
      <w:r w:rsidRPr="00F50B42">
        <w:t>1.2.3. Obrazovna struktura</w:t>
      </w:r>
      <w:bookmarkEnd w:id="17"/>
    </w:p>
    <w:p w14:paraId="2C17922A" w14:textId="263AAF01" w:rsidR="00C17261" w:rsidRPr="00B42611" w:rsidRDefault="00C17261" w:rsidP="00F50B42">
      <w:pPr>
        <w:tabs>
          <w:tab w:val="left" w:pos="-720"/>
        </w:tabs>
        <w:suppressAutoHyphens/>
        <w:spacing w:after="0" w:line="240" w:lineRule="auto"/>
        <w:ind w:right="-2"/>
        <w:jc w:val="both"/>
        <w:rPr>
          <w:rFonts w:ascii="Calibri" w:eastAsia="Times New Roman" w:hAnsi="Calibri" w:cs="Calibri"/>
          <w:bCs/>
          <w:lang w:eastAsia="hr-HR"/>
        </w:rPr>
      </w:pPr>
      <w:r w:rsidRPr="00B42611">
        <w:rPr>
          <w:rFonts w:ascii="Calibri" w:eastAsia="Times New Roman" w:hAnsi="Calibri" w:cs="Calibri"/>
          <w:bCs/>
          <w:lang w:eastAsia="hr-HR"/>
        </w:rPr>
        <w:t xml:space="preserve">Prema Popisu stanovništva iz 2011. godine 4,9 % stanovništva starijeg od 15 godina nije imalo obaveznu osnovnu školu, 13,6 % imalo je samo osnovno obrazovanje, dok je 52,3 % imalo srednjoškolsko obrazovanje a 29 % neki stupanj visokog obrazovanja. Evidentan je znatan porast visoko </w:t>
      </w:r>
      <w:r w:rsidRPr="00B42611">
        <w:rPr>
          <w:rFonts w:ascii="Calibri" w:eastAsia="Times New Roman" w:hAnsi="Calibri" w:cs="Calibri"/>
          <w:bCs/>
          <w:lang w:eastAsia="hr-HR"/>
        </w:rPr>
        <w:lastRenderedPageBreak/>
        <w:t>obrazovanih</w:t>
      </w:r>
      <w:r w:rsidR="00F50B42">
        <w:rPr>
          <w:rFonts w:ascii="Calibri" w:eastAsia="Times New Roman" w:hAnsi="Calibri" w:cs="Calibri"/>
          <w:bCs/>
          <w:lang w:eastAsia="hr-HR"/>
        </w:rPr>
        <w:t xml:space="preserve"> </w:t>
      </w:r>
      <w:r w:rsidRPr="00B42611">
        <w:rPr>
          <w:rFonts w:ascii="Calibri" w:eastAsia="Times New Roman" w:hAnsi="Calibri" w:cs="Calibri"/>
          <w:bCs/>
          <w:lang w:eastAsia="hr-HR"/>
        </w:rPr>
        <w:t xml:space="preserve">sa 22,4 % 2001. na spomenutih 29 % u 2011. godini. </w:t>
      </w:r>
      <w:r w:rsidRPr="00B42611">
        <w:rPr>
          <w:rFonts w:ascii="Calibri" w:eastAsia="Times New Roman" w:hAnsi="Calibri" w:cs="Calibri"/>
          <w:bCs/>
          <w:lang w:eastAsia="hr-HR"/>
        </w:rPr>
        <w:br/>
        <w:t xml:space="preserve">Udio osoba sa stručnim obrazovanjem (od SSS do visokog - specijalističkog i drugih stupnjeva visokog obrazovanja) u ukupno školovanom stanovništvu iznosi 81,3 % (nacionalni prosjek iznosio je 69 %). Ovaj pokazatelj je važan jer se radi o dijelu stanovništva koji najviše pridonosi razvoju na svim područjima. U razdoblju 2001.- 2011. radi se o vidljivom porastu razine obrazovanosti zagrebačkog stanovništva, ali još uvijek s dominacijom srednjoškolske razine. Posebno je značajna razlika u udjelu visokoobrazovanih, zajedno s magisterijem i doktoratom. Dok je Zagreb na 1.000 stanovnika 2011. imao 290 visokoobrazovanih (2001. je imao 140), na razini Hrvatske prosječno je tek 139 visokoobrazovanih na 1.000 stanovnika. Zagreb ima najveću koncentraciju visokoobrazovanih stručnih radnika i znanstvenika u Hrvatskoj, iako je taj udjel još uvijek niži u usporedbi s razvijenijim europskim zemljama i glavnim gradovima. Prema popisu stanovništva iz 2011., od ukupno 11.702 popisana doktora znanosti u Hrvatskoj, njih 6932 (59,2 %) živjelo je i radilo u Zagrebu. </w:t>
      </w:r>
    </w:p>
    <w:p w14:paraId="4F317021" w14:textId="77777777" w:rsidR="00BA4CA0" w:rsidRDefault="00C17261" w:rsidP="00BA4CA0">
      <w:pPr>
        <w:pStyle w:val="Stil2"/>
      </w:pPr>
      <w:bookmarkStart w:id="18" w:name="_Toc97123784"/>
      <w:r w:rsidRPr="00B42611">
        <w:t>1.2.4.</w:t>
      </w:r>
      <w:r>
        <w:t xml:space="preserve"> </w:t>
      </w:r>
      <w:r w:rsidRPr="00B42611">
        <w:t>Zaposlenost i nezaposlenost</w:t>
      </w:r>
      <w:bookmarkStart w:id="19" w:name="_Hlk36555571"/>
      <w:bookmarkEnd w:id="18"/>
    </w:p>
    <w:p w14:paraId="38DAA5C4" w14:textId="72CA1FC3" w:rsidR="00C17261" w:rsidRDefault="00440F78" w:rsidP="00124CC4">
      <w:pPr>
        <w:spacing w:line="240" w:lineRule="auto"/>
        <w:jc w:val="both"/>
        <w:rPr>
          <w:rFonts w:ascii="Calibri" w:eastAsia="Calibri" w:hAnsi="Calibri" w:cs="Times New Roman"/>
        </w:rPr>
      </w:pPr>
      <w:r>
        <w:t xml:space="preserve">Od ulaska Republike Hrvatske u Europsku uniju 2013.g. značajno su se popravili tržišni uvjeti te je borba protiv nezaposlenosti postala ključni izazov i za Europsku uniju i na lokalnoj razini. </w:t>
      </w:r>
      <w:r w:rsidR="00C17261" w:rsidRPr="009437DD">
        <w:rPr>
          <w:rFonts w:ascii="Calibri" w:eastAsia="Calibri" w:hAnsi="Calibri" w:cs="Times New Roman"/>
        </w:rPr>
        <w:t xml:space="preserve">Prema zadnjem dostupnom podatku Hrvatskog zavoda za zapošljavanje o registriranoj nezaposlenosti </w:t>
      </w:r>
      <w:r w:rsidR="00C17261">
        <w:rPr>
          <w:rFonts w:ascii="Calibri" w:eastAsia="Calibri" w:hAnsi="Calibri" w:cs="Times New Roman"/>
        </w:rPr>
        <w:t xml:space="preserve">na dan 28. veljače 2021. godine, </w:t>
      </w:r>
      <w:r w:rsidR="00C17261" w:rsidRPr="009437DD">
        <w:rPr>
          <w:rFonts w:ascii="Calibri" w:eastAsia="Calibri" w:hAnsi="Calibri" w:cs="Times New Roman"/>
        </w:rPr>
        <w:t xml:space="preserve">na području Grada Zagreba evidentirano je  </w:t>
      </w:r>
      <w:r w:rsidR="00C17261">
        <w:rPr>
          <w:rFonts w:ascii="Calibri" w:eastAsia="Calibri" w:hAnsi="Calibri" w:cs="Times New Roman"/>
        </w:rPr>
        <w:t xml:space="preserve">20.642 </w:t>
      </w:r>
      <w:r w:rsidR="00C17261" w:rsidRPr="009437DD">
        <w:rPr>
          <w:rFonts w:ascii="Calibri" w:eastAsia="Calibri" w:hAnsi="Calibri" w:cs="Times New Roman"/>
        </w:rPr>
        <w:t xml:space="preserve"> nezaposlen</w:t>
      </w:r>
      <w:r w:rsidR="00C17261">
        <w:rPr>
          <w:rFonts w:ascii="Calibri" w:eastAsia="Calibri" w:hAnsi="Calibri" w:cs="Times New Roman"/>
        </w:rPr>
        <w:t>e</w:t>
      </w:r>
      <w:r w:rsidR="00C17261" w:rsidRPr="009437DD">
        <w:rPr>
          <w:rFonts w:ascii="Calibri" w:eastAsia="Calibri" w:hAnsi="Calibri" w:cs="Times New Roman"/>
        </w:rPr>
        <w:t xml:space="preserve"> osob</w:t>
      </w:r>
      <w:r w:rsidR="00C17261">
        <w:rPr>
          <w:rFonts w:ascii="Calibri" w:eastAsia="Calibri" w:hAnsi="Calibri" w:cs="Times New Roman"/>
        </w:rPr>
        <w:t xml:space="preserve">e. Od tog broja 10.182 osobe su muškarci a 10.460 osoba su žene. Prema razini obrazovanja udio nezaposlenih osoba bez završene osnovne škole je 3,4%, osoba sa završenom osnovnom školom 12,3%, osoba sa završenom srednjom školom 53,8%, osoba sa završenim prvim stupnjem fakulteta, stručnim studijem i višom školom 11,2% te osoba sa završenim fakultetom, akademijom, magisterijem i doktoratom 19,3%. </w:t>
      </w:r>
      <w:r w:rsidR="00C17261" w:rsidRPr="009437DD">
        <w:rPr>
          <w:rFonts w:ascii="Calibri" w:eastAsia="Calibri" w:hAnsi="Calibri" w:cs="Times New Roman"/>
          <w:vertAlign w:val="superscript"/>
        </w:rPr>
        <w:footnoteReference w:id="12"/>
      </w:r>
      <w:r w:rsidR="00C17261" w:rsidRPr="009437DD">
        <w:rPr>
          <w:rFonts w:ascii="Calibri" w:eastAsia="Calibri" w:hAnsi="Calibri" w:cs="Times New Roman"/>
        </w:rPr>
        <w:t xml:space="preserve"> </w:t>
      </w:r>
      <w:r w:rsidR="00C17261">
        <w:rPr>
          <w:rFonts w:ascii="Calibri" w:eastAsia="Calibri" w:hAnsi="Calibri" w:cs="Times New Roman"/>
        </w:rPr>
        <w:t xml:space="preserve"> </w:t>
      </w:r>
      <w:r w:rsidR="00C17261" w:rsidRPr="0090445E">
        <w:rPr>
          <w:rFonts w:ascii="Calibri" w:eastAsia="Calibri" w:hAnsi="Calibri" w:cs="Times New Roman"/>
        </w:rPr>
        <w:t>Tijekom 2020. godine u Gradu Zagrebu evidentira</w:t>
      </w:r>
      <w:r w:rsidR="00C17261">
        <w:rPr>
          <w:rFonts w:ascii="Calibri" w:eastAsia="Calibri" w:hAnsi="Calibri" w:cs="Times New Roman"/>
        </w:rPr>
        <w:t>ne su 1.282 nezaposlene osobe s invaliditetom.</w:t>
      </w:r>
    </w:p>
    <w:p w14:paraId="69B949C2" w14:textId="3218C934" w:rsidR="00C17261" w:rsidRPr="00105B7A" w:rsidRDefault="00C17261" w:rsidP="00105B7A">
      <w:pPr>
        <w:spacing w:line="240" w:lineRule="auto"/>
        <w:jc w:val="both"/>
        <w:rPr>
          <w:rFonts w:ascii="Calibri" w:eastAsia="Calibri" w:hAnsi="Calibri" w:cs="Times New Roman"/>
        </w:rPr>
      </w:pPr>
      <w:r>
        <w:rPr>
          <w:rFonts w:ascii="Calibri" w:eastAsia="Calibri" w:hAnsi="Calibri" w:cs="Times New Roman"/>
        </w:rPr>
        <w:t>Prema evidenciji Hrvatskog zavoda za zapošljavanje, t</w:t>
      </w:r>
      <w:r w:rsidRPr="0090445E">
        <w:rPr>
          <w:rFonts w:ascii="Calibri" w:eastAsia="Calibri" w:hAnsi="Calibri" w:cs="Times New Roman"/>
        </w:rPr>
        <w:t xml:space="preserve">ijekom 2020. godine u Gradu Zagrebu </w:t>
      </w:r>
      <w:r>
        <w:rPr>
          <w:rFonts w:ascii="Calibri" w:eastAsia="Calibri" w:hAnsi="Calibri" w:cs="Times New Roman"/>
        </w:rPr>
        <w:t>zaposlene su 18.443. osobe. Od toga broja 8.212 osoba su muškarci a 10.231 osoba su žene</w:t>
      </w:r>
      <w:r>
        <w:rPr>
          <w:rStyle w:val="Referencafusnote"/>
          <w:rFonts w:ascii="Calibri" w:eastAsia="Calibri" w:hAnsi="Calibri" w:cs="Times New Roman"/>
        </w:rPr>
        <w:footnoteReference w:id="13"/>
      </w:r>
      <w:r>
        <w:rPr>
          <w:rFonts w:ascii="Calibri" w:eastAsia="Calibri" w:hAnsi="Calibri" w:cs="Times New Roman"/>
        </w:rPr>
        <w:t xml:space="preserve">. Također je </w:t>
      </w:r>
      <w:r w:rsidRPr="0090445E">
        <w:rPr>
          <w:rFonts w:ascii="Calibri" w:eastAsia="Calibri" w:hAnsi="Calibri" w:cs="Times New Roman"/>
        </w:rPr>
        <w:t>evidentirano 4</w:t>
      </w:r>
      <w:r>
        <w:rPr>
          <w:rFonts w:ascii="Calibri" w:eastAsia="Calibri" w:hAnsi="Calibri" w:cs="Times New Roman"/>
        </w:rPr>
        <w:t>28</w:t>
      </w:r>
      <w:r w:rsidRPr="0090445E">
        <w:rPr>
          <w:rFonts w:ascii="Calibri" w:eastAsia="Calibri" w:hAnsi="Calibri" w:cs="Times New Roman"/>
        </w:rPr>
        <w:t xml:space="preserve"> zaposlenih osoba s invaliditetom</w:t>
      </w:r>
      <w:r>
        <w:rPr>
          <w:rStyle w:val="Referencafusnote"/>
          <w:rFonts w:ascii="Calibri" w:eastAsia="Calibri" w:hAnsi="Calibri" w:cs="Times New Roman"/>
        </w:rPr>
        <w:footnoteReference w:id="14"/>
      </w:r>
      <w:r w:rsidRPr="0090445E">
        <w:rPr>
          <w:rFonts w:ascii="Calibri" w:eastAsia="Calibri" w:hAnsi="Calibri" w:cs="Times New Roman"/>
        </w:rPr>
        <w:t xml:space="preserve"> .</w:t>
      </w:r>
      <w:bookmarkEnd w:id="19"/>
    </w:p>
    <w:tbl>
      <w:tblPr>
        <w:tblW w:w="5000" w:type="pct"/>
        <w:shd w:val="clear" w:color="auto" w:fill="CCCCCC"/>
        <w:tblLook w:val="01E0" w:firstRow="1" w:lastRow="1" w:firstColumn="1" w:lastColumn="1" w:noHBand="0" w:noVBand="0"/>
      </w:tblPr>
      <w:tblGrid>
        <w:gridCol w:w="4536"/>
        <w:gridCol w:w="4536"/>
      </w:tblGrid>
      <w:tr w:rsidR="00C17261" w:rsidRPr="00B42611" w14:paraId="027E8912" w14:textId="77777777" w:rsidTr="00F50578">
        <w:tc>
          <w:tcPr>
            <w:tcW w:w="2500" w:type="pct"/>
            <w:shd w:val="clear" w:color="auto" w:fill="CCCCCC"/>
          </w:tcPr>
          <w:p w14:paraId="044F8F11"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RAZVOJNI PROBLEMI</w:t>
            </w:r>
          </w:p>
        </w:tc>
        <w:tc>
          <w:tcPr>
            <w:tcW w:w="2500" w:type="pct"/>
            <w:shd w:val="clear" w:color="auto" w:fill="99CCFF"/>
          </w:tcPr>
          <w:p w14:paraId="7B302EC1" w14:textId="77777777" w:rsidR="00C17261" w:rsidRPr="00B42611" w:rsidRDefault="00C17261" w:rsidP="00F50578">
            <w:pPr>
              <w:spacing w:before="60" w:after="60" w:line="240" w:lineRule="auto"/>
              <w:jc w:val="both"/>
              <w:rPr>
                <w:rFonts w:ascii="Calibri" w:eastAsia="Times New Roman" w:hAnsi="Calibri" w:cs="Calibri"/>
                <w:b/>
                <w:sz w:val="18"/>
                <w:szCs w:val="18"/>
                <w:lang w:eastAsia="hr-HR"/>
              </w:rPr>
            </w:pPr>
            <w:r w:rsidRPr="00B42611">
              <w:rPr>
                <w:rFonts w:ascii="Calibri" w:eastAsia="Times New Roman" w:hAnsi="Calibri" w:cs="Calibri"/>
                <w:b/>
                <w:sz w:val="18"/>
                <w:szCs w:val="18"/>
                <w:lang w:eastAsia="hr-HR"/>
              </w:rPr>
              <w:t>RAZVOJNE POTREBE</w:t>
            </w:r>
          </w:p>
        </w:tc>
      </w:tr>
      <w:tr w:rsidR="00C17261" w:rsidRPr="00B42611" w14:paraId="5DB1A89B" w14:textId="77777777" w:rsidTr="00F50578">
        <w:tc>
          <w:tcPr>
            <w:tcW w:w="2500" w:type="pct"/>
            <w:shd w:val="clear" w:color="auto" w:fill="CCCCCC"/>
          </w:tcPr>
          <w:p w14:paraId="4B5D1AD4"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nastavak proces</w:t>
            </w:r>
            <w:r>
              <w:rPr>
                <w:rFonts w:ascii="Calibri" w:eastAsia="Times New Roman" w:hAnsi="Calibri" w:cs="Calibri"/>
                <w:sz w:val="18"/>
                <w:szCs w:val="18"/>
                <w:lang w:eastAsia="hr-HR"/>
              </w:rPr>
              <w:t>a</w:t>
            </w:r>
            <w:r w:rsidRPr="00B42611">
              <w:rPr>
                <w:rFonts w:ascii="Calibri" w:eastAsia="Times New Roman" w:hAnsi="Calibri" w:cs="Calibri"/>
                <w:sz w:val="18"/>
                <w:szCs w:val="18"/>
                <w:lang w:eastAsia="hr-HR"/>
              </w:rPr>
              <w:t xml:space="preserve"> starenja stanovništva, posebno središnjeg gradskog naselja</w:t>
            </w:r>
          </w:p>
          <w:p w14:paraId="4DDB2610"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smanjivanje udjela mladih</w:t>
            </w:r>
          </w:p>
          <w:p w14:paraId="6B5005A2" w14:textId="77777777" w:rsidR="00C17261" w:rsidRPr="00B638AB"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prirodni pad stanovništva</w:t>
            </w:r>
          </w:p>
          <w:p w14:paraId="77F4FF2D" w14:textId="77777777"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daljnji pritisak na gradsku infrastrukturu i potražnju za radnim mjestima zbog imigracijskog priliva</w:t>
            </w:r>
          </w:p>
          <w:p w14:paraId="0CEE4DC6" w14:textId="77777777" w:rsidR="00C17261" w:rsidRPr="00857497"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znatne </w:t>
            </w:r>
            <w:r w:rsidRPr="00B42611">
              <w:rPr>
                <w:rFonts w:ascii="Calibri" w:eastAsia="Times New Roman" w:hAnsi="Calibri" w:cs="Calibri"/>
                <w:sz w:val="18"/>
                <w:szCs w:val="18"/>
                <w:lang w:eastAsia="hr-HR"/>
              </w:rPr>
              <w:t xml:space="preserve">razlike u gustoći naseljenosti na području Grada </w:t>
            </w:r>
          </w:p>
        </w:tc>
        <w:tc>
          <w:tcPr>
            <w:tcW w:w="2500" w:type="pct"/>
            <w:shd w:val="clear" w:color="auto" w:fill="99CCFF"/>
          </w:tcPr>
          <w:p w14:paraId="2D2A521D" w14:textId="2D7C94A3"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unapr</w:t>
            </w:r>
            <w:r w:rsidR="00816C7F">
              <w:rPr>
                <w:rFonts w:ascii="Calibri" w:eastAsia="Times New Roman" w:hAnsi="Calibri" w:cs="Calibri"/>
                <w:sz w:val="18"/>
                <w:szCs w:val="18"/>
                <w:lang w:eastAsia="hr-HR"/>
              </w:rPr>
              <w:t>ijediti</w:t>
            </w:r>
            <w:r w:rsidRPr="00B42611">
              <w:rPr>
                <w:rFonts w:ascii="Calibri" w:eastAsia="Times New Roman" w:hAnsi="Calibri" w:cs="Calibri"/>
                <w:sz w:val="18"/>
                <w:szCs w:val="18"/>
                <w:lang w:eastAsia="hr-HR"/>
              </w:rPr>
              <w:t xml:space="preserve"> poticajn</w:t>
            </w:r>
            <w:r w:rsidR="00816C7F">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mjer</w:t>
            </w:r>
            <w:r w:rsidR="00816C7F">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pronatalitetne i obiteljske politike (zapošljavanje mladih, poticaji za povoljnije rješavanje stambenih pitanja mladih obitelji, unap</w:t>
            </w:r>
            <w:r>
              <w:rPr>
                <w:rFonts w:ascii="Calibri" w:eastAsia="Times New Roman" w:hAnsi="Calibri" w:cs="Calibri"/>
                <w:sz w:val="18"/>
                <w:szCs w:val="18"/>
                <w:lang w:eastAsia="hr-HR"/>
              </w:rPr>
              <w:t>r</w:t>
            </w:r>
            <w:r w:rsidR="00816C7F">
              <w:rPr>
                <w:rFonts w:ascii="Calibri" w:eastAsia="Times New Roman" w:hAnsi="Calibri" w:cs="Calibri"/>
                <w:sz w:val="18"/>
                <w:szCs w:val="18"/>
                <w:lang w:eastAsia="hr-HR"/>
              </w:rPr>
              <w:t>j</w:t>
            </w:r>
            <w:r w:rsidRPr="00B42611">
              <w:rPr>
                <w:rFonts w:ascii="Calibri" w:eastAsia="Times New Roman" w:hAnsi="Calibri" w:cs="Calibri"/>
                <w:sz w:val="18"/>
                <w:szCs w:val="18"/>
                <w:lang w:eastAsia="hr-HR"/>
              </w:rPr>
              <w:t xml:space="preserve">eđenje sustava potpore obiteljima odnosno zaposlenim roditeljima i dr.) </w:t>
            </w:r>
          </w:p>
          <w:p w14:paraId="4B9CEA51" w14:textId="26BFDFC4" w:rsidR="00C17261" w:rsidRPr="00B42611" w:rsidRDefault="00C1726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t>poduzima</w:t>
            </w:r>
            <w:r w:rsidR="00816C7F">
              <w:rPr>
                <w:rFonts w:ascii="Calibri" w:eastAsia="Times New Roman" w:hAnsi="Calibri" w:cs="Calibri"/>
                <w:sz w:val="18"/>
                <w:szCs w:val="18"/>
                <w:lang w:eastAsia="hr-HR"/>
              </w:rPr>
              <w:t>ti</w:t>
            </w:r>
            <w:r w:rsidRPr="00B42611">
              <w:rPr>
                <w:rFonts w:ascii="Calibri" w:eastAsia="Times New Roman" w:hAnsi="Calibri" w:cs="Calibri"/>
                <w:sz w:val="18"/>
                <w:szCs w:val="18"/>
                <w:lang w:eastAsia="hr-HR"/>
              </w:rPr>
              <w:t xml:space="preserve"> indirektn</w:t>
            </w:r>
            <w:r w:rsidR="00816C7F">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mjer</w:t>
            </w:r>
            <w:r w:rsidR="00816C7F">
              <w:rPr>
                <w:rFonts w:ascii="Calibri" w:eastAsia="Times New Roman" w:hAnsi="Calibri" w:cs="Calibri"/>
                <w:sz w:val="18"/>
                <w:szCs w:val="18"/>
                <w:lang w:eastAsia="hr-HR"/>
              </w:rPr>
              <w:t>e</w:t>
            </w:r>
            <w:r w:rsidRPr="00B42611">
              <w:rPr>
                <w:rFonts w:ascii="Calibri" w:eastAsia="Times New Roman" w:hAnsi="Calibri" w:cs="Calibri"/>
                <w:sz w:val="18"/>
                <w:szCs w:val="18"/>
                <w:lang w:eastAsia="hr-HR"/>
              </w:rPr>
              <w:t xml:space="preserve"> za zaustavljanje iseljavanja mlade obrazovane populacije</w:t>
            </w:r>
          </w:p>
          <w:p w14:paraId="5DD5FFB6" w14:textId="3223C8D9" w:rsidR="00C17261" w:rsidRPr="00B42611" w:rsidRDefault="00C152A1"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 xml:space="preserve">razviti </w:t>
            </w:r>
            <w:r w:rsidR="00C17261" w:rsidRPr="00B42611">
              <w:rPr>
                <w:rFonts w:ascii="Calibri" w:eastAsia="Times New Roman" w:hAnsi="Calibri" w:cs="Calibri"/>
                <w:sz w:val="18"/>
                <w:szCs w:val="18"/>
                <w:lang w:eastAsia="hr-HR"/>
              </w:rPr>
              <w:t>gradski program za pomoć starijim zaposlenicima kao i starijim nezaposlenima kako bi očuvali i usavršili njihove vještine tako da mogu duže ostati na tržištu rad</w:t>
            </w:r>
            <w:r w:rsidR="00C17261">
              <w:rPr>
                <w:rFonts w:ascii="Calibri" w:eastAsia="Times New Roman" w:hAnsi="Calibri" w:cs="Calibri"/>
                <w:sz w:val="18"/>
                <w:szCs w:val="18"/>
                <w:lang w:eastAsia="hr-HR"/>
              </w:rPr>
              <w:t>a</w:t>
            </w:r>
          </w:p>
          <w:p w14:paraId="46AEF08A" w14:textId="77777777" w:rsidR="00C17261" w:rsidRDefault="00CF4474"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sidRPr="00B42611">
              <w:rPr>
                <w:rFonts w:ascii="Calibri" w:eastAsia="Times New Roman" w:hAnsi="Calibri" w:cs="Calibri"/>
                <w:sz w:val="18"/>
                <w:szCs w:val="18"/>
                <w:lang w:eastAsia="hr-HR"/>
              </w:rPr>
              <w:lastRenderedPageBreak/>
              <w:t>potreba razvoja programa za aktivno uključivanje starijih osoba (65+) u društvo</w:t>
            </w:r>
            <w:r>
              <w:rPr>
                <w:rFonts w:ascii="Calibri" w:eastAsia="Times New Roman" w:hAnsi="Calibri" w:cs="Calibri"/>
                <w:sz w:val="18"/>
                <w:szCs w:val="18"/>
                <w:lang w:eastAsia="hr-HR"/>
              </w:rPr>
              <w:t xml:space="preserve"> i u svijet rada</w:t>
            </w:r>
          </w:p>
          <w:p w14:paraId="75BFE499" w14:textId="44F1161F" w:rsidR="00CF4474" w:rsidRPr="00B42611" w:rsidRDefault="00CF4474" w:rsidP="00165C16">
            <w:pPr>
              <w:numPr>
                <w:ilvl w:val="0"/>
                <w:numId w:val="1"/>
              </w:numPr>
              <w:tabs>
                <w:tab w:val="num" w:pos="284"/>
              </w:tabs>
              <w:spacing w:before="60" w:after="60" w:line="240" w:lineRule="auto"/>
              <w:ind w:left="284" w:right="-2" w:hanging="284"/>
              <w:rPr>
                <w:rFonts w:ascii="Calibri" w:eastAsia="Times New Roman" w:hAnsi="Calibri" w:cs="Calibri"/>
                <w:sz w:val="18"/>
                <w:szCs w:val="18"/>
                <w:lang w:eastAsia="hr-HR"/>
              </w:rPr>
            </w:pPr>
            <w:r>
              <w:rPr>
                <w:rFonts w:ascii="Calibri" w:eastAsia="Times New Roman" w:hAnsi="Calibri" w:cs="Calibri"/>
                <w:sz w:val="18"/>
                <w:szCs w:val="18"/>
                <w:lang w:eastAsia="hr-HR"/>
              </w:rPr>
              <w:t>aktivir</w:t>
            </w:r>
            <w:r w:rsidR="00C152A1">
              <w:rPr>
                <w:rFonts w:ascii="Calibri" w:eastAsia="Times New Roman" w:hAnsi="Calibri" w:cs="Calibri"/>
                <w:sz w:val="18"/>
                <w:szCs w:val="18"/>
                <w:lang w:eastAsia="hr-HR"/>
              </w:rPr>
              <w:t>ati</w:t>
            </w:r>
            <w:r>
              <w:rPr>
                <w:rFonts w:ascii="Calibri" w:eastAsia="Times New Roman" w:hAnsi="Calibri" w:cs="Calibri"/>
                <w:sz w:val="18"/>
                <w:szCs w:val="18"/>
                <w:lang w:eastAsia="hr-HR"/>
              </w:rPr>
              <w:t xml:space="preserve"> neaktivne radne snage u radnoj dobi (20-64)</w:t>
            </w:r>
          </w:p>
        </w:tc>
      </w:tr>
    </w:tbl>
    <w:p w14:paraId="039E3939" w14:textId="77777777" w:rsidR="00C17261" w:rsidRDefault="00C17261" w:rsidP="00C17261"/>
    <w:p w14:paraId="2806A8FE" w14:textId="77777777" w:rsidR="00004DF9" w:rsidRDefault="004976E4" w:rsidP="006A5709">
      <w:pPr>
        <w:pStyle w:val="Stil1"/>
      </w:pPr>
      <w:r>
        <w:t xml:space="preserve"> </w:t>
      </w:r>
      <w:bookmarkStart w:id="20" w:name="_Toc97123785"/>
    </w:p>
    <w:p w14:paraId="352A5249" w14:textId="77777777" w:rsidR="00004DF9" w:rsidRDefault="00004DF9">
      <w:pPr>
        <w:rPr>
          <w:rFonts w:ascii="Calibri" w:eastAsia="Calibri" w:hAnsi="Calibri" w:cs="Times New Roman"/>
          <w:b/>
          <w:bCs/>
          <w:color w:val="0070C0"/>
          <w:kern w:val="32"/>
          <w:sz w:val="28"/>
          <w:szCs w:val="28"/>
          <w:lang w:eastAsia="hr-HR"/>
        </w:rPr>
      </w:pPr>
      <w:r>
        <w:br w:type="page"/>
      </w:r>
    </w:p>
    <w:p w14:paraId="114DB932" w14:textId="228DCE26" w:rsidR="004976E4" w:rsidRDefault="006A5709" w:rsidP="006A5709">
      <w:pPr>
        <w:pStyle w:val="Stil1"/>
      </w:pPr>
      <w:r>
        <w:lastRenderedPageBreak/>
        <w:t xml:space="preserve">2. </w:t>
      </w:r>
      <w:r w:rsidR="004976E4">
        <w:t>DRUŠTVENA INFRASTRUKTURA I KAPACITETI</w:t>
      </w:r>
      <w:bookmarkEnd w:id="20"/>
    </w:p>
    <w:p w14:paraId="6DC65F25" w14:textId="574BDD1A" w:rsidR="004976E4" w:rsidRDefault="00DD5276" w:rsidP="006A5709">
      <w:pPr>
        <w:pStyle w:val="Stil2"/>
      </w:pPr>
      <w:bookmarkStart w:id="21" w:name="_Toc97123786"/>
      <w:r>
        <w:t>2.1. DRUŠTVENE DJELATNOSTI</w:t>
      </w:r>
      <w:bookmarkEnd w:id="21"/>
    </w:p>
    <w:p w14:paraId="6E3D002E" w14:textId="1628CE81" w:rsidR="004976E4" w:rsidRDefault="004976E4" w:rsidP="006A5709">
      <w:pPr>
        <w:pStyle w:val="Stil2"/>
      </w:pPr>
      <w:bookmarkStart w:id="22" w:name="_Toc97123787"/>
      <w:r>
        <w:t>2.1.1. Odgoj i obrazovanje</w:t>
      </w:r>
      <w:bookmarkEnd w:id="22"/>
      <w:r>
        <w:t xml:space="preserve"> </w:t>
      </w:r>
    </w:p>
    <w:p w14:paraId="353CDAB9" w14:textId="77777777" w:rsidR="004976E4" w:rsidRPr="00616332" w:rsidRDefault="004976E4" w:rsidP="004976E4">
      <w:pPr>
        <w:spacing w:after="0" w:line="240" w:lineRule="auto"/>
        <w:jc w:val="both"/>
        <w:rPr>
          <w:rFonts w:cs="Calibri"/>
          <w:b/>
        </w:rPr>
      </w:pPr>
      <w:r>
        <w:rPr>
          <w:rFonts w:cs="Calibri"/>
          <w:b/>
        </w:rPr>
        <w:t>Predškolske ustanove</w:t>
      </w:r>
    </w:p>
    <w:p w14:paraId="7A9FC857" w14:textId="77777777" w:rsidR="004976E4" w:rsidRPr="00097541" w:rsidRDefault="004976E4" w:rsidP="004976E4">
      <w:pPr>
        <w:pStyle w:val="Default"/>
        <w:jc w:val="both"/>
        <w:rPr>
          <w:rFonts w:asciiTheme="minorHAnsi" w:hAnsiTheme="minorHAnsi" w:cstheme="minorHAnsi"/>
          <w:sz w:val="22"/>
          <w:szCs w:val="22"/>
        </w:rPr>
      </w:pPr>
      <w:r w:rsidRPr="005105E2">
        <w:rPr>
          <w:rFonts w:asciiTheme="minorHAnsi" w:hAnsiTheme="minorHAnsi" w:cstheme="minorHAnsi"/>
          <w:bCs/>
          <w:sz w:val="22"/>
          <w:szCs w:val="22"/>
        </w:rPr>
        <w:t>Na području Grada Zagreba nalazi se ukupno 327 dječjih vrtića</w:t>
      </w:r>
      <w:r w:rsidRPr="00097541">
        <w:rPr>
          <w:rStyle w:val="Referencafusnote"/>
          <w:rFonts w:asciiTheme="minorHAnsi" w:hAnsiTheme="minorHAnsi" w:cstheme="minorHAnsi"/>
          <w:bCs/>
          <w:sz w:val="22"/>
          <w:szCs w:val="22"/>
        </w:rPr>
        <w:footnoteReference w:id="15"/>
      </w:r>
      <w:r w:rsidRPr="00097541">
        <w:rPr>
          <w:rFonts w:asciiTheme="minorHAnsi" w:hAnsiTheme="minorHAnsi" w:cstheme="minorHAnsi"/>
          <w:bCs/>
          <w:sz w:val="22"/>
          <w:szCs w:val="22"/>
        </w:rPr>
        <w:t xml:space="preserve"> različitih osnivača. </w:t>
      </w:r>
      <w:r>
        <w:rPr>
          <w:rFonts w:asciiTheme="minorHAnsi" w:hAnsiTheme="minorHAnsi" w:cstheme="minorHAnsi"/>
          <w:bCs/>
          <w:sz w:val="22"/>
          <w:szCs w:val="22"/>
        </w:rPr>
        <w:t>P</w:t>
      </w:r>
      <w:r w:rsidRPr="00616332">
        <w:rPr>
          <w:rFonts w:asciiTheme="minorHAnsi" w:hAnsiTheme="minorHAnsi" w:cstheme="minorHAnsi"/>
          <w:bCs/>
          <w:sz w:val="22"/>
          <w:szCs w:val="22"/>
        </w:rPr>
        <w:t>rogramima predškolskog odgoja i obrazovanja u pedagoškoj godini 2020./2021. obuhvaćeno je (redovitim programom i programom predškole u gradskim, privatnim i vjerskim dječjim vrtićima te predškolskim odgojem i obrazovanjem u posebnim ustanovama) više od 90 % ukupnog broja djece u Gradu Zagrebu u dobi od godine dana do polaska u osnovnu školu i 100 % djece u godini prije polaska u osnovnu školu.</w:t>
      </w:r>
      <w:r>
        <w:rPr>
          <w:rFonts w:asciiTheme="minorHAnsi" w:hAnsiTheme="minorHAnsi" w:cstheme="minorHAnsi"/>
          <w:bCs/>
          <w:sz w:val="22"/>
          <w:szCs w:val="22"/>
        </w:rPr>
        <w:t xml:space="preserve"> S</w:t>
      </w:r>
      <w:r w:rsidRPr="00616332">
        <w:rPr>
          <w:rFonts w:asciiTheme="minorHAnsi" w:hAnsiTheme="minorHAnsi" w:cstheme="minorHAnsi"/>
          <w:bCs/>
          <w:sz w:val="22"/>
          <w:szCs w:val="22"/>
        </w:rPr>
        <w:t xml:space="preserve">vi programi ranog i predškolskog odgoja i obrazovanja ostvaruju se na 229 lokacija za 30.905 djece rane i predškolske dobi u 1.507 odgojno-obrazovnih skupina od kojih 8.859 djece jasličke dobi u 517  jasličkih odgojno-obrazovnih skupina i 22.046 djece vrtićke dobi u  990  vrtićkih odgojno-obrazovnih skupina. </w:t>
      </w:r>
      <w:r w:rsidRPr="00097541">
        <w:rPr>
          <w:rFonts w:asciiTheme="minorHAnsi" w:hAnsiTheme="minorHAnsi" w:cstheme="minorHAnsi"/>
          <w:bCs/>
          <w:sz w:val="22"/>
          <w:szCs w:val="22"/>
        </w:rPr>
        <w:t>Grad Zagreb je osnivač 60 dječjih vrtića - javnih predškolskih ustanova, koji su osnovni nositelji gradskog programa javnih potreba u predškolskom odgoju i obrazovanju</w:t>
      </w:r>
      <w:r>
        <w:rPr>
          <w:rStyle w:val="Referencafusnote"/>
          <w:rFonts w:asciiTheme="minorHAnsi" w:hAnsiTheme="minorHAnsi" w:cstheme="minorHAnsi"/>
          <w:bCs/>
          <w:sz w:val="22"/>
          <w:szCs w:val="22"/>
        </w:rPr>
        <w:footnoteReference w:id="16"/>
      </w:r>
      <w:r w:rsidRPr="00097541">
        <w:rPr>
          <w:rFonts w:asciiTheme="minorHAnsi" w:hAnsiTheme="minorHAnsi" w:cstheme="minorHAnsi"/>
          <w:bCs/>
          <w:sz w:val="22"/>
          <w:szCs w:val="22"/>
        </w:rPr>
        <w:t xml:space="preserve">. </w:t>
      </w:r>
      <w:bookmarkStart w:id="23" w:name="_Hlk68695873"/>
    </w:p>
    <w:bookmarkEnd w:id="23"/>
    <w:p w14:paraId="5ED5A957" w14:textId="77777777" w:rsidR="004976E4" w:rsidRDefault="004976E4" w:rsidP="004976E4">
      <w:pPr>
        <w:pStyle w:val="Default"/>
        <w:jc w:val="both"/>
        <w:rPr>
          <w:rFonts w:eastAsia="Times New Roman" w:cs="Calibri"/>
          <w:bCs/>
          <w:lang w:eastAsia="hr-HR"/>
        </w:rPr>
      </w:pPr>
      <w:r w:rsidRPr="00A42A46">
        <w:rPr>
          <w:rFonts w:asciiTheme="minorHAnsi" w:hAnsiTheme="minorHAnsi" w:cstheme="minorHAnsi"/>
          <w:bCs/>
          <w:sz w:val="22"/>
          <w:szCs w:val="22"/>
        </w:rPr>
        <w:t xml:space="preserve">Kapacitete gradskih predškolskih ustanova nadopunjuje  65 vjerskih i privatnih dječjih vrtića (uključujući 3 privatne i vjerske osnovne škole s programima ranog i predškolskog odgoja i obrazovanja), koji tijekom pedagoške godine organiziraju </w:t>
      </w:r>
      <w:r>
        <w:rPr>
          <w:rFonts w:asciiTheme="minorHAnsi" w:hAnsiTheme="minorHAnsi" w:cstheme="minorHAnsi"/>
          <w:bCs/>
          <w:sz w:val="22"/>
          <w:szCs w:val="22"/>
        </w:rPr>
        <w:t xml:space="preserve"> cjelodnevne </w:t>
      </w:r>
      <w:r w:rsidRPr="00A42A46">
        <w:rPr>
          <w:rFonts w:asciiTheme="minorHAnsi" w:hAnsiTheme="minorHAnsi" w:cstheme="minorHAnsi"/>
          <w:bCs/>
          <w:sz w:val="22"/>
          <w:szCs w:val="22"/>
        </w:rPr>
        <w:t>programe i druge programe predškolskog odgoja i obrazovanja za 4.112</w:t>
      </w:r>
      <w:r>
        <w:rPr>
          <w:rFonts w:asciiTheme="minorHAnsi" w:hAnsiTheme="minorHAnsi" w:cstheme="minorHAnsi"/>
          <w:bCs/>
          <w:sz w:val="22"/>
          <w:szCs w:val="22"/>
        </w:rPr>
        <w:t xml:space="preserve"> </w:t>
      </w:r>
      <w:r w:rsidRPr="00A42A46">
        <w:rPr>
          <w:rFonts w:asciiTheme="minorHAnsi" w:hAnsiTheme="minorHAnsi" w:cstheme="minorHAnsi"/>
          <w:bCs/>
          <w:sz w:val="22"/>
          <w:szCs w:val="22"/>
        </w:rPr>
        <w:t>djece rane i predškolske dobi, od kojih 1.145 djece jasličke dobi u 86 jaslič</w:t>
      </w:r>
      <w:r>
        <w:rPr>
          <w:rFonts w:asciiTheme="minorHAnsi" w:hAnsiTheme="minorHAnsi" w:cstheme="minorHAnsi"/>
          <w:bCs/>
          <w:sz w:val="22"/>
          <w:szCs w:val="22"/>
        </w:rPr>
        <w:t xml:space="preserve">ih </w:t>
      </w:r>
      <w:r w:rsidRPr="00A42A46">
        <w:rPr>
          <w:rFonts w:asciiTheme="minorHAnsi" w:hAnsiTheme="minorHAnsi" w:cstheme="minorHAnsi"/>
          <w:bCs/>
          <w:sz w:val="22"/>
          <w:szCs w:val="22"/>
        </w:rPr>
        <w:t>odgojno-obrazovnih skupina i 2.967  djece vrtićke dobi u 139  odgojno-obrazovnih skupin</w:t>
      </w:r>
      <w:r>
        <w:rPr>
          <w:rFonts w:asciiTheme="minorHAnsi" w:hAnsiTheme="minorHAnsi" w:cstheme="minorHAnsi"/>
          <w:bCs/>
          <w:sz w:val="22"/>
          <w:szCs w:val="22"/>
        </w:rPr>
        <w:t>a</w:t>
      </w:r>
      <w:r>
        <w:rPr>
          <w:rStyle w:val="Referencafusnote"/>
          <w:rFonts w:asciiTheme="minorHAnsi" w:hAnsiTheme="minorHAnsi" w:cstheme="minorHAnsi"/>
          <w:bCs/>
          <w:sz w:val="22"/>
          <w:szCs w:val="22"/>
        </w:rPr>
        <w:footnoteReference w:id="17"/>
      </w:r>
      <w:r w:rsidRPr="00A42A46">
        <w:rPr>
          <w:rFonts w:asciiTheme="minorHAnsi" w:hAnsiTheme="minorHAnsi" w:cstheme="minorHAnsi"/>
          <w:bCs/>
          <w:sz w:val="22"/>
          <w:szCs w:val="22"/>
        </w:rPr>
        <w:t>.</w:t>
      </w:r>
      <w:r>
        <w:rPr>
          <w:rFonts w:eastAsia="Times New Roman" w:cs="Calibri"/>
          <w:bCs/>
          <w:lang w:eastAsia="hr-HR"/>
        </w:rPr>
        <w:t xml:space="preserve"> </w:t>
      </w:r>
    </w:p>
    <w:p w14:paraId="45CE52A2" w14:textId="77777777" w:rsidR="004976E4" w:rsidRPr="005D49B9" w:rsidRDefault="004976E4" w:rsidP="004976E4">
      <w:pPr>
        <w:pStyle w:val="Default"/>
        <w:jc w:val="both"/>
        <w:rPr>
          <w:rFonts w:asciiTheme="minorHAnsi" w:hAnsiTheme="minorHAnsi" w:cstheme="minorHAnsi"/>
          <w:sz w:val="22"/>
          <w:szCs w:val="22"/>
        </w:rPr>
      </w:pPr>
      <w:r w:rsidRPr="005D49B9">
        <w:rPr>
          <w:rFonts w:asciiTheme="minorHAnsi" w:hAnsiTheme="minorHAnsi" w:cstheme="minorHAnsi"/>
          <w:sz w:val="22"/>
          <w:szCs w:val="22"/>
        </w:rPr>
        <w:t>U gradskim dječjim vrtićima provodi se i velik broj posebnih cjelodnevnih, poludnevnih i kraćih programa, sukladno interesima djece i financijskim mogućnostima roditelja/skrbnika za oko 7.500 djece, u više od 450 odgojno-obrazovnih skupina, u okviru 207 ponuđenih programa.</w:t>
      </w:r>
    </w:p>
    <w:p w14:paraId="1744FD80" w14:textId="77777777" w:rsidR="004976E4" w:rsidRPr="00AC7875" w:rsidRDefault="004976E4" w:rsidP="004976E4">
      <w:pPr>
        <w:spacing w:after="0" w:line="240" w:lineRule="auto"/>
        <w:jc w:val="both"/>
        <w:rPr>
          <w:rFonts w:eastAsia="Times New Roman" w:cs="Calibri"/>
          <w:bCs/>
          <w:lang w:eastAsia="hr-HR"/>
        </w:rPr>
      </w:pPr>
      <w:r w:rsidRPr="005D49B9">
        <w:rPr>
          <w:rFonts w:cstheme="minorHAnsi"/>
        </w:rPr>
        <w:t>Organizacijom odgojno-obrazovnih skupina u dječjim vrtićima Grada Zagreba nastojalo se udovoljiti većem broju zahtjeva za upis djece jasličke dobi, pa je evidentna tendencija povećavanja broja jasličkih odgojno-obrazovnih skupina. Otvaranjem novih kapaciteta</w:t>
      </w:r>
      <w:r w:rsidRPr="00097541">
        <w:t xml:space="preserve"> i prenamjenom vrtić</w:t>
      </w:r>
      <w:r>
        <w:t>kih</w:t>
      </w:r>
      <w:r w:rsidRPr="00097541">
        <w:t xml:space="preserve"> u jasli</w:t>
      </w:r>
      <w:r>
        <w:t xml:space="preserve">čke </w:t>
      </w:r>
      <w:r w:rsidRPr="00097541">
        <w:t xml:space="preserve"> odgojno-obrazovne skupine, omogućeno je smanjenje broja djece</w:t>
      </w:r>
      <w:r>
        <w:t xml:space="preserve"> </w:t>
      </w:r>
      <w:r w:rsidRPr="00097541">
        <w:t>po skupinama te uključivanje svakog djeteta u program ranog i predškolskog odgoja i obrazovanja</w:t>
      </w:r>
      <w:r>
        <w:rPr>
          <w:rStyle w:val="Referencafusnote"/>
        </w:rPr>
        <w:footnoteReference w:id="18"/>
      </w:r>
      <w:r w:rsidRPr="00097541">
        <w:t>.</w:t>
      </w:r>
    </w:p>
    <w:p w14:paraId="4CBDD983" w14:textId="77777777" w:rsidR="004976E4" w:rsidRDefault="004976E4" w:rsidP="004976E4">
      <w:pPr>
        <w:spacing w:after="0" w:line="240" w:lineRule="auto"/>
        <w:jc w:val="both"/>
        <w:rPr>
          <w:rFonts w:eastAsia="Times New Roman" w:cs="Calibri"/>
          <w:bCs/>
          <w:lang w:eastAsia="hr-HR"/>
        </w:rPr>
      </w:pPr>
      <w:r w:rsidRPr="00830502">
        <w:rPr>
          <w:rFonts w:eastAsia="Times New Roman" w:cs="Calibri"/>
          <w:bCs/>
          <w:lang w:eastAsia="hr-HR"/>
        </w:rPr>
        <w:t>Grad Zagreb sufinancira i program dadilja, osmosatno čuvanje, brigu i skrb o djeci rane i predškolske dobi, pet dana tjedno za djecu s prebivalištem na području Grada Zagreba. Dosad je registrirano 2</w:t>
      </w:r>
      <w:r>
        <w:rPr>
          <w:rFonts w:eastAsia="Times New Roman" w:cs="Calibri"/>
          <w:bCs/>
          <w:lang w:eastAsia="hr-HR"/>
        </w:rPr>
        <w:t xml:space="preserve">2 </w:t>
      </w:r>
      <w:r w:rsidRPr="00830502">
        <w:rPr>
          <w:rFonts w:eastAsia="Times New Roman" w:cs="Calibri"/>
          <w:bCs/>
          <w:lang w:eastAsia="hr-HR"/>
        </w:rPr>
        <w:t>obrta dadilja za oko 200 djece</w:t>
      </w:r>
      <w:r>
        <w:rPr>
          <w:rStyle w:val="Referencafusnote"/>
          <w:rFonts w:eastAsia="Times New Roman" w:cs="Calibri"/>
          <w:bCs/>
          <w:lang w:eastAsia="hr-HR"/>
        </w:rPr>
        <w:footnoteReference w:id="19"/>
      </w:r>
      <w:r w:rsidRPr="00830502">
        <w:rPr>
          <w:rFonts w:eastAsia="Times New Roman" w:cs="Calibri"/>
          <w:bCs/>
          <w:lang w:eastAsia="hr-HR"/>
        </w:rPr>
        <w:t xml:space="preserve">. </w:t>
      </w:r>
    </w:p>
    <w:p w14:paraId="2A4E5168" w14:textId="77777777" w:rsidR="004976E4" w:rsidRDefault="004976E4" w:rsidP="004976E4">
      <w:pPr>
        <w:spacing w:after="0" w:line="240" w:lineRule="auto"/>
        <w:jc w:val="both"/>
        <w:rPr>
          <w:rFonts w:eastAsia="Times New Roman" w:cs="Calibri"/>
          <w:bCs/>
          <w:lang w:eastAsia="hr-HR"/>
        </w:rPr>
      </w:pPr>
    </w:p>
    <w:p w14:paraId="1995BBF4" w14:textId="77777777" w:rsidR="004976E4" w:rsidRDefault="004976E4" w:rsidP="004976E4">
      <w:pPr>
        <w:pStyle w:val="Tijeloteksta2"/>
        <w:ind w:right="-2"/>
        <w:rPr>
          <w:rFonts w:ascii="Calibri" w:hAnsi="Calibri" w:cs="Calibri"/>
          <w:b w:val="0"/>
          <w:sz w:val="22"/>
          <w:szCs w:val="22"/>
        </w:rPr>
      </w:pPr>
      <w:r w:rsidRPr="00830502">
        <w:rPr>
          <w:rFonts w:ascii="Calibri" w:hAnsi="Calibri" w:cs="Calibri"/>
          <w:b w:val="0"/>
          <w:sz w:val="22"/>
          <w:szCs w:val="22"/>
        </w:rPr>
        <w:t xml:space="preserve">U pedagoškoj godini 2020./2021. kapaciteti gradskih predškolskih ustanova povećavaju se za 27 novih odgojno-obrazovnih skupina za više od 500 nove djece i to gradnjom novih objekata, proširenjem postojećih objekata, zakupom namjenski uređenih prostora, adaptacijom i preuređenjem postojećih prostora i kupnjom objekata. </w:t>
      </w:r>
    </w:p>
    <w:p w14:paraId="205849D2" w14:textId="77777777" w:rsidR="004976E4" w:rsidRDefault="004976E4" w:rsidP="004976E4">
      <w:pPr>
        <w:pStyle w:val="Tijeloteksta2"/>
        <w:ind w:right="-2"/>
        <w:rPr>
          <w:rFonts w:ascii="Calibri" w:hAnsi="Calibri" w:cs="Calibri"/>
          <w:b w:val="0"/>
          <w:sz w:val="22"/>
          <w:szCs w:val="22"/>
        </w:rPr>
      </w:pPr>
    </w:p>
    <w:p w14:paraId="7614D062" w14:textId="47AC19CF" w:rsidR="004976E4" w:rsidRPr="00EB4FC6" w:rsidRDefault="00F95280" w:rsidP="00E2286C">
      <w:pPr>
        <w:pStyle w:val="Opisslike"/>
        <w:rPr>
          <w:rFonts w:cstheme="minorHAnsi"/>
          <w:color w:val="000000"/>
          <w:sz w:val="24"/>
          <w:szCs w:val="24"/>
          <w:lang w:val="en-US"/>
        </w:rPr>
      </w:pPr>
      <w:r>
        <w:lastRenderedPageBreak/>
        <w:t xml:space="preserve">Tablica </w:t>
      </w:r>
      <w:r w:rsidR="00751C19">
        <w:fldChar w:fldCharType="begin"/>
      </w:r>
      <w:r w:rsidR="00751C19">
        <w:instrText xml:space="preserve"> SEQ</w:instrText>
      </w:r>
      <w:r w:rsidR="00751C19">
        <w:instrText xml:space="preserve"> Tablica \* ARABIC </w:instrText>
      </w:r>
      <w:r w:rsidR="00751C19">
        <w:fldChar w:fldCharType="separate"/>
      </w:r>
      <w:r w:rsidR="00803E25">
        <w:rPr>
          <w:noProof/>
        </w:rPr>
        <w:t>4</w:t>
      </w:r>
      <w:r w:rsidR="00751C19">
        <w:rPr>
          <w:noProof/>
        </w:rPr>
        <w:fldChar w:fldCharType="end"/>
      </w:r>
      <w:r>
        <w:t xml:space="preserve">. </w:t>
      </w:r>
      <w:r w:rsidRPr="006909A2">
        <w:t>Dječji vrtići u Gradu Zagrebu, početak pedagoške godine 2019./2020.</w:t>
      </w:r>
    </w:p>
    <w:tbl>
      <w:tblPr>
        <w:tblW w:w="7077" w:type="dxa"/>
        <w:tblInd w:w="6" w:type="dxa"/>
        <w:tblCellMar>
          <w:top w:w="45" w:type="dxa"/>
          <w:left w:w="107" w:type="dxa"/>
          <w:right w:w="115" w:type="dxa"/>
        </w:tblCellMar>
        <w:tblLook w:val="04A0" w:firstRow="1" w:lastRow="0" w:firstColumn="1" w:lastColumn="0" w:noHBand="0" w:noVBand="1"/>
      </w:tblPr>
      <w:tblGrid>
        <w:gridCol w:w="4246"/>
        <w:gridCol w:w="2831"/>
      </w:tblGrid>
      <w:tr w:rsidR="004976E4" w:rsidRPr="00EB4FC6" w14:paraId="200604FF" w14:textId="77777777" w:rsidTr="00F50578">
        <w:trPr>
          <w:trHeight w:val="252"/>
        </w:trPr>
        <w:tc>
          <w:tcPr>
            <w:tcW w:w="4246" w:type="dxa"/>
            <w:tcBorders>
              <w:top w:val="single" w:sz="4" w:space="0" w:color="000000"/>
              <w:left w:val="single" w:sz="4" w:space="0" w:color="000000"/>
              <w:bottom w:val="single" w:sz="4" w:space="0" w:color="000000"/>
              <w:right w:val="nil"/>
            </w:tcBorders>
            <w:shd w:val="clear" w:color="auto" w:fill="B4C6E7" w:themeFill="accent1" w:themeFillTint="66"/>
          </w:tcPr>
          <w:p w14:paraId="178B2A4D" w14:textId="77777777" w:rsidR="004976E4" w:rsidRPr="00EB4FC6" w:rsidRDefault="004976E4" w:rsidP="00F50578">
            <w:pPr>
              <w:rPr>
                <w:rFonts w:cstheme="minorHAnsi"/>
                <w:color w:val="000000"/>
                <w:sz w:val="24"/>
                <w:szCs w:val="24"/>
              </w:rPr>
            </w:pPr>
            <w:r w:rsidRPr="00EB4FC6">
              <w:rPr>
                <w:rFonts w:cstheme="minorHAnsi"/>
                <w:color w:val="000000"/>
                <w:szCs w:val="24"/>
              </w:rPr>
              <w:t xml:space="preserve">Dječji vrtići u Gradu Zagrebu prema osnivaču </w:t>
            </w:r>
          </w:p>
        </w:tc>
        <w:tc>
          <w:tcPr>
            <w:tcW w:w="2831" w:type="dxa"/>
            <w:tcBorders>
              <w:top w:val="single" w:sz="4" w:space="0" w:color="000000"/>
              <w:left w:val="nil"/>
              <w:bottom w:val="single" w:sz="4" w:space="0" w:color="000000"/>
              <w:right w:val="single" w:sz="4" w:space="0" w:color="000000"/>
            </w:tcBorders>
            <w:shd w:val="clear" w:color="auto" w:fill="B4C6E7" w:themeFill="accent1" w:themeFillTint="66"/>
          </w:tcPr>
          <w:p w14:paraId="50E298A0" w14:textId="77777777" w:rsidR="004976E4" w:rsidRPr="00EB4FC6" w:rsidRDefault="004976E4" w:rsidP="00F50578">
            <w:pPr>
              <w:rPr>
                <w:rFonts w:cstheme="minorHAnsi"/>
                <w:color w:val="000000"/>
                <w:sz w:val="24"/>
                <w:szCs w:val="24"/>
              </w:rPr>
            </w:pPr>
          </w:p>
        </w:tc>
      </w:tr>
      <w:tr w:rsidR="004976E4" w:rsidRPr="00EB4FC6" w14:paraId="6D804C91" w14:textId="77777777" w:rsidTr="00F50578">
        <w:trPr>
          <w:trHeight w:val="254"/>
        </w:trPr>
        <w:tc>
          <w:tcPr>
            <w:tcW w:w="4246" w:type="dxa"/>
            <w:tcBorders>
              <w:top w:val="single" w:sz="4" w:space="0" w:color="000000"/>
              <w:left w:val="single" w:sz="4" w:space="0" w:color="000000"/>
              <w:bottom w:val="single" w:sz="4" w:space="0" w:color="000000"/>
              <w:right w:val="single" w:sz="4" w:space="0" w:color="000000"/>
            </w:tcBorders>
          </w:tcPr>
          <w:p w14:paraId="21FA806F" w14:textId="77777777" w:rsidR="004976E4" w:rsidRPr="00EB4FC6" w:rsidRDefault="004976E4" w:rsidP="00F50578">
            <w:pPr>
              <w:rPr>
                <w:rFonts w:cstheme="minorHAnsi"/>
                <w:color w:val="000000"/>
                <w:sz w:val="24"/>
                <w:szCs w:val="24"/>
              </w:rPr>
            </w:pPr>
            <w:r>
              <w:rPr>
                <w:rFonts w:cstheme="minorHAnsi"/>
                <w:color w:val="000000"/>
                <w:szCs w:val="24"/>
              </w:rPr>
              <w:t>Državni</w:t>
            </w:r>
            <w:r w:rsidRPr="00EB4FC6">
              <w:rPr>
                <w:rFonts w:cstheme="minorHAnsi"/>
                <w:color w:val="000000"/>
                <w:szCs w:val="24"/>
              </w:rPr>
              <w:t xml:space="preserve"> </w:t>
            </w:r>
          </w:p>
        </w:tc>
        <w:tc>
          <w:tcPr>
            <w:tcW w:w="2831" w:type="dxa"/>
            <w:tcBorders>
              <w:top w:val="single" w:sz="4" w:space="0" w:color="000000"/>
              <w:left w:val="single" w:sz="4" w:space="0" w:color="000000"/>
              <w:bottom w:val="single" w:sz="4" w:space="0" w:color="000000"/>
              <w:right w:val="single" w:sz="4" w:space="0" w:color="000000"/>
            </w:tcBorders>
          </w:tcPr>
          <w:p w14:paraId="221DD4FA" w14:textId="77777777" w:rsidR="004976E4" w:rsidRPr="00EB4FC6" w:rsidRDefault="004976E4" w:rsidP="00F50578">
            <w:pPr>
              <w:ind w:left="7"/>
              <w:jc w:val="center"/>
              <w:rPr>
                <w:rFonts w:cstheme="minorHAnsi"/>
                <w:color w:val="000000"/>
                <w:sz w:val="24"/>
                <w:szCs w:val="24"/>
              </w:rPr>
            </w:pPr>
            <w:r w:rsidRPr="00EB4FC6">
              <w:rPr>
                <w:rFonts w:cstheme="minorHAnsi"/>
                <w:color w:val="000000"/>
                <w:szCs w:val="24"/>
              </w:rPr>
              <w:t>2</w:t>
            </w:r>
            <w:r>
              <w:rPr>
                <w:rFonts w:cstheme="minorHAnsi"/>
                <w:color w:val="000000"/>
                <w:szCs w:val="24"/>
              </w:rPr>
              <w:t>30</w:t>
            </w:r>
            <w:r w:rsidRPr="00EB4FC6">
              <w:rPr>
                <w:rFonts w:cstheme="minorHAnsi"/>
                <w:color w:val="000000"/>
                <w:szCs w:val="24"/>
              </w:rPr>
              <w:t xml:space="preserve"> </w:t>
            </w:r>
          </w:p>
        </w:tc>
      </w:tr>
      <w:tr w:rsidR="004976E4" w:rsidRPr="00EB4FC6" w14:paraId="0AF1D4D2" w14:textId="77777777" w:rsidTr="00F50578">
        <w:trPr>
          <w:trHeight w:val="254"/>
        </w:trPr>
        <w:tc>
          <w:tcPr>
            <w:tcW w:w="4246" w:type="dxa"/>
            <w:tcBorders>
              <w:top w:val="single" w:sz="4" w:space="0" w:color="000000"/>
              <w:left w:val="single" w:sz="4" w:space="0" w:color="000000"/>
              <w:bottom w:val="single" w:sz="4" w:space="0" w:color="000000"/>
              <w:right w:val="single" w:sz="4" w:space="0" w:color="000000"/>
            </w:tcBorders>
          </w:tcPr>
          <w:p w14:paraId="6E063708" w14:textId="77777777" w:rsidR="004976E4" w:rsidRPr="00EB4FC6" w:rsidRDefault="004976E4" w:rsidP="00F50578">
            <w:pPr>
              <w:rPr>
                <w:rFonts w:cstheme="minorHAnsi"/>
                <w:color w:val="000000"/>
                <w:sz w:val="24"/>
                <w:szCs w:val="24"/>
              </w:rPr>
            </w:pPr>
            <w:r w:rsidRPr="00EB4FC6">
              <w:rPr>
                <w:rFonts w:cstheme="minorHAnsi"/>
                <w:color w:val="000000"/>
                <w:szCs w:val="24"/>
              </w:rPr>
              <w:t xml:space="preserve">Privatni  </w:t>
            </w:r>
          </w:p>
        </w:tc>
        <w:tc>
          <w:tcPr>
            <w:tcW w:w="2831" w:type="dxa"/>
            <w:tcBorders>
              <w:top w:val="single" w:sz="4" w:space="0" w:color="000000"/>
              <w:left w:val="single" w:sz="4" w:space="0" w:color="000000"/>
              <w:bottom w:val="single" w:sz="4" w:space="0" w:color="000000"/>
              <w:right w:val="single" w:sz="4" w:space="0" w:color="000000"/>
            </w:tcBorders>
          </w:tcPr>
          <w:p w14:paraId="7F7A1E85" w14:textId="77777777" w:rsidR="004976E4" w:rsidRPr="00EB4FC6" w:rsidRDefault="004976E4" w:rsidP="00F50578">
            <w:pPr>
              <w:ind w:left="8"/>
              <w:jc w:val="center"/>
              <w:rPr>
                <w:rFonts w:cstheme="minorHAnsi"/>
                <w:color w:val="000000"/>
                <w:sz w:val="24"/>
                <w:szCs w:val="24"/>
              </w:rPr>
            </w:pPr>
            <w:r>
              <w:rPr>
                <w:rFonts w:cstheme="minorHAnsi"/>
                <w:color w:val="000000"/>
                <w:szCs w:val="24"/>
              </w:rPr>
              <w:t>81</w:t>
            </w:r>
          </w:p>
        </w:tc>
      </w:tr>
      <w:tr w:rsidR="004976E4" w:rsidRPr="00EB4FC6" w14:paraId="5C04F50C" w14:textId="77777777" w:rsidTr="00F50578">
        <w:trPr>
          <w:trHeight w:val="254"/>
        </w:trPr>
        <w:tc>
          <w:tcPr>
            <w:tcW w:w="4246" w:type="dxa"/>
            <w:tcBorders>
              <w:top w:val="single" w:sz="4" w:space="0" w:color="000000"/>
              <w:left w:val="single" w:sz="4" w:space="0" w:color="000000"/>
              <w:bottom w:val="single" w:sz="4" w:space="0" w:color="000000"/>
              <w:right w:val="single" w:sz="4" w:space="0" w:color="000000"/>
            </w:tcBorders>
          </w:tcPr>
          <w:p w14:paraId="7A7E438B" w14:textId="77777777" w:rsidR="004976E4" w:rsidRPr="00EB4FC6" w:rsidRDefault="004976E4" w:rsidP="00F50578">
            <w:pPr>
              <w:rPr>
                <w:rFonts w:cstheme="minorHAnsi"/>
                <w:color w:val="000000"/>
                <w:sz w:val="24"/>
                <w:szCs w:val="24"/>
              </w:rPr>
            </w:pPr>
            <w:r w:rsidRPr="00EB4FC6">
              <w:rPr>
                <w:rFonts w:cstheme="minorHAnsi"/>
                <w:color w:val="000000"/>
                <w:szCs w:val="24"/>
              </w:rPr>
              <w:t xml:space="preserve">Vjerske zajednice </w:t>
            </w:r>
          </w:p>
        </w:tc>
        <w:tc>
          <w:tcPr>
            <w:tcW w:w="2831" w:type="dxa"/>
            <w:tcBorders>
              <w:top w:val="single" w:sz="4" w:space="0" w:color="000000"/>
              <w:left w:val="single" w:sz="4" w:space="0" w:color="000000"/>
              <w:bottom w:val="single" w:sz="4" w:space="0" w:color="000000"/>
              <w:right w:val="single" w:sz="4" w:space="0" w:color="000000"/>
            </w:tcBorders>
          </w:tcPr>
          <w:p w14:paraId="58F221BB" w14:textId="77777777" w:rsidR="004976E4" w:rsidRPr="00EB4FC6" w:rsidRDefault="004976E4" w:rsidP="00F50578">
            <w:pPr>
              <w:ind w:left="7"/>
              <w:jc w:val="center"/>
              <w:rPr>
                <w:rFonts w:cstheme="minorHAnsi"/>
                <w:color w:val="000000"/>
                <w:sz w:val="24"/>
                <w:szCs w:val="24"/>
              </w:rPr>
            </w:pPr>
            <w:r w:rsidRPr="00EB4FC6">
              <w:rPr>
                <w:rFonts w:cstheme="minorHAnsi"/>
                <w:color w:val="000000"/>
                <w:szCs w:val="24"/>
              </w:rPr>
              <w:t xml:space="preserve">16 </w:t>
            </w:r>
          </w:p>
        </w:tc>
      </w:tr>
      <w:tr w:rsidR="004976E4" w:rsidRPr="00EB4FC6" w14:paraId="5A87BD2A" w14:textId="77777777" w:rsidTr="00F50578">
        <w:trPr>
          <w:trHeight w:val="254"/>
        </w:trPr>
        <w:tc>
          <w:tcPr>
            <w:tcW w:w="4246" w:type="dxa"/>
            <w:tcBorders>
              <w:top w:val="single" w:sz="4" w:space="0" w:color="000000"/>
              <w:left w:val="single" w:sz="4" w:space="0" w:color="000000"/>
              <w:bottom w:val="single" w:sz="4" w:space="0" w:color="000000"/>
              <w:right w:val="single" w:sz="4" w:space="0" w:color="000000"/>
            </w:tcBorders>
          </w:tcPr>
          <w:p w14:paraId="4539BFB3" w14:textId="77777777" w:rsidR="004976E4" w:rsidRPr="00EB4FC6" w:rsidRDefault="004976E4" w:rsidP="00F50578">
            <w:pPr>
              <w:rPr>
                <w:rFonts w:cstheme="minorHAnsi"/>
                <w:color w:val="000000"/>
                <w:sz w:val="24"/>
                <w:szCs w:val="24"/>
              </w:rPr>
            </w:pPr>
            <w:r w:rsidRPr="00EB4FC6">
              <w:rPr>
                <w:rFonts w:cstheme="minorHAnsi"/>
                <w:color w:val="000000"/>
                <w:szCs w:val="24"/>
              </w:rPr>
              <w:t xml:space="preserve">UKUPNO </w:t>
            </w:r>
          </w:p>
        </w:tc>
        <w:tc>
          <w:tcPr>
            <w:tcW w:w="2831" w:type="dxa"/>
            <w:tcBorders>
              <w:top w:val="single" w:sz="4" w:space="0" w:color="000000"/>
              <w:left w:val="single" w:sz="4" w:space="0" w:color="000000"/>
              <w:bottom w:val="single" w:sz="4" w:space="0" w:color="000000"/>
              <w:right w:val="single" w:sz="4" w:space="0" w:color="000000"/>
            </w:tcBorders>
          </w:tcPr>
          <w:p w14:paraId="537C16E9" w14:textId="77777777" w:rsidR="004976E4" w:rsidRPr="00EB4FC6" w:rsidRDefault="004976E4" w:rsidP="00F50578">
            <w:pPr>
              <w:ind w:left="7"/>
              <w:jc w:val="center"/>
              <w:rPr>
                <w:rFonts w:cstheme="minorHAnsi"/>
                <w:color w:val="000000"/>
                <w:sz w:val="24"/>
                <w:szCs w:val="24"/>
              </w:rPr>
            </w:pPr>
            <w:r w:rsidRPr="00EB4FC6">
              <w:rPr>
                <w:rFonts w:cstheme="minorHAnsi"/>
                <w:color w:val="000000"/>
                <w:szCs w:val="24"/>
              </w:rPr>
              <w:t>3</w:t>
            </w:r>
            <w:r>
              <w:rPr>
                <w:rFonts w:cstheme="minorHAnsi"/>
                <w:color w:val="000000"/>
                <w:szCs w:val="24"/>
              </w:rPr>
              <w:t>27</w:t>
            </w:r>
            <w:r w:rsidRPr="00EB4FC6">
              <w:rPr>
                <w:rFonts w:cstheme="minorHAnsi"/>
                <w:color w:val="000000"/>
                <w:szCs w:val="24"/>
              </w:rPr>
              <w:t xml:space="preserve"> </w:t>
            </w:r>
          </w:p>
        </w:tc>
      </w:tr>
    </w:tbl>
    <w:p w14:paraId="2470C9E7" w14:textId="77777777" w:rsidR="004976E4" w:rsidRDefault="004976E4" w:rsidP="004976E4">
      <w:pPr>
        <w:spacing w:after="0" w:line="240" w:lineRule="auto"/>
        <w:jc w:val="both"/>
        <w:rPr>
          <w:rFonts w:eastAsia="Times New Roman" w:cstheme="minorHAnsi"/>
          <w:color w:val="000000"/>
          <w:szCs w:val="24"/>
          <w:lang w:val="en-US"/>
        </w:rPr>
      </w:pPr>
      <w:r w:rsidRPr="00EB4FC6">
        <w:rPr>
          <w:rFonts w:eastAsia="Times New Roman" w:cstheme="minorHAnsi"/>
          <w:color w:val="000000"/>
          <w:szCs w:val="24"/>
          <w:lang w:val="en-US"/>
        </w:rPr>
        <w:t>Izvor: Statistički ljetopis Grada Zagreba 20</w:t>
      </w:r>
      <w:r>
        <w:rPr>
          <w:rFonts w:eastAsia="Times New Roman" w:cstheme="minorHAnsi"/>
          <w:color w:val="000000"/>
          <w:szCs w:val="24"/>
          <w:lang w:val="en-US"/>
        </w:rPr>
        <w:t>20</w:t>
      </w:r>
      <w:r w:rsidRPr="00EB4FC6">
        <w:rPr>
          <w:rFonts w:eastAsia="Times New Roman" w:cstheme="minorHAnsi"/>
          <w:color w:val="000000"/>
          <w:szCs w:val="24"/>
          <w:lang w:val="en-US"/>
        </w:rPr>
        <w:t xml:space="preserve">. </w:t>
      </w:r>
    </w:p>
    <w:p w14:paraId="15FE6E00" w14:textId="77777777" w:rsidR="004976E4" w:rsidRDefault="004976E4" w:rsidP="004976E4">
      <w:pPr>
        <w:spacing w:after="0" w:line="240" w:lineRule="auto"/>
        <w:jc w:val="both"/>
        <w:rPr>
          <w:rFonts w:eastAsia="Times New Roman" w:cstheme="minorHAnsi"/>
          <w:color w:val="000000"/>
          <w:szCs w:val="24"/>
          <w:lang w:val="en-US"/>
        </w:rPr>
      </w:pPr>
    </w:p>
    <w:p w14:paraId="5CCEA9A0" w14:textId="77777777" w:rsidR="004976E4" w:rsidRDefault="004976E4" w:rsidP="004976E4">
      <w:pPr>
        <w:spacing w:after="0" w:line="240" w:lineRule="auto"/>
        <w:jc w:val="both"/>
        <w:rPr>
          <w:rFonts w:eastAsia="Times New Roman" w:cstheme="minorHAnsi"/>
          <w:color w:val="000000"/>
          <w:szCs w:val="24"/>
          <w:lang w:val="en-US"/>
        </w:rPr>
      </w:pPr>
    </w:p>
    <w:p w14:paraId="7F4E3EBB" w14:textId="77777777" w:rsidR="004976E4" w:rsidRDefault="004976E4" w:rsidP="004976E4">
      <w:pPr>
        <w:spacing w:after="0" w:line="240" w:lineRule="auto"/>
        <w:jc w:val="both"/>
        <w:rPr>
          <w:rFonts w:cs="Calibri"/>
          <w:b/>
        </w:rPr>
      </w:pPr>
      <w:r>
        <w:rPr>
          <w:rFonts w:cs="Calibri"/>
          <w:b/>
        </w:rPr>
        <w:t>Ulaganja u proširenje kapaciteta predškolskih ustanova</w:t>
      </w:r>
    </w:p>
    <w:p w14:paraId="77C98371" w14:textId="77777777" w:rsidR="004976E4" w:rsidRDefault="004976E4" w:rsidP="004976E4">
      <w:pPr>
        <w:spacing w:after="0" w:line="240" w:lineRule="auto"/>
        <w:jc w:val="both"/>
        <w:rPr>
          <w:rFonts w:cs="Calibri"/>
        </w:rPr>
      </w:pPr>
      <w:r>
        <w:rPr>
          <w:rFonts w:cs="Calibri"/>
        </w:rPr>
        <w:t>Planirana gradnja i rekonstrukcija objekata gradskih predškolskih ustanova te planirano investicijsko održavanje većeg opsega u razdoblju od 2021. -2027. zasniva se na sljedećim prioritetima:</w:t>
      </w:r>
    </w:p>
    <w:p w14:paraId="08C47B78" w14:textId="77777777" w:rsidR="004976E4" w:rsidRDefault="004976E4" w:rsidP="00165C16">
      <w:pPr>
        <w:pStyle w:val="Odlomakpopisa"/>
        <w:numPr>
          <w:ilvl w:val="0"/>
          <w:numId w:val="13"/>
        </w:numPr>
        <w:spacing w:after="0" w:line="240" w:lineRule="auto"/>
        <w:jc w:val="both"/>
        <w:rPr>
          <w:rFonts w:cs="Calibri"/>
        </w:rPr>
      </w:pPr>
      <w:r>
        <w:rPr>
          <w:rFonts w:cs="Calibri"/>
        </w:rPr>
        <w:t>i</w:t>
      </w:r>
      <w:r w:rsidRPr="00D95824">
        <w:rPr>
          <w:rFonts w:cs="Calibri"/>
        </w:rPr>
        <w:t>zgradnja novih predškolskih objekata u skladu s planiranim prioritetima.</w:t>
      </w:r>
    </w:p>
    <w:p w14:paraId="74C14FFB" w14:textId="77777777" w:rsidR="004976E4" w:rsidRPr="00D95824" w:rsidRDefault="004976E4" w:rsidP="00165C16">
      <w:pPr>
        <w:pStyle w:val="Odlomakpopisa"/>
        <w:numPr>
          <w:ilvl w:val="0"/>
          <w:numId w:val="13"/>
        </w:numPr>
        <w:spacing w:after="0" w:line="240" w:lineRule="auto"/>
        <w:jc w:val="both"/>
        <w:rPr>
          <w:rFonts w:cs="Calibri"/>
        </w:rPr>
      </w:pPr>
      <w:r>
        <w:rPr>
          <w:rFonts w:cs="Calibri"/>
        </w:rPr>
        <w:t>i</w:t>
      </w:r>
      <w:r w:rsidRPr="00D95824">
        <w:rPr>
          <w:rFonts w:cs="Calibri"/>
        </w:rPr>
        <w:t xml:space="preserve">zgradnja zamjenskih predškolskih objekata, dotrajalih montažnih objekata (DV Ivane Brlić Mažuranić, područni objekti DV Sunce, DV Prečko, DV Gajnice, DV Pčelica, DV Zvončić, DV Jabuka, DV Šegrt Hlapić, DV Medveščak, DV Remetinec, DV Vedri dani, DV Petar Pan). </w:t>
      </w:r>
    </w:p>
    <w:p w14:paraId="37264286" w14:textId="77777777" w:rsidR="004976E4" w:rsidRDefault="004976E4" w:rsidP="004976E4">
      <w:pPr>
        <w:spacing w:after="0" w:line="240" w:lineRule="auto"/>
        <w:rPr>
          <w:rFonts w:cs="Calibri"/>
          <w:bCs/>
          <w:strike/>
        </w:rPr>
      </w:pPr>
    </w:p>
    <w:p w14:paraId="51D2EFB6" w14:textId="77777777" w:rsidR="004976E4" w:rsidRDefault="004976E4" w:rsidP="004976E4">
      <w:pPr>
        <w:spacing w:after="0" w:line="240" w:lineRule="auto"/>
        <w:jc w:val="both"/>
        <w:rPr>
          <w:rFonts w:cs="Calibri"/>
        </w:rPr>
      </w:pPr>
      <w:r w:rsidRPr="00830502">
        <w:rPr>
          <w:rFonts w:cs="Calibri"/>
        </w:rPr>
        <w:t>Prema Programu javnih potreba u predškolskom odgoju i obrazovanju te skrbi o djeci rane i predškolske dobi u Gradu Zagrebu za 2020. sredstva za nabavu živežnih namirnica za prehranu djece, planirana u iznosu od 60.000.000,00 kn, osiguravaju se, u skladu s propisanim normativima, u iznosu</w:t>
      </w:r>
    </w:p>
    <w:p w14:paraId="2442FB93" w14:textId="77777777" w:rsidR="004976E4" w:rsidRPr="006878A4" w:rsidRDefault="004976E4" w:rsidP="004976E4">
      <w:pPr>
        <w:spacing w:after="0" w:line="240" w:lineRule="auto"/>
        <w:jc w:val="both"/>
        <w:rPr>
          <w:rFonts w:cs="Calibri"/>
        </w:rPr>
      </w:pPr>
      <w:r>
        <w:rPr>
          <w:rFonts w:cs="Calibri"/>
        </w:rPr>
        <w:t>do  najviše 13,00 kn dnevno  po nazočnom djetetu u redovitom programu.</w:t>
      </w:r>
    </w:p>
    <w:p w14:paraId="38BA03CE" w14:textId="77777777" w:rsidR="004976E4" w:rsidRDefault="004976E4" w:rsidP="004976E4">
      <w:pPr>
        <w:spacing w:after="0" w:line="240" w:lineRule="auto"/>
        <w:rPr>
          <w:rFonts w:cs="Calibri"/>
        </w:rPr>
      </w:pPr>
    </w:p>
    <w:tbl>
      <w:tblPr>
        <w:tblW w:w="0" w:type="auto"/>
        <w:tblLook w:val="00A0" w:firstRow="1" w:lastRow="0" w:firstColumn="1" w:lastColumn="0" w:noHBand="0" w:noVBand="0"/>
      </w:tblPr>
      <w:tblGrid>
        <w:gridCol w:w="4536"/>
        <w:gridCol w:w="4536"/>
      </w:tblGrid>
      <w:tr w:rsidR="004976E4" w14:paraId="761DFB26" w14:textId="77777777" w:rsidTr="00F50578">
        <w:tc>
          <w:tcPr>
            <w:tcW w:w="4643" w:type="dxa"/>
            <w:shd w:val="clear" w:color="auto" w:fill="D9D9D9"/>
            <w:hideMark/>
          </w:tcPr>
          <w:p w14:paraId="5330C1AA" w14:textId="77777777" w:rsidR="004976E4" w:rsidRDefault="004976E4" w:rsidP="00F50578">
            <w:pPr>
              <w:pStyle w:val="StandardWeb"/>
              <w:spacing w:before="60" w:beforeAutospacing="0" w:after="60" w:afterAutospacing="0"/>
              <w:ind w:right="-2"/>
              <w:rPr>
                <w:rFonts w:ascii="Calibri" w:hAnsi="Calibri" w:cs="Calibri"/>
                <w:b/>
                <w:sz w:val="18"/>
                <w:szCs w:val="18"/>
              </w:rPr>
            </w:pPr>
            <w:r>
              <w:rPr>
                <w:rFonts w:ascii="Calibri" w:hAnsi="Calibri" w:cs="Calibri"/>
                <w:b/>
                <w:sz w:val="18"/>
                <w:szCs w:val="18"/>
              </w:rPr>
              <w:t>RAZVOJNI PROBLEMI</w:t>
            </w:r>
          </w:p>
        </w:tc>
        <w:tc>
          <w:tcPr>
            <w:tcW w:w="4643" w:type="dxa"/>
            <w:shd w:val="clear" w:color="auto" w:fill="99CCFF"/>
            <w:hideMark/>
          </w:tcPr>
          <w:p w14:paraId="108269B5" w14:textId="77777777" w:rsidR="004976E4" w:rsidRDefault="004976E4" w:rsidP="00F50578">
            <w:pPr>
              <w:pStyle w:val="StandardWeb"/>
              <w:spacing w:before="60" w:beforeAutospacing="0" w:after="60" w:afterAutospacing="0"/>
              <w:ind w:right="-2"/>
              <w:rPr>
                <w:rFonts w:ascii="Calibri" w:hAnsi="Calibri" w:cs="Calibri"/>
                <w:b/>
                <w:sz w:val="18"/>
                <w:szCs w:val="18"/>
              </w:rPr>
            </w:pPr>
            <w:r>
              <w:rPr>
                <w:rFonts w:ascii="Calibri" w:hAnsi="Calibri" w:cs="Calibri"/>
                <w:b/>
                <w:sz w:val="18"/>
                <w:szCs w:val="18"/>
              </w:rPr>
              <w:t>RAZVOJNE POTREBE</w:t>
            </w:r>
          </w:p>
        </w:tc>
      </w:tr>
      <w:tr w:rsidR="004976E4" w14:paraId="54DAD5F7" w14:textId="77777777" w:rsidTr="00F50578">
        <w:tc>
          <w:tcPr>
            <w:tcW w:w="4643" w:type="dxa"/>
            <w:shd w:val="clear" w:color="auto" w:fill="D9D9D9"/>
          </w:tcPr>
          <w:p w14:paraId="7738DC0F" w14:textId="428CAF44" w:rsidR="004976E4" w:rsidRPr="00B077DD"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 xml:space="preserve">ostojeći kapaciteti gradskih predškolskih ustanova ne zadovoljavaju potrebe djece i roditelja, to je posebno naglašeno u gradskim četvrtima: </w:t>
            </w:r>
            <w:r w:rsidR="004976E4" w:rsidRPr="00B077DD">
              <w:rPr>
                <w:rFonts w:ascii="Calibri" w:hAnsi="Calibri" w:cs="Calibri"/>
                <w:sz w:val="18"/>
                <w:szCs w:val="18"/>
              </w:rPr>
              <w:t>Sesvete, Stenjevec, Podsljeme, Trešnjevka - sjever i jug, Novi Zagreb -  zapad i Brezovica</w:t>
            </w:r>
          </w:p>
          <w:p w14:paraId="5B5F2402" w14:textId="0B3D5F56"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v</w:t>
            </w:r>
            <w:r w:rsidR="004976E4">
              <w:rPr>
                <w:rFonts w:ascii="Calibri" w:hAnsi="Calibri" w:cs="Calibri"/>
                <w:sz w:val="18"/>
                <w:szCs w:val="18"/>
              </w:rPr>
              <w:t>ećina gradskih predškolskih ustanova prosječne su starosti više od 30 godina, a oko 25% su stambeni i poslovni prostori prenamijenjeni za dječji vrtić koji nemaju odgovarajuću dvoranu za tjelesne aktivnosti te igralište za dnevni boravak na otvorenom</w:t>
            </w:r>
          </w:p>
          <w:p w14:paraId="6BF5449B" w14:textId="447AB10E"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edostatna sredstva za pripremu i realizaciju infrastrukturnih projekata</w:t>
            </w:r>
          </w:p>
          <w:p w14:paraId="3B55CD05" w14:textId="0E448784"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edovoljna ponuda verificiranih programa u suglasju s potrebama i interesima djece i roditelja</w:t>
            </w:r>
          </w:p>
          <w:p w14:paraId="65A70312" w14:textId="4DFDEC1D"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 xml:space="preserve">edostatni uvjeti, organizacijske pretpostavke i </w:t>
            </w:r>
            <w:r w:rsidR="00E73386">
              <w:rPr>
                <w:rFonts w:ascii="Calibri" w:hAnsi="Calibri" w:cs="Calibri"/>
                <w:sz w:val="18"/>
                <w:szCs w:val="18"/>
              </w:rPr>
              <w:t>educiranost</w:t>
            </w:r>
            <w:r w:rsidR="004976E4">
              <w:rPr>
                <w:rFonts w:ascii="Calibri" w:hAnsi="Calibri" w:cs="Calibri"/>
                <w:sz w:val="18"/>
                <w:szCs w:val="18"/>
              </w:rPr>
              <w:t xml:space="preserve"> u </w:t>
            </w:r>
            <w:r w:rsidR="00E73386">
              <w:rPr>
                <w:rFonts w:ascii="Calibri" w:hAnsi="Calibri" w:cs="Calibri"/>
                <w:sz w:val="18"/>
                <w:szCs w:val="18"/>
              </w:rPr>
              <w:t xml:space="preserve">procesu </w:t>
            </w:r>
            <w:r w:rsidR="004976E4">
              <w:rPr>
                <w:rFonts w:ascii="Calibri" w:hAnsi="Calibri" w:cs="Calibri"/>
                <w:sz w:val="18"/>
                <w:szCs w:val="18"/>
              </w:rPr>
              <w:t>informacijske djelatnosti</w:t>
            </w:r>
          </w:p>
          <w:p w14:paraId="532DA39A" w14:textId="45F623D2" w:rsidR="004976E4" w:rsidRPr="00754025" w:rsidRDefault="002950C1" w:rsidP="00165C16">
            <w:pPr>
              <w:pStyle w:val="StandardWeb"/>
              <w:numPr>
                <w:ilvl w:val="0"/>
                <w:numId w:val="4"/>
              </w:numPr>
              <w:spacing w:before="60" w:beforeAutospacing="0" w:after="60" w:afterAutospacing="0"/>
              <w:ind w:left="319" w:right="-2" w:hanging="284"/>
              <w:rPr>
                <w:rFonts w:asciiTheme="minorHAnsi" w:hAnsiTheme="minorHAnsi" w:cstheme="minorHAnsi"/>
                <w:sz w:val="18"/>
                <w:szCs w:val="18"/>
              </w:rPr>
            </w:pPr>
            <w:r>
              <w:rPr>
                <w:rFonts w:asciiTheme="minorHAnsi" w:hAnsiTheme="minorHAnsi" w:cstheme="minorHAnsi"/>
                <w:sz w:val="18"/>
                <w:szCs w:val="18"/>
              </w:rPr>
              <w:t>o</w:t>
            </w:r>
            <w:r w:rsidR="004976E4">
              <w:rPr>
                <w:rFonts w:asciiTheme="minorHAnsi" w:hAnsiTheme="minorHAnsi" w:cstheme="minorHAnsi"/>
                <w:sz w:val="18"/>
                <w:szCs w:val="18"/>
              </w:rPr>
              <w:t>štećenja na zgradama kao posljedica potresa 22.ožujka 2020. godine</w:t>
            </w:r>
          </w:p>
          <w:p w14:paraId="18EA3186" w14:textId="77777777" w:rsidR="004976E4" w:rsidRPr="001765D1" w:rsidRDefault="004976E4" w:rsidP="00F50578">
            <w:pPr>
              <w:pStyle w:val="StandardWeb"/>
              <w:spacing w:before="60" w:beforeAutospacing="0" w:after="60" w:afterAutospacing="0"/>
              <w:ind w:right="-2"/>
              <w:rPr>
                <w:rFonts w:ascii="Calibri" w:hAnsi="Calibri" w:cs="Calibri"/>
                <w:sz w:val="18"/>
                <w:szCs w:val="18"/>
              </w:rPr>
            </w:pPr>
          </w:p>
          <w:p w14:paraId="6B7AAEB4" w14:textId="77777777" w:rsidR="004976E4" w:rsidRDefault="004976E4" w:rsidP="00F50578">
            <w:pPr>
              <w:pStyle w:val="StandardWeb"/>
              <w:spacing w:before="60" w:beforeAutospacing="0" w:after="60" w:afterAutospacing="0"/>
              <w:ind w:left="319" w:right="-2"/>
              <w:rPr>
                <w:rFonts w:ascii="Calibri" w:hAnsi="Calibri" w:cs="Calibri"/>
                <w:sz w:val="18"/>
                <w:szCs w:val="18"/>
              </w:rPr>
            </w:pPr>
          </w:p>
          <w:p w14:paraId="5C8D251A" w14:textId="77777777" w:rsidR="004976E4" w:rsidRDefault="004976E4" w:rsidP="00F50578">
            <w:pPr>
              <w:pStyle w:val="StandardWeb"/>
              <w:spacing w:before="60" w:beforeAutospacing="0" w:after="60" w:afterAutospacing="0"/>
              <w:ind w:left="319" w:right="-2"/>
              <w:rPr>
                <w:rFonts w:ascii="Calibri" w:hAnsi="Calibri" w:cs="Calibri"/>
                <w:sz w:val="18"/>
                <w:szCs w:val="18"/>
              </w:rPr>
            </w:pPr>
          </w:p>
        </w:tc>
        <w:tc>
          <w:tcPr>
            <w:tcW w:w="4643" w:type="dxa"/>
            <w:shd w:val="clear" w:color="auto" w:fill="99CCFF"/>
            <w:hideMark/>
          </w:tcPr>
          <w:p w14:paraId="2DD53E13" w14:textId="53C02E05"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oticati gradnju objekata po mjeri djeteta za veći obuhvat djece, ponajprije u novim stambenim naseljima i u gradskim četvrtima gdje nedostaju kapaciteti</w:t>
            </w:r>
          </w:p>
          <w:p w14:paraId="68BB1A65" w14:textId="68D7BB03"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oticati gradnju prostora u dječjim vrtić</w:t>
            </w:r>
            <w:r w:rsidR="00826F47">
              <w:rPr>
                <w:rFonts w:ascii="Calibri" w:hAnsi="Calibri" w:cs="Calibri"/>
                <w:sz w:val="18"/>
                <w:szCs w:val="18"/>
              </w:rPr>
              <w:t>ima</w:t>
            </w:r>
            <w:r w:rsidR="004976E4">
              <w:rPr>
                <w:rFonts w:ascii="Calibri" w:hAnsi="Calibri" w:cs="Calibri"/>
                <w:sz w:val="18"/>
                <w:szCs w:val="18"/>
              </w:rPr>
              <w:t xml:space="preserve"> za razvoj i provođenje specijaliziranih programa</w:t>
            </w:r>
          </w:p>
          <w:p w14:paraId="6CF07712" w14:textId="07E57B49"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p</w:t>
            </w:r>
            <w:r w:rsidR="004976E4" w:rsidRPr="00830502">
              <w:rPr>
                <w:rFonts w:ascii="Calibri" w:hAnsi="Calibri" w:cs="Calibri"/>
                <w:sz w:val="18"/>
                <w:szCs w:val="18"/>
              </w:rPr>
              <w:t>oticati opremanje prostora u dječjim vrtićima za razvoj i provođenje posebnih i alternativnih programa</w:t>
            </w:r>
          </w:p>
          <w:p w14:paraId="6014DA55" w14:textId="5A5C4245" w:rsidR="004976E4" w:rsidRPr="007E2732"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o</w:t>
            </w:r>
            <w:r w:rsidR="004976E4" w:rsidRPr="007E2732">
              <w:rPr>
                <w:rFonts w:ascii="Calibri" w:hAnsi="Calibri" w:cs="Calibri"/>
                <w:sz w:val="18"/>
                <w:szCs w:val="18"/>
              </w:rPr>
              <w:t>sigurati adaptacije, uređenja i opremanje starih prostora i objekata prema zahtjevima kurikuluma</w:t>
            </w:r>
          </w:p>
          <w:p w14:paraId="1B08E531" w14:textId="34BCEBBA"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 xml:space="preserve">održati mrežu dječjih vrtića s bazenom. </w:t>
            </w:r>
          </w:p>
          <w:p w14:paraId="3F4D5B5F" w14:textId="36E1777A"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d</w:t>
            </w:r>
            <w:r w:rsidR="004976E4">
              <w:rPr>
                <w:rFonts w:ascii="Calibri" w:hAnsi="Calibri" w:cs="Calibri"/>
                <w:sz w:val="18"/>
                <w:szCs w:val="18"/>
              </w:rPr>
              <w:t xml:space="preserve">ograditi polivalentne prostore za tjelesne aktivnosti djece; dvorane prenamijenjene u odgojne skupine vratiti osnovnoj namjeni </w:t>
            </w:r>
          </w:p>
          <w:p w14:paraId="15B72BCC" w14:textId="6AAE6FC9"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o</w:t>
            </w:r>
            <w:r w:rsidR="004976E4">
              <w:rPr>
                <w:rFonts w:ascii="Calibri" w:hAnsi="Calibri" w:cs="Calibri"/>
                <w:sz w:val="18"/>
                <w:szCs w:val="18"/>
              </w:rPr>
              <w:t>sigurati svakom vrtiću ograđen i siguran prostor za boravak na zraku u najbližoj okolici. Vanjske prostore i objekte staviti pod video nadzor</w:t>
            </w:r>
          </w:p>
          <w:p w14:paraId="2F17F43F" w14:textId="3B956524"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r</w:t>
            </w:r>
            <w:r w:rsidR="004976E4">
              <w:rPr>
                <w:rFonts w:ascii="Calibri" w:hAnsi="Calibri" w:cs="Calibri"/>
                <w:sz w:val="18"/>
                <w:szCs w:val="18"/>
              </w:rPr>
              <w:t>azvijati poludnevne, smjenske i kraće programe za djecu i roditelje koji ne trebaju cjelodnevni, desetsatni program: radno vrijeme prilagođavati potrebama obitelji</w:t>
            </w:r>
          </w:p>
          <w:p w14:paraId="4501E523" w14:textId="16042EFC"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u</w:t>
            </w:r>
            <w:r w:rsidR="004976E4">
              <w:rPr>
                <w:rFonts w:ascii="Calibri" w:hAnsi="Calibri" w:cs="Calibri"/>
                <w:sz w:val="18"/>
                <w:szCs w:val="18"/>
              </w:rPr>
              <w:t>lagati u izgradnju i rekonstrukciju objekata koji služe za edukaciju djece u prirodi te u dodatne sadržaje na tim lokacijama</w:t>
            </w:r>
          </w:p>
          <w:p w14:paraId="74C037CB" w14:textId="2C1A078B"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k</w:t>
            </w:r>
            <w:r w:rsidR="004976E4">
              <w:rPr>
                <w:rFonts w:ascii="Calibri" w:hAnsi="Calibri" w:cs="Calibri"/>
                <w:sz w:val="18"/>
                <w:szCs w:val="18"/>
              </w:rPr>
              <w:t>ontinuirano ulagati u podizanje standarda ob</w:t>
            </w:r>
            <w:r w:rsidR="00FA089D">
              <w:rPr>
                <w:rFonts w:ascii="Calibri" w:hAnsi="Calibri" w:cs="Calibri"/>
                <w:sz w:val="18"/>
                <w:szCs w:val="18"/>
              </w:rPr>
              <w:t>j</w:t>
            </w:r>
            <w:r w:rsidR="004976E4">
              <w:rPr>
                <w:rFonts w:ascii="Calibri" w:hAnsi="Calibri" w:cs="Calibri"/>
                <w:sz w:val="18"/>
                <w:szCs w:val="18"/>
              </w:rPr>
              <w:t>e</w:t>
            </w:r>
            <w:r w:rsidR="00FA089D">
              <w:rPr>
                <w:rFonts w:ascii="Calibri" w:hAnsi="Calibri" w:cs="Calibri"/>
                <w:sz w:val="18"/>
                <w:szCs w:val="18"/>
              </w:rPr>
              <w:t>k</w:t>
            </w:r>
            <w:r w:rsidR="004976E4">
              <w:rPr>
                <w:rFonts w:ascii="Calibri" w:hAnsi="Calibri" w:cs="Calibri"/>
                <w:sz w:val="18"/>
                <w:szCs w:val="18"/>
              </w:rPr>
              <w:t>ata u kojima borave djeca i mladi</w:t>
            </w:r>
          </w:p>
          <w:p w14:paraId="0D295CE9" w14:textId="027A5B52"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lastRenderedPageBreak/>
              <w:t>u</w:t>
            </w:r>
            <w:r w:rsidR="004976E4">
              <w:rPr>
                <w:rFonts w:ascii="Calibri" w:hAnsi="Calibri" w:cs="Calibri"/>
                <w:sz w:val="18"/>
                <w:szCs w:val="18"/>
              </w:rPr>
              <w:t xml:space="preserve">lagati u specijaliste za organiziranje boravka djece </w:t>
            </w:r>
            <w:r w:rsidR="002805C3">
              <w:rPr>
                <w:rFonts w:ascii="Calibri" w:hAnsi="Calibri" w:cs="Calibri"/>
                <w:sz w:val="18"/>
                <w:szCs w:val="18"/>
              </w:rPr>
              <w:t>i</w:t>
            </w:r>
            <w:r w:rsidR="004976E4">
              <w:rPr>
                <w:rFonts w:ascii="Calibri" w:hAnsi="Calibri" w:cs="Calibri"/>
                <w:sz w:val="18"/>
                <w:szCs w:val="18"/>
              </w:rPr>
              <w:t xml:space="preserve"> mladih (ljetovanja, zimovanja, škole u prirodi) uz dopunu ponude novim i atraktivnim sadržajima</w:t>
            </w:r>
          </w:p>
          <w:p w14:paraId="06DE1B5C" w14:textId="551BDCD3"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u</w:t>
            </w:r>
            <w:r w:rsidR="004976E4">
              <w:rPr>
                <w:rFonts w:ascii="Calibri" w:hAnsi="Calibri" w:cs="Calibri"/>
                <w:sz w:val="18"/>
                <w:szCs w:val="18"/>
              </w:rPr>
              <w:t>laga</w:t>
            </w:r>
            <w:r w:rsidR="002805C3">
              <w:rPr>
                <w:rFonts w:ascii="Calibri" w:hAnsi="Calibri" w:cs="Calibri"/>
                <w:sz w:val="18"/>
                <w:szCs w:val="18"/>
              </w:rPr>
              <w:t>ti</w:t>
            </w:r>
            <w:r w:rsidR="004976E4">
              <w:rPr>
                <w:rFonts w:ascii="Calibri" w:hAnsi="Calibri" w:cs="Calibri"/>
                <w:sz w:val="18"/>
                <w:szCs w:val="18"/>
              </w:rPr>
              <w:t xml:space="preserve"> u dodatne sadržaje za boravak djece izvan škole/vrtića</w:t>
            </w:r>
          </w:p>
          <w:p w14:paraId="11CC3B31" w14:textId="1E1AD3A9"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o</w:t>
            </w:r>
            <w:r w:rsidR="004976E4">
              <w:rPr>
                <w:rFonts w:ascii="Calibri" w:hAnsi="Calibri" w:cs="Calibri"/>
                <w:sz w:val="18"/>
                <w:szCs w:val="18"/>
              </w:rPr>
              <w:t>tvoriti prostor vrtića u popodnevnim satima programima za djecu i roditelje u organizaciji civilnog društva</w:t>
            </w:r>
          </w:p>
          <w:p w14:paraId="63078510" w14:textId="7DE69115"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r</w:t>
            </w:r>
            <w:r w:rsidR="004976E4">
              <w:rPr>
                <w:rFonts w:ascii="Calibri" w:hAnsi="Calibri" w:cs="Calibri"/>
                <w:sz w:val="18"/>
                <w:szCs w:val="18"/>
              </w:rPr>
              <w:t>azvijati programe za djecu od 6 mjeseci do 1 godine, za djecu s teškoćama u razvoju i darovitu djecu</w:t>
            </w:r>
          </w:p>
          <w:p w14:paraId="3288B4D8" w14:textId="153E8257"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o</w:t>
            </w:r>
            <w:r w:rsidR="004976E4">
              <w:rPr>
                <w:rFonts w:ascii="Calibri" w:hAnsi="Calibri" w:cs="Calibri"/>
                <w:sz w:val="18"/>
                <w:szCs w:val="18"/>
              </w:rPr>
              <w:t>sigurati svakom djetetu jednu godinu prije polaska u školu uključivanje u program predškole</w:t>
            </w:r>
          </w:p>
          <w:p w14:paraId="418E89E0" w14:textId="1B48A6FB"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u</w:t>
            </w:r>
            <w:r w:rsidR="004976E4">
              <w:rPr>
                <w:rFonts w:ascii="Calibri" w:hAnsi="Calibri" w:cs="Calibri"/>
                <w:sz w:val="18"/>
                <w:szCs w:val="18"/>
              </w:rPr>
              <w:t xml:space="preserve"> redoviti cjelodnevni program prioritetno uključivati djecu zaposlenih roditelja i djecu iz obitelji slabijega socijalnog statusa</w:t>
            </w:r>
          </w:p>
          <w:p w14:paraId="144C3430" w14:textId="5CE86AF0"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oticati i razvijati programe rane intervencije</w:t>
            </w:r>
          </w:p>
          <w:p w14:paraId="4A7AD8CC" w14:textId="58DDAD1A"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oticati i razvijati programe za podršku boljem roditeljstvu - razvoj vrtića kao centra za obitelj</w:t>
            </w:r>
          </w:p>
          <w:p w14:paraId="65DBEF43" w14:textId="7169365E" w:rsidR="004976E4" w:rsidRDefault="002950C1" w:rsidP="00165C16">
            <w:pPr>
              <w:pStyle w:val="StandardWeb"/>
              <w:numPr>
                <w:ilvl w:val="0"/>
                <w:numId w:val="4"/>
              </w:numPr>
              <w:spacing w:before="60" w:beforeAutospacing="0" w:after="60" w:afterAutospacing="0"/>
              <w:ind w:left="319" w:right="-2" w:hanging="284"/>
              <w:rPr>
                <w:rFonts w:ascii="Calibri" w:hAnsi="Calibri" w:cs="Calibri"/>
                <w:sz w:val="18"/>
                <w:szCs w:val="18"/>
              </w:rPr>
            </w:pPr>
            <w:r>
              <w:rPr>
                <w:rFonts w:ascii="Calibri" w:hAnsi="Calibri" w:cs="Calibri"/>
                <w:sz w:val="18"/>
                <w:szCs w:val="18"/>
              </w:rPr>
              <w:t>o</w:t>
            </w:r>
            <w:r w:rsidR="004976E4">
              <w:rPr>
                <w:rFonts w:ascii="Calibri" w:hAnsi="Calibri" w:cs="Calibri"/>
                <w:sz w:val="18"/>
                <w:szCs w:val="18"/>
              </w:rPr>
              <w:t xml:space="preserve">sigurati softversku podršku i povezanost sustava predškolskog odgoja i obrazovanja </w:t>
            </w:r>
          </w:p>
          <w:p w14:paraId="4176BF6C" w14:textId="77450557" w:rsidR="004976E4" w:rsidRDefault="002950C1" w:rsidP="00165C16">
            <w:pPr>
              <w:pStyle w:val="StandardWeb"/>
              <w:numPr>
                <w:ilvl w:val="0"/>
                <w:numId w:val="4"/>
              </w:numPr>
              <w:spacing w:before="60" w:beforeAutospacing="0" w:after="60" w:afterAutospacing="0"/>
              <w:ind w:left="319" w:right="-2" w:hanging="284"/>
              <w:rPr>
                <w:rFonts w:asciiTheme="minorHAnsi" w:hAnsiTheme="minorHAnsi" w:cstheme="minorHAnsi"/>
                <w:sz w:val="18"/>
                <w:szCs w:val="18"/>
              </w:rPr>
            </w:pPr>
            <w:r>
              <w:rPr>
                <w:rFonts w:asciiTheme="minorHAnsi" w:hAnsiTheme="minorHAnsi" w:cstheme="minorHAnsi"/>
                <w:sz w:val="18"/>
                <w:szCs w:val="18"/>
              </w:rPr>
              <w:t>e</w:t>
            </w:r>
            <w:r w:rsidR="004976E4" w:rsidRPr="00431446">
              <w:rPr>
                <w:rFonts w:asciiTheme="minorHAnsi" w:hAnsiTheme="minorHAnsi" w:cstheme="minorHAnsi"/>
                <w:sz w:val="18"/>
                <w:szCs w:val="18"/>
              </w:rPr>
              <w:t>du</w:t>
            </w:r>
            <w:r w:rsidR="002805C3">
              <w:rPr>
                <w:rFonts w:asciiTheme="minorHAnsi" w:hAnsiTheme="minorHAnsi" w:cstheme="minorHAnsi"/>
                <w:sz w:val="18"/>
                <w:szCs w:val="18"/>
              </w:rPr>
              <w:t>cirati</w:t>
            </w:r>
            <w:r w:rsidR="004976E4" w:rsidRPr="00431446">
              <w:rPr>
                <w:rFonts w:asciiTheme="minorHAnsi" w:hAnsiTheme="minorHAnsi" w:cstheme="minorHAnsi"/>
                <w:sz w:val="18"/>
                <w:szCs w:val="18"/>
              </w:rPr>
              <w:t xml:space="preserve"> djelatnik</w:t>
            </w:r>
            <w:r w:rsidR="002805C3">
              <w:rPr>
                <w:rFonts w:asciiTheme="minorHAnsi" w:hAnsiTheme="minorHAnsi" w:cstheme="minorHAnsi"/>
                <w:sz w:val="18"/>
                <w:szCs w:val="18"/>
              </w:rPr>
              <w:t>e</w:t>
            </w:r>
            <w:r w:rsidR="004976E4" w:rsidRPr="00431446">
              <w:rPr>
                <w:rFonts w:asciiTheme="minorHAnsi" w:hAnsiTheme="minorHAnsi" w:cstheme="minorHAnsi"/>
                <w:sz w:val="18"/>
                <w:szCs w:val="18"/>
              </w:rPr>
              <w:t>, ustroj</w:t>
            </w:r>
            <w:r w:rsidR="002805C3">
              <w:rPr>
                <w:rFonts w:asciiTheme="minorHAnsi" w:hAnsiTheme="minorHAnsi" w:cstheme="minorHAnsi"/>
                <w:sz w:val="18"/>
                <w:szCs w:val="18"/>
              </w:rPr>
              <w:t>iti</w:t>
            </w:r>
            <w:r w:rsidR="004976E4" w:rsidRPr="00431446">
              <w:rPr>
                <w:rFonts w:asciiTheme="minorHAnsi" w:hAnsiTheme="minorHAnsi" w:cstheme="minorHAnsi"/>
                <w:sz w:val="18"/>
                <w:szCs w:val="18"/>
              </w:rPr>
              <w:t xml:space="preserve"> timov</w:t>
            </w:r>
            <w:r w:rsidR="002805C3">
              <w:rPr>
                <w:rFonts w:asciiTheme="minorHAnsi" w:hAnsiTheme="minorHAnsi" w:cstheme="minorHAnsi"/>
                <w:sz w:val="18"/>
                <w:szCs w:val="18"/>
              </w:rPr>
              <w:t>e</w:t>
            </w:r>
            <w:r w:rsidR="004976E4" w:rsidRPr="00431446">
              <w:rPr>
                <w:rFonts w:asciiTheme="minorHAnsi" w:hAnsiTheme="minorHAnsi" w:cstheme="minorHAnsi"/>
                <w:sz w:val="18"/>
                <w:szCs w:val="18"/>
              </w:rPr>
              <w:t xml:space="preserve"> stručnjaka u vrtićima i lokalnoj upravi za izradu i provođenje projekata bespovratnim sredstvima EU i/ili sredstvima drugih nacionalnih i/ili međunarodnih institucija</w:t>
            </w:r>
          </w:p>
          <w:p w14:paraId="4648713A" w14:textId="2360A566" w:rsidR="00540014" w:rsidRPr="00431446" w:rsidRDefault="002950C1" w:rsidP="00165C16">
            <w:pPr>
              <w:pStyle w:val="StandardWeb"/>
              <w:numPr>
                <w:ilvl w:val="0"/>
                <w:numId w:val="4"/>
              </w:numPr>
              <w:spacing w:before="60" w:beforeAutospacing="0" w:after="60" w:afterAutospacing="0"/>
              <w:ind w:left="319" w:right="-2" w:hanging="284"/>
              <w:rPr>
                <w:rFonts w:asciiTheme="minorHAnsi" w:hAnsiTheme="minorHAnsi" w:cstheme="minorHAnsi"/>
                <w:sz w:val="18"/>
                <w:szCs w:val="18"/>
              </w:rPr>
            </w:pPr>
            <w:r>
              <w:rPr>
                <w:rFonts w:asciiTheme="minorHAnsi" w:hAnsiTheme="minorHAnsi" w:cstheme="minorHAnsi"/>
                <w:sz w:val="18"/>
                <w:szCs w:val="18"/>
              </w:rPr>
              <w:t>p</w:t>
            </w:r>
            <w:r w:rsidR="00540014">
              <w:rPr>
                <w:rFonts w:asciiTheme="minorHAnsi" w:hAnsiTheme="minorHAnsi" w:cstheme="minorHAnsi"/>
                <w:sz w:val="18"/>
                <w:szCs w:val="18"/>
              </w:rPr>
              <w:t>oticati javno-privatno partnerstvo za izgradnju</w:t>
            </w:r>
            <w:r w:rsidR="00BF3101">
              <w:rPr>
                <w:rFonts w:asciiTheme="minorHAnsi" w:hAnsiTheme="minorHAnsi" w:cstheme="minorHAnsi"/>
                <w:sz w:val="18"/>
                <w:szCs w:val="18"/>
              </w:rPr>
              <w:t xml:space="preserve"> vrtića</w:t>
            </w:r>
            <w:r w:rsidR="00540014">
              <w:rPr>
                <w:rFonts w:asciiTheme="minorHAnsi" w:hAnsiTheme="minorHAnsi" w:cstheme="minorHAnsi"/>
                <w:sz w:val="18"/>
                <w:szCs w:val="18"/>
              </w:rPr>
              <w:t xml:space="preserve"> i organizaciju programa vrtićke skrbi kako bi se povećali kapaciteti te se proširio </w:t>
            </w:r>
            <w:r w:rsidR="00540014">
              <w:rPr>
                <w:rFonts w:ascii="Calibri" w:hAnsi="Calibri" w:cs="Calibri"/>
                <w:sz w:val="18"/>
                <w:szCs w:val="18"/>
              </w:rPr>
              <w:t>obuhvat djece (npr. poticanje dnevne brige o djeci unutar poslovnih zona u organizaciji privatnih institucija, uz gradsku financijsku i stručnu potporu</w:t>
            </w:r>
          </w:p>
          <w:p w14:paraId="039A6329" w14:textId="77777777" w:rsidR="004976E4" w:rsidRPr="00754025" w:rsidRDefault="004976E4" w:rsidP="00F50578">
            <w:pPr>
              <w:pStyle w:val="StandardWeb"/>
              <w:spacing w:before="60" w:beforeAutospacing="0" w:after="60" w:afterAutospacing="0"/>
              <w:ind w:left="319" w:right="-2"/>
              <w:rPr>
                <w:rFonts w:asciiTheme="minorHAnsi" w:hAnsiTheme="minorHAnsi" w:cstheme="minorHAnsi"/>
                <w:sz w:val="18"/>
                <w:szCs w:val="18"/>
              </w:rPr>
            </w:pPr>
          </w:p>
        </w:tc>
      </w:tr>
    </w:tbl>
    <w:p w14:paraId="581BCBB4" w14:textId="33B88F5D" w:rsidR="00E2286C" w:rsidRDefault="00E2286C" w:rsidP="004976E4">
      <w:pPr>
        <w:spacing w:line="240" w:lineRule="auto"/>
        <w:jc w:val="both"/>
        <w:rPr>
          <w:rFonts w:cs="Calibri"/>
          <w:b/>
          <w:bCs/>
        </w:rPr>
      </w:pPr>
    </w:p>
    <w:p w14:paraId="6A4F35CD" w14:textId="3FF94012" w:rsidR="004976E4" w:rsidRDefault="004976E4" w:rsidP="004976E4">
      <w:pPr>
        <w:spacing w:line="240" w:lineRule="auto"/>
        <w:jc w:val="both"/>
        <w:rPr>
          <w:rFonts w:cs="Calibri"/>
          <w:strike/>
        </w:rPr>
      </w:pPr>
      <w:bookmarkStart w:id="24" w:name="_Hlk97113578"/>
      <w:r w:rsidRPr="006878A4">
        <w:rPr>
          <w:rFonts w:cs="Calibri"/>
          <w:b/>
          <w:bCs/>
        </w:rPr>
        <w:t>Djelatnost odgoja i osnovnog obrazovanja</w:t>
      </w:r>
    </w:p>
    <w:bookmarkEnd w:id="24"/>
    <w:p w14:paraId="7BCFE7D7" w14:textId="77777777" w:rsidR="004976E4" w:rsidRPr="00680851" w:rsidRDefault="004976E4" w:rsidP="004976E4">
      <w:pPr>
        <w:shd w:val="clear" w:color="auto" w:fill="FFFFFF"/>
        <w:spacing w:line="240" w:lineRule="auto"/>
        <w:jc w:val="both"/>
        <w:rPr>
          <w:rFonts w:cs="Calibri"/>
          <w:b/>
          <w:bCs/>
        </w:rPr>
      </w:pPr>
      <w:r>
        <w:rPr>
          <w:rFonts w:cs="Calibri"/>
        </w:rPr>
        <w:t xml:space="preserve">Na području </w:t>
      </w:r>
      <w:r w:rsidRPr="00786C46">
        <w:rPr>
          <w:rFonts w:cs="Calibri"/>
        </w:rPr>
        <w:t>Grad</w:t>
      </w:r>
      <w:r>
        <w:rPr>
          <w:rFonts w:cs="Calibri"/>
        </w:rPr>
        <w:t>a</w:t>
      </w:r>
      <w:r w:rsidRPr="00786C46">
        <w:rPr>
          <w:rFonts w:cs="Calibri"/>
        </w:rPr>
        <w:t xml:space="preserve"> Zagreb</w:t>
      </w:r>
      <w:r>
        <w:rPr>
          <w:rFonts w:cs="Calibri"/>
        </w:rPr>
        <w:t>a</w:t>
      </w:r>
      <w:r w:rsidRPr="00786C46">
        <w:rPr>
          <w:rFonts w:cs="Calibri"/>
        </w:rPr>
        <w:t xml:space="preserve"> </w:t>
      </w:r>
      <w:r>
        <w:rPr>
          <w:rFonts w:cs="Calibri"/>
        </w:rPr>
        <w:t>nalazi se</w:t>
      </w:r>
      <w:r w:rsidRPr="00786C46">
        <w:rPr>
          <w:rFonts w:cs="Calibri"/>
        </w:rPr>
        <w:t xml:space="preserve"> 131 osnovna škola</w:t>
      </w:r>
      <w:r>
        <w:rPr>
          <w:rStyle w:val="Referencafusnote"/>
          <w:rFonts w:cs="Calibri"/>
        </w:rPr>
        <w:footnoteReference w:id="20"/>
      </w:r>
      <w:r>
        <w:rPr>
          <w:rFonts w:cs="Calibri"/>
        </w:rPr>
        <w:t xml:space="preserve">. </w:t>
      </w:r>
      <w:r w:rsidRPr="002C43BE">
        <w:rPr>
          <w:rFonts w:cs="Calibri"/>
        </w:rPr>
        <w:t>Djelatnost odgoja i osnovnog obrazovanja, kao obvezna razina odgoja i obrazovanja kojoj je funkcija osiguravanje stjecanja šireg općeg odgoja i obrazovanja, provodi se u školskoj godini 2020./2021. u Gradu Zagrebu u:</w:t>
      </w:r>
      <w:r w:rsidRPr="00680851" w:rsidDel="002C43BE">
        <w:rPr>
          <w:rFonts w:cs="Calibri"/>
        </w:rPr>
        <w:t xml:space="preserve"> </w:t>
      </w:r>
    </w:p>
    <w:p w14:paraId="71FE124C" w14:textId="77777777" w:rsidR="004976E4" w:rsidRPr="00680851" w:rsidRDefault="004976E4" w:rsidP="004976E4">
      <w:pPr>
        <w:shd w:val="clear" w:color="auto" w:fill="FFFFFF"/>
        <w:spacing w:line="240" w:lineRule="auto"/>
        <w:jc w:val="both"/>
        <w:rPr>
          <w:rFonts w:cs="Calibri"/>
        </w:rPr>
      </w:pPr>
      <w:r w:rsidRPr="002C43BE">
        <w:rPr>
          <w:rFonts w:cs="Calibri"/>
          <w:bCs/>
        </w:rPr>
        <w:t>a) osnovnim školama (ustanovama) kojima je osnivač Grad Zagreb:</w:t>
      </w:r>
      <w:r w:rsidRPr="00680851">
        <w:rPr>
          <w:rFonts w:cs="Calibri"/>
        </w:rPr>
        <w:t xml:space="preserve">- 111 redovnih osnovnih škola u koje je upisano </w:t>
      </w:r>
      <w:r>
        <w:rPr>
          <w:rFonts w:cs="Calibri"/>
        </w:rPr>
        <w:t xml:space="preserve">63.148 </w:t>
      </w:r>
      <w:r w:rsidRPr="00680851">
        <w:rPr>
          <w:rFonts w:cs="Calibri"/>
        </w:rPr>
        <w:t>učenika u 2.9</w:t>
      </w:r>
      <w:r>
        <w:rPr>
          <w:rFonts w:cs="Calibri"/>
        </w:rPr>
        <w:t>78</w:t>
      </w:r>
      <w:r w:rsidRPr="00680851">
        <w:rPr>
          <w:rFonts w:cs="Calibri"/>
        </w:rPr>
        <w:t xml:space="preserve"> razrednih odjela (uključivo i 18 područnih objekata)</w:t>
      </w:r>
      <w:r w:rsidRPr="00680851">
        <w:rPr>
          <w:rStyle w:val="Referencafusnote"/>
          <w:rFonts w:cs="Calibri"/>
        </w:rPr>
        <w:footnoteReference w:id="21"/>
      </w:r>
    </w:p>
    <w:p w14:paraId="3B10DCBB" w14:textId="77777777" w:rsidR="004976E4" w:rsidRPr="00680851" w:rsidRDefault="004976E4" w:rsidP="004976E4">
      <w:pPr>
        <w:shd w:val="clear" w:color="auto" w:fill="FFFFFF"/>
        <w:spacing w:line="240" w:lineRule="auto"/>
        <w:jc w:val="both"/>
        <w:rPr>
          <w:rFonts w:cs="Calibri"/>
        </w:rPr>
      </w:pPr>
      <w:r w:rsidRPr="00680851">
        <w:rPr>
          <w:rFonts w:cs="Calibri"/>
        </w:rPr>
        <w:t>- 4 osnovne škole za učenike s teškoćama u koje je upisano 7</w:t>
      </w:r>
      <w:r>
        <w:rPr>
          <w:rFonts w:cs="Calibri"/>
        </w:rPr>
        <w:t>44</w:t>
      </w:r>
      <w:r w:rsidRPr="00680851">
        <w:rPr>
          <w:rFonts w:cs="Calibri"/>
        </w:rPr>
        <w:t xml:space="preserve"> učenika u 13</w:t>
      </w:r>
      <w:r>
        <w:rPr>
          <w:rFonts w:cs="Calibri"/>
        </w:rPr>
        <w:t>4</w:t>
      </w:r>
      <w:r w:rsidRPr="00680851">
        <w:rPr>
          <w:rFonts w:cs="Calibri"/>
          <w:b/>
        </w:rPr>
        <w:t xml:space="preserve"> </w:t>
      </w:r>
      <w:r w:rsidRPr="00680851">
        <w:rPr>
          <w:rFonts w:cs="Calibri"/>
        </w:rPr>
        <w:t>razrednom odjelu,</w:t>
      </w:r>
    </w:p>
    <w:p w14:paraId="10F0B3CC" w14:textId="77777777" w:rsidR="004976E4" w:rsidRPr="00680851" w:rsidRDefault="004976E4" w:rsidP="004976E4">
      <w:pPr>
        <w:shd w:val="clear" w:color="auto" w:fill="FFFFFF"/>
        <w:spacing w:line="240" w:lineRule="auto"/>
        <w:jc w:val="both"/>
        <w:rPr>
          <w:rFonts w:cs="Calibri"/>
        </w:rPr>
      </w:pPr>
      <w:r w:rsidRPr="00680851">
        <w:rPr>
          <w:rFonts w:cs="Calibri"/>
        </w:rPr>
        <w:t xml:space="preserve">- 2 osnovne umjetničke (glazbene) škole u koje je upisano </w:t>
      </w:r>
      <w:r>
        <w:rPr>
          <w:rFonts w:cs="Calibri"/>
        </w:rPr>
        <w:t>883</w:t>
      </w:r>
      <w:r w:rsidRPr="00680851">
        <w:rPr>
          <w:rFonts w:cs="Calibri"/>
        </w:rPr>
        <w:t xml:space="preserve"> učenika u </w:t>
      </w:r>
      <w:r>
        <w:rPr>
          <w:rFonts w:cs="Calibri"/>
        </w:rPr>
        <w:t>85</w:t>
      </w:r>
      <w:r w:rsidRPr="00680851">
        <w:rPr>
          <w:rFonts w:cs="Calibri"/>
        </w:rPr>
        <w:t xml:space="preserve"> razrednih odjela. </w:t>
      </w:r>
    </w:p>
    <w:p w14:paraId="7D2E65FB" w14:textId="76E68C5E" w:rsidR="004976E4" w:rsidRDefault="004976E4" w:rsidP="004976E4">
      <w:pPr>
        <w:shd w:val="clear" w:color="auto" w:fill="FFFFFF"/>
        <w:spacing w:line="240" w:lineRule="auto"/>
        <w:jc w:val="both"/>
        <w:rPr>
          <w:rFonts w:cs="Calibri"/>
        </w:rPr>
      </w:pPr>
      <w:r w:rsidRPr="00680851">
        <w:rPr>
          <w:rFonts w:cs="Calibri"/>
        </w:rPr>
        <w:t xml:space="preserve">Osnovno umjetničko obrazovanje provodi se i u 6 srednjih glazbenih škola te 3 srednje plesne škole u koje je upisano </w:t>
      </w:r>
      <w:r>
        <w:rPr>
          <w:rFonts w:cs="Calibri"/>
        </w:rPr>
        <w:t>4.000</w:t>
      </w:r>
      <w:r w:rsidRPr="00680851">
        <w:rPr>
          <w:rFonts w:cs="Calibri"/>
        </w:rPr>
        <w:t xml:space="preserve"> učenika u </w:t>
      </w:r>
      <w:r>
        <w:rPr>
          <w:rFonts w:cs="Calibri"/>
        </w:rPr>
        <w:t>316</w:t>
      </w:r>
      <w:r w:rsidRPr="00680851">
        <w:rPr>
          <w:rFonts w:cs="Calibri"/>
        </w:rPr>
        <w:t xml:space="preserve"> razrednih odjela.</w:t>
      </w:r>
    </w:p>
    <w:p w14:paraId="05A3E039" w14:textId="03C31258" w:rsidR="00051B1B" w:rsidRPr="00680851" w:rsidRDefault="00803E25" w:rsidP="00803E25">
      <w:pPr>
        <w:pStyle w:val="Opisslike"/>
        <w:rPr>
          <w:rFonts w:cs="Calibri"/>
        </w:rPr>
      </w:pPr>
      <w:r>
        <w:t xml:space="preserve">Tablica </w:t>
      </w:r>
      <w:r w:rsidR="00751C19">
        <w:fldChar w:fldCharType="begin"/>
      </w:r>
      <w:r w:rsidR="00751C19">
        <w:instrText xml:space="preserve"> SEQ Tablica \* ARABIC </w:instrText>
      </w:r>
      <w:r w:rsidR="00751C19">
        <w:fldChar w:fldCharType="separate"/>
      </w:r>
      <w:r>
        <w:rPr>
          <w:noProof/>
        </w:rPr>
        <w:t>5</w:t>
      </w:r>
      <w:r w:rsidR="00751C19">
        <w:rPr>
          <w:noProof/>
        </w:rPr>
        <w:fldChar w:fldCharType="end"/>
      </w:r>
      <w:r>
        <w:t>.</w:t>
      </w:r>
      <w:r w:rsidRPr="00E02CFA">
        <w:t>Osnovne škole (ustanove) kojima je osnivač Grad Zagreb, školska godina 2020./2021</w:t>
      </w:r>
      <w:r>
        <w:t>.</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19"/>
        <w:gridCol w:w="2035"/>
        <w:gridCol w:w="1744"/>
        <w:gridCol w:w="1802"/>
      </w:tblGrid>
      <w:tr w:rsidR="004976E4" w:rsidRPr="002C43BE" w14:paraId="36685740" w14:textId="77777777" w:rsidTr="00F50578">
        <w:trPr>
          <w:tblHeader/>
        </w:trPr>
        <w:tc>
          <w:tcPr>
            <w:tcW w:w="3719" w:type="dxa"/>
            <w:shd w:val="clear" w:color="auto" w:fill="FFFFFF"/>
            <w:tcMar>
              <w:top w:w="0" w:type="dxa"/>
              <w:left w:w="57" w:type="dxa"/>
              <w:bottom w:w="0" w:type="dxa"/>
              <w:right w:w="57" w:type="dxa"/>
            </w:tcMar>
            <w:vAlign w:val="center"/>
            <w:hideMark/>
          </w:tcPr>
          <w:p w14:paraId="780B5C52"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OSNOVNE ŠKOLE</w:t>
            </w:r>
          </w:p>
        </w:tc>
        <w:tc>
          <w:tcPr>
            <w:tcW w:w="2035" w:type="dxa"/>
            <w:shd w:val="clear" w:color="auto" w:fill="FFFFFF"/>
            <w:tcMar>
              <w:top w:w="0" w:type="dxa"/>
              <w:left w:w="57" w:type="dxa"/>
              <w:bottom w:w="0" w:type="dxa"/>
              <w:right w:w="57" w:type="dxa"/>
            </w:tcMar>
            <w:vAlign w:val="center"/>
            <w:hideMark/>
          </w:tcPr>
          <w:p w14:paraId="66E1A5A8"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BROJ ŠKOLA</w:t>
            </w:r>
          </w:p>
        </w:tc>
        <w:tc>
          <w:tcPr>
            <w:tcW w:w="1744" w:type="dxa"/>
            <w:shd w:val="clear" w:color="auto" w:fill="FFFFFF"/>
            <w:tcMar>
              <w:top w:w="0" w:type="dxa"/>
              <w:left w:w="57" w:type="dxa"/>
              <w:bottom w:w="0" w:type="dxa"/>
              <w:right w:w="57" w:type="dxa"/>
            </w:tcMar>
            <w:vAlign w:val="center"/>
            <w:hideMark/>
          </w:tcPr>
          <w:p w14:paraId="799CFF36"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BROJ UČENIKA</w:t>
            </w:r>
          </w:p>
        </w:tc>
        <w:tc>
          <w:tcPr>
            <w:tcW w:w="1802" w:type="dxa"/>
            <w:shd w:val="clear" w:color="auto" w:fill="FFFFFF"/>
            <w:tcMar>
              <w:top w:w="0" w:type="dxa"/>
              <w:left w:w="57" w:type="dxa"/>
              <w:bottom w:w="0" w:type="dxa"/>
              <w:right w:w="57" w:type="dxa"/>
            </w:tcMar>
            <w:vAlign w:val="center"/>
            <w:hideMark/>
          </w:tcPr>
          <w:p w14:paraId="16F7AB03"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BROJ RAZREDNIH ODJELA</w:t>
            </w:r>
          </w:p>
        </w:tc>
      </w:tr>
      <w:tr w:rsidR="004976E4" w:rsidRPr="002C43BE" w14:paraId="26CE862A" w14:textId="77777777" w:rsidTr="00F50578">
        <w:tc>
          <w:tcPr>
            <w:tcW w:w="3719" w:type="dxa"/>
            <w:shd w:val="clear" w:color="auto" w:fill="FFFFFF"/>
            <w:tcMar>
              <w:top w:w="0" w:type="dxa"/>
              <w:left w:w="57" w:type="dxa"/>
              <w:bottom w:w="0" w:type="dxa"/>
              <w:right w:w="57" w:type="dxa"/>
            </w:tcMar>
            <w:hideMark/>
          </w:tcPr>
          <w:p w14:paraId="5BE7FED3" w14:textId="77777777" w:rsidR="004976E4" w:rsidRPr="009A49AE" w:rsidRDefault="004976E4" w:rsidP="00F50578">
            <w:pPr>
              <w:spacing w:after="0" w:line="240" w:lineRule="auto"/>
              <w:jc w:val="both"/>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REDOVITE</w:t>
            </w:r>
          </w:p>
        </w:tc>
        <w:tc>
          <w:tcPr>
            <w:tcW w:w="2035" w:type="dxa"/>
            <w:shd w:val="clear" w:color="auto" w:fill="FFFFFF"/>
            <w:tcMar>
              <w:top w:w="0" w:type="dxa"/>
              <w:left w:w="57" w:type="dxa"/>
              <w:bottom w:w="0" w:type="dxa"/>
              <w:right w:w="57" w:type="dxa"/>
            </w:tcMar>
            <w:hideMark/>
          </w:tcPr>
          <w:p w14:paraId="6E27D6EA"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111</w:t>
            </w:r>
          </w:p>
        </w:tc>
        <w:tc>
          <w:tcPr>
            <w:tcW w:w="1744" w:type="dxa"/>
            <w:shd w:val="clear" w:color="auto" w:fill="FFFFFF"/>
            <w:tcMar>
              <w:top w:w="0" w:type="dxa"/>
              <w:left w:w="57" w:type="dxa"/>
              <w:bottom w:w="0" w:type="dxa"/>
              <w:right w:w="57" w:type="dxa"/>
            </w:tcMar>
            <w:hideMark/>
          </w:tcPr>
          <w:p w14:paraId="096CCF4A"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63.148</w:t>
            </w:r>
          </w:p>
        </w:tc>
        <w:tc>
          <w:tcPr>
            <w:tcW w:w="1802" w:type="dxa"/>
            <w:shd w:val="clear" w:color="auto" w:fill="FFFFFF"/>
            <w:tcMar>
              <w:top w:w="0" w:type="dxa"/>
              <w:left w:w="57" w:type="dxa"/>
              <w:bottom w:w="0" w:type="dxa"/>
              <w:right w:w="57" w:type="dxa"/>
            </w:tcMar>
            <w:hideMark/>
          </w:tcPr>
          <w:p w14:paraId="2E58FC29"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2.978</w:t>
            </w:r>
          </w:p>
        </w:tc>
      </w:tr>
      <w:tr w:rsidR="004976E4" w:rsidRPr="002C43BE" w14:paraId="56718B2F" w14:textId="77777777" w:rsidTr="00F50578">
        <w:tc>
          <w:tcPr>
            <w:tcW w:w="3719" w:type="dxa"/>
            <w:shd w:val="clear" w:color="auto" w:fill="FFFFFF"/>
            <w:tcMar>
              <w:top w:w="0" w:type="dxa"/>
              <w:left w:w="57" w:type="dxa"/>
              <w:bottom w:w="0" w:type="dxa"/>
              <w:right w:w="57" w:type="dxa"/>
            </w:tcMar>
            <w:hideMark/>
          </w:tcPr>
          <w:p w14:paraId="5BFDC7DB" w14:textId="77777777" w:rsidR="004976E4" w:rsidRPr="009A49AE" w:rsidRDefault="004976E4" w:rsidP="00F50578">
            <w:pPr>
              <w:spacing w:after="0" w:line="240" w:lineRule="auto"/>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POSEBNE</w:t>
            </w:r>
          </w:p>
          <w:p w14:paraId="31E90B27" w14:textId="77777777" w:rsidR="004976E4" w:rsidRPr="009A49AE" w:rsidRDefault="004976E4" w:rsidP="00F50578">
            <w:pPr>
              <w:spacing w:after="0" w:line="240" w:lineRule="auto"/>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lastRenderedPageBreak/>
              <w:t>(ZA UČENIKE S TEŠKOĆAMA)</w:t>
            </w:r>
          </w:p>
        </w:tc>
        <w:tc>
          <w:tcPr>
            <w:tcW w:w="2035" w:type="dxa"/>
            <w:shd w:val="clear" w:color="auto" w:fill="FFFFFF"/>
            <w:tcMar>
              <w:top w:w="0" w:type="dxa"/>
              <w:left w:w="57" w:type="dxa"/>
              <w:bottom w:w="0" w:type="dxa"/>
              <w:right w:w="57" w:type="dxa"/>
            </w:tcMar>
            <w:vAlign w:val="center"/>
            <w:hideMark/>
          </w:tcPr>
          <w:p w14:paraId="545DB4E7"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lastRenderedPageBreak/>
              <w:t>4</w:t>
            </w:r>
          </w:p>
        </w:tc>
        <w:tc>
          <w:tcPr>
            <w:tcW w:w="1744" w:type="dxa"/>
            <w:shd w:val="clear" w:color="auto" w:fill="FFFFFF"/>
            <w:tcMar>
              <w:top w:w="0" w:type="dxa"/>
              <w:left w:w="57" w:type="dxa"/>
              <w:bottom w:w="0" w:type="dxa"/>
              <w:right w:w="57" w:type="dxa"/>
            </w:tcMar>
            <w:vAlign w:val="center"/>
            <w:hideMark/>
          </w:tcPr>
          <w:p w14:paraId="29F1E4AD"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744</w:t>
            </w:r>
          </w:p>
        </w:tc>
        <w:tc>
          <w:tcPr>
            <w:tcW w:w="1802" w:type="dxa"/>
            <w:shd w:val="clear" w:color="auto" w:fill="FFFFFF"/>
            <w:tcMar>
              <w:top w:w="0" w:type="dxa"/>
              <w:left w:w="57" w:type="dxa"/>
              <w:bottom w:w="0" w:type="dxa"/>
              <w:right w:w="57" w:type="dxa"/>
            </w:tcMar>
            <w:vAlign w:val="center"/>
            <w:hideMark/>
          </w:tcPr>
          <w:p w14:paraId="3FDE83C2"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134</w:t>
            </w:r>
          </w:p>
        </w:tc>
      </w:tr>
      <w:tr w:rsidR="004976E4" w:rsidRPr="002C43BE" w14:paraId="44E1742B" w14:textId="77777777" w:rsidTr="00F50578">
        <w:tc>
          <w:tcPr>
            <w:tcW w:w="3719" w:type="dxa"/>
            <w:shd w:val="clear" w:color="auto" w:fill="FFFFFF"/>
            <w:tcMar>
              <w:top w:w="0" w:type="dxa"/>
              <w:left w:w="57" w:type="dxa"/>
              <w:bottom w:w="0" w:type="dxa"/>
              <w:right w:w="57" w:type="dxa"/>
            </w:tcMar>
            <w:hideMark/>
          </w:tcPr>
          <w:p w14:paraId="5CF55E84" w14:textId="77777777" w:rsidR="004976E4" w:rsidRPr="009A49AE" w:rsidRDefault="004976E4" w:rsidP="00F50578">
            <w:pPr>
              <w:spacing w:after="0" w:line="240" w:lineRule="auto"/>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UMJETNIČKE</w:t>
            </w:r>
          </w:p>
        </w:tc>
        <w:tc>
          <w:tcPr>
            <w:tcW w:w="2035" w:type="dxa"/>
            <w:shd w:val="clear" w:color="auto" w:fill="FFFFFF"/>
            <w:tcMar>
              <w:top w:w="0" w:type="dxa"/>
              <w:left w:w="57" w:type="dxa"/>
              <w:bottom w:w="0" w:type="dxa"/>
              <w:right w:w="57" w:type="dxa"/>
            </w:tcMar>
            <w:vAlign w:val="center"/>
            <w:hideMark/>
          </w:tcPr>
          <w:p w14:paraId="4C37E2FE"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2</w:t>
            </w:r>
          </w:p>
        </w:tc>
        <w:tc>
          <w:tcPr>
            <w:tcW w:w="1744" w:type="dxa"/>
            <w:shd w:val="clear" w:color="auto" w:fill="FFFFFF"/>
            <w:tcMar>
              <w:top w:w="0" w:type="dxa"/>
              <w:left w:w="57" w:type="dxa"/>
              <w:bottom w:w="0" w:type="dxa"/>
              <w:right w:w="57" w:type="dxa"/>
            </w:tcMar>
            <w:vAlign w:val="center"/>
            <w:hideMark/>
          </w:tcPr>
          <w:p w14:paraId="170BF97A"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883</w:t>
            </w:r>
          </w:p>
        </w:tc>
        <w:tc>
          <w:tcPr>
            <w:tcW w:w="1802" w:type="dxa"/>
            <w:shd w:val="clear" w:color="auto" w:fill="FFFFFF"/>
            <w:tcMar>
              <w:top w:w="0" w:type="dxa"/>
              <w:left w:w="57" w:type="dxa"/>
              <w:bottom w:w="0" w:type="dxa"/>
              <w:right w:w="57" w:type="dxa"/>
            </w:tcMar>
            <w:vAlign w:val="center"/>
            <w:hideMark/>
          </w:tcPr>
          <w:p w14:paraId="416E7092"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85</w:t>
            </w:r>
          </w:p>
        </w:tc>
      </w:tr>
      <w:tr w:rsidR="004976E4" w:rsidRPr="002C43BE" w14:paraId="7D9F5B5E" w14:textId="77777777" w:rsidTr="00F50578">
        <w:tc>
          <w:tcPr>
            <w:tcW w:w="3719" w:type="dxa"/>
            <w:shd w:val="clear" w:color="auto" w:fill="FFFFFF"/>
            <w:tcMar>
              <w:top w:w="0" w:type="dxa"/>
              <w:left w:w="57" w:type="dxa"/>
              <w:bottom w:w="0" w:type="dxa"/>
              <w:right w:w="57" w:type="dxa"/>
            </w:tcMar>
            <w:hideMark/>
          </w:tcPr>
          <w:p w14:paraId="18327B60" w14:textId="77777777" w:rsidR="004976E4" w:rsidRPr="009A49AE" w:rsidRDefault="004976E4" w:rsidP="00F50578">
            <w:pPr>
              <w:spacing w:after="0" w:line="240" w:lineRule="auto"/>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SREDNJE UMJETNIČKE ŠKOLE KOJE PROVODE OSNOVNO GLAZBENO OBRAZOVANJE</w:t>
            </w:r>
          </w:p>
        </w:tc>
        <w:tc>
          <w:tcPr>
            <w:tcW w:w="2035" w:type="dxa"/>
            <w:shd w:val="clear" w:color="auto" w:fill="FFFFFF"/>
            <w:tcMar>
              <w:top w:w="0" w:type="dxa"/>
              <w:left w:w="57" w:type="dxa"/>
              <w:bottom w:w="0" w:type="dxa"/>
              <w:right w:w="57" w:type="dxa"/>
            </w:tcMar>
            <w:vAlign w:val="center"/>
            <w:hideMark/>
          </w:tcPr>
          <w:p w14:paraId="63B3DEF9"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6 </w:t>
            </w:r>
            <w:r w:rsidRPr="009A49AE">
              <w:rPr>
                <w:rFonts w:eastAsia="Times New Roman" w:cstheme="minorHAnsi"/>
                <w:color w:val="000000"/>
                <w:sz w:val="20"/>
                <w:szCs w:val="20"/>
                <w:lang w:eastAsia="hr-HR"/>
              </w:rPr>
              <w:t>GLAZBENIH I</w:t>
            </w:r>
          </w:p>
          <w:p w14:paraId="067DF324"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3 </w:t>
            </w:r>
            <w:r w:rsidRPr="009A49AE">
              <w:rPr>
                <w:rFonts w:eastAsia="Times New Roman" w:cstheme="minorHAnsi"/>
                <w:color w:val="000000"/>
                <w:sz w:val="20"/>
                <w:szCs w:val="20"/>
                <w:lang w:eastAsia="hr-HR"/>
              </w:rPr>
              <w:t>PLESNE ŠKOLE</w:t>
            </w:r>
          </w:p>
        </w:tc>
        <w:tc>
          <w:tcPr>
            <w:tcW w:w="1744" w:type="dxa"/>
            <w:shd w:val="clear" w:color="auto" w:fill="FFFFFF"/>
            <w:tcMar>
              <w:top w:w="0" w:type="dxa"/>
              <w:left w:w="57" w:type="dxa"/>
              <w:bottom w:w="0" w:type="dxa"/>
              <w:right w:w="57" w:type="dxa"/>
            </w:tcMar>
            <w:vAlign w:val="center"/>
            <w:hideMark/>
          </w:tcPr>
          <w:p w14:paraId="28E56925"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4.000</w:t>
            </w:r>
          </w:p>
        </w:tc>
        <w:tc>
          <w:tcPr>
            <w:tcW w:w="1802" w:type="dxa"/>
            <w:shd w:val="clear" w:color="auto" w:fill="FFFFFF"/>
            <w:tcMar>
              <w:top w:w="0" w:type="dxa"/>
              <w:left w:w="57" w:type="dxa"/>
              <w:bottom w:w="0" w:type="dxa"/>
              <w:right w:w="57" w:type="dxa"/>
            </w:tcMar>
            <w:vAlign w:val="center"/>
            <w:hideMark/>
          </w:tcPr>
          <w:p w14:paraId="03FF8BB5" w14:textId="77777777" w:rsidR="004976E4" w:rsidRPr="009A49AE" w:rsidRDefault="004976E4" w:rsidP="00F50578">
            <w:pPr>
              <w:spacing w:after="0" w:line="240" w:lineRule="auto"/>
              <w:jc w:val="center"/>
              <w:rPr>
                <w:rFonts w:eastAsia="Times New Roman" w:cstheme="minorHAnsi"/>
                <w:color w:val="000000"/>
                <w:sz w:val="24"/>
                <w:szCs w:val="24"/>
                <w:lang w:eastAsia="hr-HR"/>
              </w:rPr>
            </w:pPr>
            <w:r w:rsidRPr="009A49AE">
              <w:rPr>
                <w:rFonts w:eastAsia="Times New Roman" w:cstheme="minorHAnsi"/>
                <w:b/>
                <w:bCs/>
                <w:color w:val="000000"/>
                <w:sz w:val="20"/>
                <w:szCs w:val="20"/>
                <w:lang w:eastAsia="hr-HR"/>
              </w:rPr>
              <w:t>316</w:t>
            </w:r>
          </w:p>
        </w:tc>
      </w:tr>
    </w:tbl>
    <w:p w14:paraId="65812353" w14:textId="77777777" w:rsidR="004976E4" w:rsidRPr="00680851" w:rsidRDefault="004976E4" w:rsidP="004976E4">
      <w:pPr>
        <w:shd w:val="clear" w:color="auto" w:fill="FFFFFF"/>
        <w:spacing w:line="240" w:lineRule="auto"/>
        <w:jc w:val="both"/>
        <w:rPr>
          <w:rFonts w:cs="Calibri"/>
        </w:rPr>
      </w:pPr>
      <w:r w:rsidRPr="002C43BE">
        <w:rPr>
          <w:rFonts w:cs="Calibri"/>
        </w:rPr>
        <w:t>Izvor: Službeni glasnik Grada Zagreba, br. 34 od 15.12.2020.</w:t>
      </w:r>
    </w:p>
    <w:p w14:paraId="263522DC" w14:textId="77777777" w:rsidR="004976E4" w:rsidRPr="00680851" w:rsidRDefault="004976E4" w:rsidP="004976E4">
      <w:pPr>
        <w:shd w:val="clear" w:color="auto" w:fill="FFFFFF"/>
        <w:spacing w:line="240" w:lineRule="auto"/>
        <w:jc w:val="both"/>
        <w:rPr>
          <w:rFonts w:cs="Calibri"/>
          <w:bCs/>
        </w:rPr>
      </w:pPr>
      <w:r w:rsidRPr="00680851">
        <w:rPr>
          <w:rFonts w:cs="Calibri"/>
          <w:bCs/>
        </w:rPr>
        <w:t>b) privatnim osnovnim školama s pravom javnosti:</w:t>
      </w:r>
    </w:p>
    <w:p w14:paraId="5F87277D" w14:textId="00714713" w:rsidR="004976E4" w:rsidRDefault="004976E4" w:rsidP="004976E4">
      <w:pPr>
        <w:shd w:val="clear" w:color="auto" w:fill="FFFFFF"/>
        <w:spacing w:line="240" w:lineRule="auto"/>
        <w:jc w:val="both"/>
        <w:rPr>
          <w:rFonts w:cs="Calibri"/>
        </w:rPr>
      </w:pPr>
      <w:r w:rsidRPr="00680851">
        <w:rPr>
          <w:rFonts w:cs="Calibri"/>
        </w:rPr>
        <w:t xml:space="preserve">- </w:t>
      </w:r>
      <w:r>
        <w:rPr>
          <w:rFonts w:cs="Calibri"/>
        </w:rPr>
        <w:t>10</w:t>
      </w:r>
      <w:r w:rsidRPr="00680851">
        <w:rPr>
          <w:rFonts w:cs="Calibri"/>
        </w:rPr>
        <w:t xml:space="preserve"> osnovnih škola u koje je upisano </w:t>
      </w:r>
      <w:r>
        <w:rPr>
          <w:rFonts w:cs="Calibri"/>
        </w:rPr>
        <w:t>875</w:t>
      </w:r>
      <w:r w:rsidRPr="00680851">
        <w:rPr>
          <w:rFonts w:cs="Calibri"/>
        </w:rPr>
        <w:t xml:space="preserve"> učenika u </w:t>
      </w:r>
      <w:r>
        <w:rPr>
          <w:rFonts w:cs="Calibri"/>
        </w:rPr>
        <w:t>52</w:t>
      </w:r>
      <w:r w:rsidRPr="00680851">
        <w:rPr>
          <w:rFonts w:cs="Calibri"/>
        </w:rPr>
        <w:t xml:space="preserve"> razredn</w:t>
      </w:r>
      <w:r>
        <w:rPr>
          <w:rFonts w:cs="Calibri"/>
        </w:rPr>
        <w:t>a</w:t>
      </w:r>
      <w:r w:rsidRPr="00680851">
        <w:rPr>
          <w:rFonts w:cs="Calibri"/>
        </w:rPr>
        <w:t xml:space="preserve"> odjela. Program osnovnog umjetničkog obrazovanja provodi jedna privatna osnovna glazbena škola koju polazi </w:t>
      </w:r>
      <w:r>
        <w:rPr>
          <w:rFonts w:cs="Calibri"/>
        </w:rPr>
        <w:t>37</w:t>
      </w:r>
      <w:r w:rsidRPr="00680851">
        <w:rPr>
          <w:rFonts w:cs="Calibri"/>
        </w:rPr>
        <w:t xml:space="preserve"> učenik</w:t>
      </w:r>
      <w:r>
        <w:rPr>
          <w:rFonts w:cs="Calibri"/>
        </w:rPr>
        <w:t>a</w:t>
      </w:r>
      <w:r w:rsidRPr="00680851">
        <w:rPr>
          <w:rFonts w:cs="Calibri"/>
        </w:rPr>
        <w:t xml:space="preserve">, raspoređenih u 6 razrednih odjela te 6 privatnih srednjih umjetničkih (glazbenih) škola u koje je uključeno </w:t>
      </w:r>
      <w:r>
        <w:rPr>
          <w:rFonts w:cs="Calibri"/>
        </w:rPr>
        <w:t>311</w:t>
      </w:r>
      <w:r w:rsidRPr="00680851">
        <w:rPr>
          <w:rFonts w:cs="Calibri"/>
        </w:rPr>
        <w:t xml:space="preserve"> učenika u </w:t>
      </w:r>
      <w:r>
        <w:rPr>
          <w:rFonts w:cs="Calibri"/>
        </w:rPr>
        <w:t>40</w:t>
      </w:r>
      <w:r w:rsidRPr="00680851">
        <w:rPr>
          <w:rFonts w:cs="Calibri"/>
        </w:rPr>
        <w:t xml:space="preserve"> razrednih odjela. </w:t>
      </w:r>
    </w:p>
    <w:p w14:paraId="14C0501E" w14:textId="15BDD465" w:rsidR="00F95280" w:rsidRDefault="00803E25" w:rsidP="00803E25">
      <w:pPr>
        <w:pStyle w:val="Opisslike"/>
      </w:pPr>
      <w:r>
        <w:t xml:space="preserve">Tablica </w:t>
      </w:r>
      <w:r w:rsidR="00751C19">
        <w:fldChar w:fldCharType="begin"/>
      </w:r>
      <w:r w:rsidR="00751C19">
        <w:instrText xml:space="preserve"> SEQ Tablica \* ARABIC </w:instrText>
      </w:r>
      <w:r w:rsidR="00751C19">
        <w:fldChar w:fldCharType="separate"/>
      </w:r>
      <w:r>
        <w:rPr>
          <w:noProof/>
        </w:rPr>
        <w:t>6</w:t>
      </w:r>
      <w:r w:rsidR="00751C19">
        <w:rPr>
          <w:noProof/>
        </w:rPr>
        <w:fldChar w:fldCharType="end"/>
      </w:r>
      <w:r>
        <w:t>.</w:t>
      </w:r>
      <w:r w:rsidRPr="00A11925">
        <w:t>Privatne osnovne škole s pravom javnosti u Gradu Zagrebu, školska godina 2020./2021</w:t>
      </w:r>
      <w:r>
        <w:t>.</w:t>
      </w:r>
    </w:p>
    <w:tbl>
      <w:tblPr>
        <w:tblW w:w="9300" w:type="dxa"/>
        <w:shd w:val="clear" w:color="auto" w:fill="FFFFFF"/>
        <w:tblCellMar>
          <w:left w:w="0" w:type="dxa"/>
          <w:right w:w="0" w:type="dxa"/>
        </w:tblCellMar>
        <w:tblLook w:val="04A0" w:firstRow="1" w:lastRow="0" w:firstColumn="1" w:lastColumn="0" w:noHBand="0" w:noVBand="1"/>
      </w:tblPr>
      <w:tblGrid>
        <w:gridCol w:w="3747"/>
        <w:gridCol w:w="2031"/>
        <w:gridCol w:w="1762"/>
        <w:gridCol w:w="1760"/>
      </w:tblGrid>
      <w:tr w:rsidR="004976E4" w:rsidRPr="00F86A87" w14:paraId="3467C6DE" w14:textId="77777777" w:rsidTr="00F50578">
        <w:trPr>
          <w:tblHeader/>
        </w:trPr>
        <w:tc>
          <w:tcPr>
            <w:tcW w:w="3742" w:type="dxa"/>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vAlign w:val="center"/>
            <w:hideMark/>
          </w:tcPr>
          <w:p w14:paraId="5F02D0E2"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OSNOVNE ŠKOLE</w:t>
            </w:r>
          </w:p>
        </w:tc>
        <w:tc>
          <w:tcPr>
            <w:tcW w:w="2029"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A144C37"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BROJ ŠKOLA</w:t>
            </w:r>
          </w:p>
        </w:tc>
        <w:tc>
          <w:tcPr>
            <w:tcW w:w="1760"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7BC92DA"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BROJ UČENIKA</w:t>
            </w:r>
          </w:p>
        </w:tc>
        <w:tc>
          <w:tcPr>
            <w:tcW w:w="1758"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85A89DE"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BROJ RAZREDNIH ODJELA</w:t>
            </w:r>
          </w:p>
        </w:tc>
      </w:tr>
      <w:tr w:rsidR="004976E4" w:rsidRPr="00F86A87" w14:paraId="7FF7858A" w14:textId="77777777" w:rsidTr="00F50578">
        <w:tc>
          <w:tcPr>
            <w:tcW w:w="3742" w:type="dxa"/>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14:paraId="0C44F57D" w14:textId="77777777" w:rsidR="004976E4" w:rsidRPr="00F50578" w:rsidRDefault="004976E4" w:rsidP="00F50578">
            <w:pPr>
              <w:spacing w:after="0" w:line="240" w:lineRule="auto"/>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PRIVATNE</w:t>
            </w:r>
          </w:p>
        </w:tc>
        <w:tc>
          <w:tcPr>
            <w:tcW w:w="2029"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4C8A70C9"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10</w:t>
            </w:r>
          </w:p>
        </w:tc>
        <w:tc>
          <w:tcPr>
            <w:tcW w:w="1760"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7615A795"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875</w:t>
            </w:r>
          </w:p>
        </w:tc>
        <w:tc>
          <w:tcPr>
            <w:tcW w:w="1758"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7CAF3CB"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52</w:t>
            </w:r>
          </w:p>
        </w:tc>
      </w:tr>
      <w:tr w:rsidR="004976E4" w:rsidRPr="00F86A87" w14:paraId="2D8BF43F" w14:textId="77777777" w:rsidTr="00F50578">
        <w:tc>
          <w:tcPr>
            <w:tcW w:w="3742" w:type="dxa"/>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14:paraId="55CAF452" w14:textId="77777777" w:rsidR="004976E4" w:rsidRPr="00F50578" w:rsidRDefault="004976E4" w:rsidP="00F50578">
            <w:pPr>
              <w:spacing w:after="0" w:line="240" w:lineRule="auto"/>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PRIVATNE</w:t>
            </w:r>
          </w:p>
          <w:p w14:paraId="660BCAEC" w14:textId="77777777" w:rsidR="004976E4" w:rsidRPr="00F50578" w:rsidRDefault="004976E4" w:rsidP="00F50578">
            <w:pPr>
              <w:spacing w:after="0" w:line="240" w:lineRule="auto"/>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UMJETNIČKE</w:t>
            </w:r>
          </w:p>
        </w:tc>
        <w:tc>
          <w:tcPr>
            <w:tcW w:w="2029"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D74B778"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1</w:t>
            </w:r>
          </w:p>
        </w:tc>
        <w:tc>
          <w:tcPr>
            <w:tcW w:w="1760"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1AF5A79"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37</w:t>
            </w:r>
          </w:p>
        </w:tc>
        <w:tc>
          <w:tcPr>
            <w:tcW w:w="1758"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2F2EB2BE"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6</w:t>
            </w:r>
          </w:p>
        </w:tc>
      </w:tr>
      <w:tr w:rsidR="004976E4" w:rsidRPr="00F86A87" w14:paraId="7B558E79" w14:textId="77777777" w:rsidTr="00F50578">
        <w:tc>
          <w:tcPr>
            <w:tcW w:w="3742" w:type="dxa"/>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14:paraId="6D25EAD4" w14:textId="77777777" w:rsidR="004976E4" w:rsidRPr="00F50578" w:rsidRDefault="004976E4" w:rsidP="00F50578">
            <w:pPr>
              <w:spacing w:after="0" w:line="240" w:lineRule="auto"/>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SREDNJE PRIVATNE UMJETNIČKE ŠKOLE KOJE PROVODE OSNOVNO GLAZBENO OBRAZOVANJE</w:t>
            </w:r>
          </w:p>
        </w:tc>
        <w:tc>
          <w:tcPr>
            <w:tcW w:w="2029"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2AEADF7"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 </w:t>
            </w:r>
          </w:p>
          <w:p w14:paraId="6254CCBF"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6</w:t>
            </w:r>
          </w:p>
        </w:tc>
        <w:tc>
          <w:tcPr>
            <w:tcW w:w="1760"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A3FAA6E"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 </w:t>
            </w:r>
          </w:p>
          <w:p w14:paraId="277A1F25"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311</w:t>
            </w:r>
          </w:p>
        </w:tc>
        <w:tc>
          <w:tcPr>
            <w:tcW w:w="1758"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13099879"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 </w:t>
            </w:r>
          </w:p>
          <w:p w14:paraId="722B1F1D"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40</w:t>
            </w:r>
          </w:p>
        </w:tc>
      </w:tr>
      <w:tr w:rsidR="004976E4" w:rsidRPr="00F86A87" w14:paraId="434BAB8E" w14:textId="77777777" w:rsidTr="00F50578">
        <w:tc>
          <w:tcPr>
            <w:tcW w:w="3742" w:type="dxa"/>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14:paraId="1C47AA60" w14:textId="77777777" w:rsidR="004976E4" w:rsidRPr="00F50578" w:rsidRDefault="004976E4" w:rsidP="00F50578">
            <w:pPr>
              <w:spacing w:after="0" w:line="240" w:lineRule="auto"/>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MEĐUNARODNI PROGRAMI</w:t>
            </w:r>
          </w:p>
        </w:tc>
        <w:tc>
          <w:tcPr>
            <w:tcW w:w="2029"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045FE671"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6</w:t>
            </w:r>
          </w:p>
        </w:tc>
        <w:tc>
          <w:tcPr>
            <w:tcW w:w="1760"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6E182E0D"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720</w:t>
            </w:r>
          </w:p>
        </w:tc>
        <w:tc>
          <w:tcPr>
            <w:tcW w:w="1758" w:type="dxa"/>
            <w:tcBorders>
              <w:top w:val="nil"/>
              <w:left w:val="nil"/>
              <w:bottom w:val="single" w:sz="8" w:space="0" w:color="auto"/>
              <w:right w:val="single" w:sz="8" w:space="0" w:color="auto"/>
            </w:tcBorders>
            <w:shd w:val="clear" w:color="auto" w:fill="FFFFFF"/>
            <w:tcMar>
              <w:top w:w="0" w:type="dxa"/>
              <w:left w:w="57" w:type="dxa"/>
              <w:bottom w:w="0" w:type="dxa"/>
              <w:right w:w="57" w:type="dxa"/>
            </w:tcMar>
            <w:vAlign w:val="center"/>
            <w:hideMark/>
          </w:tcPr>
          <w:p w14:paraId="30ABA0FC" w14:textId="77777777" w:rsidR="004976E4" w:rsidRPr="00F50578" w:rsidRDefault="004976E4" w:rsidP="00F50578">
            <w:pPr>
              <w:spacing w:after="0" w:line="240" w:lineRule="auto"/>
              <w:jc w:val="center"/>
              <w:rPr>
                <w:rFonts w:eastAsia="Times New Roman" w:cstheme="minorHAnsi"/>
                <w:color w:val="000000"/>
                <w:sz w:val="24"/>
                <w:szCs w:val="24"/>
                <w:lang w:eastAsia="hr-HR"/>
              </w:rPr>
            </w:pPr>
            <w:r w:rsidRPr="00F50578">
              <w:rPr>
                <w:rFonts w:eastAsia="Times New Roman" w:cstheme="minorHAnsi"/>
                <w:b/>
                <w:bCs/>
                <w:color w:val="000000"/>
                <w:sz w:val="20"/>
                <w:szCs w:val="20"/>
                <w:lang w:eastAsia="hr-HR"/>
              </w:rPr>
              <w:t>53</w:t>
            </w:r>
          </w:p>
        </w:tc>
      </w:tr>
    </w:tbl>
    <w:p w14:paraId="49012F6A" w14:textId="77777777" w:rsidR="004976E4" w:rsidRPr="00680851" w:rsidRDefault="004976E4" w:rsidP="004976E4">
      <w:pPr>
        <w:shd w:val="clear" w:color="auto" w:fill="FFFFFF"/>
        <w:spacing w:line="240" w:lineRule="auto"/>
        <w:jc w:val="both"/>
        <w:rPr>
          <w:rFonts w:cs="Calibri"/>
        </w:rPr>
      </w:pPr>
      <w:r>
        <w:rPr>
          <w:rFonts w:cs="Calibri"/>
        </w:rPr>
        <w:t xml:space="preserve">Izvor: </w:t>
      </w:r>
      <w:r w:rsidRPr="00F86A87">
        <w:rPr>
          <w:rFonts w:cs="Calibri"/>
        </w:rPr>
        <w:t>Službeni glasnik Grada Zagreba, br. 34 od 15.12.2020.</w:t>
      </w:r>
    </w:p>
    <w:p w14:paraId="4D84E4A0" w14:textId="77777777" w:rsidR="004976E4" w:rsidRDefault="004976E4" w:rsidP="004976E4">
      <w:pPr>
        <w:pStyle w:val="Default"/>
        <w:jc w:val="both"/>
        <w:rPr>
          <w:rFonts w:asciiTheme="minorHAnsi" w:hAnsiTheme="minorHAnsi" w:cstheme="minorHAnsi"/>
          <w:color w:val="auto"/>
          <w:sz w:val="22"/>
          <w:szCs w:val="22"/>
        </w:rPr>
      </w:pPr>
      <w:r w:rsidRPr="009A49AE">
        <w:rPr>
          <w:rFonts w:asciiTheme="minorHAnsi" w:hAnsiTheme="minorHAnsi" w:cstheme="minorHAnsi"/>
          <w:sz w:val="22"/>
          <w:szCs w:val="22"/>
        </w:rPr>
        <w:t>O</w:t>
      </w:r>
      <w:r w:rsidRPr="009A49AE">
        <w:rPr>
          <w:rStyle w:val="normal0020tablechar"/>
          <w:rFonts w:asciiTheme="minorHAnsi" w:hAnsiTheme="minorHAnsi" w:cstheme="minorHAnsi"/>
          <w:sz w:val="22"/>
          <w:szCs w:val="22"/>
        </w:rPr>
        <w:t xml:space="preserve">d 111 redovnih osnovnih škola 20 radi u jednoj smjeni, a 91 u dvije smjene, dok od 4 osnovne škole za učenike s teškoćama jedna radi u jednoj, a tri u dvije smjene. </w:t>
      </w:r>
      <w:r w:rsidRPr="009A49AE">
        <w:rPr>
          <w:rFonts w:asciiTheme="minorHAnsi" w:hAnsiTheme="minorHAnsi" w:cstheme="minorHAnsi"/>
          <w:color w:val="auto"/>
          <w:sz w:val="22"/>
          <w:szCs w:val="22"/>
        </w:rPr>
        <w:t xml:space="preserve">U odnosu na školsku godinu 2019./2020. </w:t>
      </w:r>
      <w:r w:rsidRPr="009A49AE">
        <w:rPr>
          <w:rFonts w:asciiTheme="minorHAnsi" w:hAnsiTheme="minorHAnsi" w:cstheme="minorHAnsi"/>
          <w:b/>
          <w:bCs/>
          <w:color w:val="auto"/>
          <w:sz w:val="22"/>
          <w:szCs w:val="22"/>
        </w:rPr>
        <w:t>22</w:t>
      </w:r>
      <w:r>
        <w:rPr>
          <w:rFonts w:asciiTheme="minorHAnsi" w:hAnsiTheme="minorHAnsi" w:cstheme="minorHAnsi"/>
          <w:b/>
          <w:bCs/>
          <w:color w:val="auto"/>
          <w:sz w:val="22"/>
          <w:szCs w:val="22"/>
        </w:rPr>
        <w:t xml:space="preserve"> </w:t>
      </w:r>
      <w:r w:rsidRPr="009A49AE">
        <w:rPr>
          <w:rFonts w:asciiTheme="minorHAnsi" w:hAnsiTheme="minorHAnsi" w:cstheme="minorHAnsi"/>
          <w:color w:val="auto"/>
          <w:sz w:val="22"/>
          <w:szCs w:val="22"/>
        </w:rPr>
        <w:t>osnovne škole koje su radile u jednoj smjeni organiziraju rad u dvije zbog prihvaćanja učenika iz 5 osnovnih škola stradalih u</w:t>
      </w:r>
      <w:r>
        <w:rPr>
          <w:rFonts w:asciiTheme="minorHAnsi" w:hAnsiTheme="minorHAnsi" w:cstheme="minorHAnsi"/>
          <w:color w:val="auto"/>
          <w:sz w:val="22"/>
          <w:szCs w:val="22"/>
        </w:rPr>
        <w:t xml:space="preserve"> </w:t>
      </w:r>
      <w:r w:rsidRPr="009A49AE">
        <w:rPr>
          <w:rFonts w:asciiTheme="minorHAnsi" w:hAnsiTheme="minorHAnsi" w:cstheme="minorHAnsi"/>
          <w:color w:val="auto"/>
          <w:sz w:val="22"/>
          <w:szCs w:val="22"/>
        </w:rPr>
        <w:t>potresu 22. ožujka 2020. te OŠ Ksavera Šandora Gjalskoga, u kojoj su u tijeku radovi rekonstrukcije i nadogradnje, ili zbog</w:t>
      </w:r>
      <w:r>
        <w:rPr>
          <w:rFonts w:asciiTheme="minorHAnsi" w:hAnsiTheme="minorHAnsi" w:cstheme="minorHAnsi"/>
          <w:color w:val="auto"/>
          <w:sz w:val="22"/>
          <w:szCs w:val="22"/>
        </w:rPr>
        <w:t xml:space="preserve"> </w:t>
      </w:r>
      <w:r w:rsidRPr="009A49AE">
        <w:rPr>
          <w:rFonts w:asciiTheme="minorHAnsi" w:hAnsiTheme="minorHAnsi" w:cstheme="minorHAnsi"/>
          <w:color w:val="auto"/>
          <w:sz w:val="22"/>
          <w:szCs w:val="22"/>
        </w:rPr>
        <w:t>provođenja preporučenih epidemioloških mjera vezanih za pandemiju bolesti COVID-19.</w:t>
      </w:r>
    </w:p>
    <w:p w14:paraId="7E43B646" w14:textId="77777777" w:rsidR="004976E4" w:rsidRPr="009A49AE" w:rsidRDefault="004976E4" w:rsidP="004976E4">
      <w:pPr>
        <w:pStyle w:val="Default"/>
        <w:jc w:val="both"/>
        <w:rPr>
          <w:rStyle w:val="normal0020tablechar"/>
          <w:rFonts w:asciiTheme="minorHAnsi" w:hAnsiTheme="minorHAnsi" w:cstheme="minorHAnsi"/>
          <w:sz w:val="22"/>
          <w:szCs w:val="22"/>
        </w:rPr>
      </w:pPr>
    </w:p>
    <w:p w14:paraId="06B487B4" w14:textId="77777777" w:rsidR="004976E4" w:rsidRPr="00680851" w:rsidRDefault="004976E4" w:rsidP="004976E4">
      <w:pPr>
        <w:spacing w:line="240" w:lineRule="auto"/>
        <w:jc w:val="both"/>
        <w:rPr>
          <w:rFonts w:cs="Calibri"/>
        </w:rPr>
      </w:pPr>
      <w:r w:rsidRPr="00680851">
        <w:rPr>
          <w:rFonts w:cs="Calibri"/>
        </w:rPr>
        <w:t xml:space="preserve">Sukladno Državnom pedagoškom standardu osnovnoškolskog sustava odgoja i obrazovanja, potrebno je u razdoblju od deset godina osigurati uvjete za rad u jednoj smjeni svih osnovnih škola. </w:t>
      </w:r>
      <w:r w:rsidRPr="00680851">
        <w:rPr>
          <w:rFonts w:cs="Calibri"/>
          <w:highlight w:val="yellow"/>
        </w:rPr>
        <w:br/>
      </w:r>
      <w:r w:rsidRPr="00680851">
        <w:rPr>
          <w:rFonts w:cs="Calibri"/>
        </w:rPr>
        <w:t xml:space="preserve">Osnovni dugoročni ciljevi su: </w:t>
      </w:r>
    </w:p>
    <w:p w14:paraId="56C6C9FF" w14:textId="77777777" w:rsidR="004976E4" w:rsidRPr="00680851" w:rsidRDefault="004976E4" w:rsidP="004976E4">
      <w:pPr>
        <w:spacing w:line="240" w:lineRule="auto"/>
        <w:jc w:val="both"/>
        <w:rPr>
          <w:rFonts w:cs="Calibri"/>
        </w:rPr>
      </w:pPr>
      <w:r w:rsidRPr="00680851">
        <w:rPr>
          <w:rFonts w:cs="Calibri"/>
          <w:bCs/>
        </w:rPr>
        <w:t>- Gradnja osnovnih škola - 32 objekta;</w:t>
      </w:r>
    </w:p>
    <w:p w14:paraId="23403207" w14:textId="77777777" w:rsidR="004976E4" w:rsidRPr="00680851" w:rsidRDefault="004976E4" w:rsidP="004976E4">
      <w:pPr>
        <w:spacing w:line="240" w:lineRule="auto"/>
        <w:jc w:val="both"/>
        <w:rPr>
          <w:rFonts w:cs="Calibri"/>
        </w:rPr>
      </w:pPr>
      <w:r w:rsidRPr="00680851">
        <w:rPr>
          <w:rFonts w:cs="Calibri"/>
          <w:bCs/>
        </w:rPr>
        <w:t>- Nadogradnja, dogradnja i rekonstrukcija objekata osnovnih škola - 50 objekata</w:t>
      </w:r>
      <w:r w:rsidRPr="00680851">
        <w:rPr>
          <w:rFonts w:cs="Calibri"/>
        </w:rPr>
        <w:t>;</w:t>
      </w:r>
    </w:p>
    <w:p w14:paraId="70CBE9B7" w14:textId="77777777" w:rsidR="004976E4" w:rsidRPr="00680851" w:rsidRDefault="004976E4" w:rsidP="004976E4">
      <w:pPr>
        <w:spacing w:line="240" w:lineRule="auto"/>
        <w:jc w:val="both"/>
        <w:rPr>
          <w:rFonts w:cs="Calibri"/>
        </w:rPr>
      </w:pPr>
      <w:r w:rsidRPr="00680851">
        <w:rPr>
          <w:rFonts w:cs="Calibri"/>
          <w:bCs/>
        </w:rPr>
        <w:t>- Gradnja školskih sportskih dvorana pri postojećim osnovnim školama - 2 uz postojeće objekte</w:t>
      </w:r>
    </w:p>
    <w:p w14:paraId="6B565462" w14:textId="77777777" w:rsidR="004976E4" w:rsidRDefault="004976E4" w:rsidP="004976E4">
      <w:pPr>
        <w:suppressAutoHyphens/>
        <w:spacing w:line="240" w:lineRule="auto"/>
        <w:contextualSpacing/>
        <w:jc w:val="both"/>
      </w:pPr>
      <w:r w:rsidRPr="00680851">
        <w:t xml:space="preserve">Osim redovitih razrednih odjela, u </w:t>
      </w:r>
      <w:r>
        <w:t>28</w:t>
      </w:r>
      <w:r>
        <w:rPr>
          <w:b/>
        </w:rPr>
        <w:t xml:space="preserve"> redovith</w:t>
      </w:r>
      <w:r w:rsidRPr="00680851">
        <w:t xml:space="preserve"> osnovnih škola ustrojena su </w:t>
      </w:r>
      <w:r w:rsidRPr="00680851">
        <w:rPr>
          <w:b/>
        </w:rPr>
        <w:t>6</w:t>
      </w:r>
      <w:r>
        <w:rPr>
          <w:b/>
        </w:rPr>
        <w:t>2</w:t>
      </w:r>
      <w:r w:rsidRPr="00680851">
        <w:t xml:space="preserve"> posebna razredna odjela</w:t>
      </w:r>
      <w:r>
        <w:t xml:space="preserve"> i 2 odgojno-obrazovne skupine </w:t>
      </w:r>
      <w:r w:rsidRPr="00680851">
        <w:t xml:space="preserve"> za potrebe školovanja </w:t>
      </w:r>
      <w:r w:rsidRPr="00680851">
        <w:rPr>
          <w:b/>
        </w:rPr>
        <w:t>3</w:t>
      </w:r>
      <w:r>
        <w:rPr>
          <w:b/>
        </w:rPr>
        <w:t>21</w:t>
      </w:r>
      <w:r w:rsidRPr="00680851">
        <w:t xml:space="preserve"> učenika</w:t>
      </w:r>
      <w:r>
        <w:t xml:space="preserve"> u posebnim razrednim odjelima i 12 učenika u odgojno-obrazovnim skupinama – ukupno 333 učenika</w:t>
      </w:r>
      <w:r w:rsidRPr="00680851">
        <w:t xml:space="preserve"> </w:t>
      </w:r>
      <w:bookmarkStart w:id="25" w:name="_Hlk19532419"/>
      <w:r w:rsidRPr="00680851">
        <w:rPr>
          <w:spacing w:val="-3"/>
        </w:rPr>
        <w:t xml:space="preserve">koji se školuju sukladno čl. 5. st. 5. ili čl. 6. st. 6., čl. 8. st. 4. ili čl. 9. te čl. 8. st. 5. </w:t>
      </w:r>
      <w:r w:rsidRPr="00680851">
        <w:rPr>
          <w:i/>
        </w:rPr>
        <w:t>Pravilnika o osnovnoškolskom i srednjoškolskom odgoju i obrazovanju učenika s teškoćama u razvoju</w:t>
      </w:r>
      <w:r w:rsidRPr="00680851">
        <w:t xml:space="preserve"> (Narodne novine, 24/15). Navedeni broj učenika i razrednih odjela sastavni je dio ukupnog broja učenika i razrednih odjela u redovitim osnovnim školama u Gradu Zagrebu.       </w:t>
      </w:r>
      <w:bookmarkEnd w:id="25"/>
    </w:p>
    <w:p w14:paraId="69F034A0" w14:textId="35D1B4D6" w:rsidR="004976E4" w:rsidRDefault="004976E4" w:rsidP="004976E4">
      <w:pPr>
        <w:suppressAutoHyphens/>
        <w:spacing w:line="240" w:lineRule="auto"/>
        <w:contextualSpacing/>
        <w:jc w:val="both"/>
        <w:rPr>
          <w:iCs/>
        </w:rPr>
      </w:pPr>
      <w:r w:rsidRPr="009A49AE">
        <w:rPr>
          <w:iCs/>
        </w:rPr>
        <w:t>U školskoj godini 2020./2021. uključeno je 1.332 učenika pripadnika nacionalnih manjina, od toga 605 učenika</w:t>
      </w:r>
      <w:r>
        <w:rPr>
          <w:iCs/>
        </w:rPr>
        <w:t xml:space="preserve"> </w:t>
      </w:r>
      <w:r w:rsidRPr="009A49AE">
        <w:rPr>
          <w:iCs/>
        </w:rPr>
        <w:t>pripadnika romske nacionalne manjine (podaci bez umjetničkih škola).</w:t>
      </w:r>
    </w:p>
    <w:p w14:paraId="4913392D" w14:textId="77777777" w:rsidR="007A1D71" w:rsidRPr="002908A6" w:rsidRDefault="007A1D71" w:rsidP="004976E4">
      <w:pPr>
        <w:suppressAutoHyphens/>
        <w:spacing w:line="240" w:lineRule="auto"/>
        <w:contextualSpacing/>
        <w:jc w:val="both"/>
        <w:rPr>
          <w:iCs/>
        </w:rPr>
      </w:pPr>
    </w:p>
    <w:p w14:paraId="436A9C28" w14:textId="5AC78815" w:rsidR="004976E4" w:rsidRPr="00680851" w:rsidRDefault="004976E4" w:rsidP="004976E4">
      <w:pPr>
        <w:spacing w:line="240" w:lineRule="auto"/>
        <w:contextualSpacing/>
        <w:jc w:val="both"/>
        <w:rPr>
          <w:bCs/>
        </w:rPr>
      </w:pPr>
      <w:r w:rsidRPr="009A49AE">
        <w:rPr>
          <w:rFonts w:cstheme="minorHAnsi"/>
        </w:rPr>
        <w:lastRenderedPageBreak/>
        <w:t>Zbog brige i skrbi za učenike mlađe školske dobi Grad Zagreb organizira program produženog boravka. Škole program organiziraju za učenike I., II., III. i iznimno IV. razreda, vodeći pri tome računa o prostornim, kadrovskim i drugim organizacijskim uvjetima. U školskoj godini 20</w:t>
      </w:r>
      <w:r>
        <w:rPr>
          <w:rFonts w:cstheme="minorHAnsi"/>
        </w:rPr>
        <w:t>20</w:t>
      </w:r>
      <w:r w:rsidRPr="009A49AE">
        <w:rPr>
          <w:rFonts w:cstheme="minorHAnsi"/>
        </w:rPr>
        <w:t>./202</w:t>
      </w:r>
      <w:r>
        <w:rPr>
          <w:rFonts w:cstheme="minorHAnsi"/>
        </w:rPr>
        <w:t>1</w:t>
      </w:r>
      <w:r w:rsidRPr="009A49AE">
        <w:rPr>
          <w:rFonts w:cstheme="minorHAnsi"/>
        </w:rPr>
        <w:t xml:space="preserve">. </w:t>
      </w:r>
      <w:bookmarkStart w:id="26" w:name="_Hlk19871766"/>
      <w:r w:rsidRPr="009A49AE">
        <w:rPr>
          <w:rFonts w:cstheme="minorHAnsi"/>
        </w:rPr>
        <w:t xml:space="preserve">produženi boravak se organizira u svih 111 osnovnih škola kojima je osnivač Grad Zagreb, 4 privatne vjerske osnovne škole i 1 osnovnoj školi kojoj je osnivač Zagrebačka županija, a pohađaju je učenici sa zagrebačkog područja. </w:t>
      </w:r>
      <w:r>
        <w:rPr>
          <w:rFonts w:cstheme="minorHAnsi"/>
        </w:rPr>
        <w:t xml:space="preserve">U </w:t>
      </w:r>
      <w:r w:rsidRPr="009A49AE">
        <w:rPr>
          <w:rFonts w:cstheme="minorHAnsi"/>
        </w:rPr>
        <w:t>školskoj godini 2020./2021. program je smanjen za 121 učenika i povećan za 64 odgojno-obrazovne skupine u</w:t>
      </w:r>
      <w:r>
        <w:rPr>
          <w:rFonts w:cstheme="minorHAnsi"/>
        </w:rPr>
        <w:t xml:space="preserve"> </w:t>
      </w:r>
      <w:r w:rsidRPr="009A49AE">
        <w:rPr>
          <w:rFonts w:cstheme="minorHAnsi"/>
        </w:rPr>
        <w:t>odnosu na školsku godinu 2019./2020. (od kojih je većina ustrojena zbog poštivanja epidemioloških mjera i s ciljem</w:t>
      </w:r>
      <w:r>
        <w:rPr>
          <w:rFonts w:cstheme="minorHAnsi"/>
        </w:rPr>
        <w:t xml:space="preserve"> </w:t>
      </w:r>
      <w:r w:rsidRPr="009A49AE">
        <w:rPr>
          <w:rFonts w:cstheme="minorHAnsi"/>
        </w:rPr>
        <w:t xml:space="preserve">izbjegavanja miješanja učenika iz različitih razrednih odjela), </w:t>
      </w:r>
    </w:p>
    <w:bookmarkEnd w:id="26"/>
    <w:p w14:paraId="4792129F" w14:textId="77777777" w:rsidR="007773DF" w:rsidRDefault="007773DF" w:rsidP="004976E4">
      <w:pPr>
        <w:spacing w:line="240" w:lineRule="auto"/>
        <w:jc w:val="both"/>
        <w:rPr>
          <w:rFonts w:cs="Calibri"/>
          <w:b/>
          <w:bCs/>
        </w:rPr>
      </w:pPr>
    </w:p>
    <w:p w14:paraId="1B163EE1" w14:textId="49511B53" w:rsidR="004976E4" w:rsidRPr="00680851" w:rsidRDefault="004976E4" w:rsidP="007773DF">
      <w:pPr>
        <w:spacing w:line="240" w:lineRule="auto"/>
        <w:jc w:val="both"/>
        <w:rPr>
          <w:rFonts w:cs="Calibri"/>
          <w:b/>
          <w:bCs/>
        </w:rPr>
      </w:pPr>
      <w:r w:rsidRPr="00680851">
        <w:rPr>
          <w:rFonts w:cs="Calibri"/>
          <w:b/>
          <w:bCs/>
        </w:rPr>
        <w:t>Djelatnost odgoja i srednjeg obrazovanja</w:t>
      </w:r>
      <w:r w:rsidR="007773DF">
        <w:rPr>
          <w:rFonts w:cs="Calibri"/>
          <w:b/>
          <w:bCs/>
        </w:rPr>
        <w:t xml:space="preserve">. </w:t>
      </w:r>
      <w:r w:rsidRPr="00FE03C5">
        <w:rPr>
          <w:rFonts w:cs="Calibri"/>
        </w:rPr>
        <w:t xml:space="preserve">Na području Grada Zagreba nalazi se </w:t>
      </w:r>
      <w:r>
        <w:rPr>
          <w:rFonts w:cs="Calibri"/>
        </w:rPr>
        <w:t>105</w:t>
      </w:r>
      <w:r w:rsidRPr="00FE03C5">
        <w:rPr>
          <w:rFonts w:cs="Calibri"/>
        </w:rPr>
        <w:t xml:space="preserve"> </w:t>
      </w:r>
      <w:r>
        <w:rPr>
          <w:rFonts w:cs="Calibri"/>
        </w:rPr>
        <w:t>redovnih srednjih</w:t>
      </w:r>
      <w:r w:rsidRPr="00FE03C5">
        <w:rPr>
          <w:rFonts w:cs="Calibri"/>
        </w:rPr>
        <w:t xml:space="preserve"> škola</w:t>
      </w:r>
      <w:r>
        <w:rPr>
          <w:rStyle w:val="Referencafusnote"/>
          <w:rFonts w:cs="Calibri"/>
        </w:rPr>
        <w:footnoteReference w:id="22"/>
      </w:r>
      <w:r w:rsidRPr="00FE03C5">
        <w:rPr>
          <w:rFonts w:cs="Calibri"/>
        </w:rPr>
        <w:t>.</w:t>
      </w:r>
      <w:r w:rsidRPr="00FE03C5">
        <w:rPr>
          <w:rFonts w:cs="Calibri"/>
          <w:b/>
          <w:bCs/>
        </w:rPr>
        <w:t xml:space="preserve"> </w:t>
      </w:r>
      <w:r w:rsidRPr="00680851">
        <w:rPr>
          <w:rFonts w:cs="Calibri"/>
        </w:rPr>
        <w:t>Sustav odgoja i srednjeg obrazovanja u školskoj godini 2019./20. na području Grada Zagreba provodi se u:</w:t>
      </w:r>
      <w:r w:rsidRPr="00680851">
        <w:rPr>
          <w:rFonts w:cs="Calibri"/>
          <w:b/>
        </w:rPr>
        <w:t xml:space="preserve"> </w:t>
      </w:r>
    </w:p>
    <w:p w14:paraId="3F76EDC5" w14:textId="77777777" w:rsidR="004976E4" w:rsidRPr="00680851" w:rsidRDefault="004976E4" w:rsidP="007773DF">
      <w:pPr>
        <w:spacing w:line="240" w:lineRule="auto"/>
        <w:jc w:val="both"/>
        <w:rPr>
          <w:rFonts w:cs="Calibri"/>
          <w:bCs/>
        </w:rPr>
      </w:pPr>
      <w:r w:rsidRPr="00680851">
        <w:rPr>
          <w:rFonts w:cs="Calibri"/>
          <w:bCs/>
        </w:rPr>
        <w:t>a) srednjoškolskim ustanovama</w:t>
      </w:r>
      <w:r>
        <w:rPr>
          <w:rFonts w:cs="Calibri"/>
          <w:bCs/>
        </w:rPr>
        <w:t xml:space="preserve"> čiji je osnivač</w:t>
      </w:r>
      <w:r w:rsidRPr="00680851">
        <w:rPr>
          <w:rFonts w:cs="Calibri"/>
          <w:bCs/>
        </w:rPr>
        <w:t xml:space="preserve"> Grad Zagreb</w:t>
      </w:r>
    </w:p>
    <w:p w14:paraId="508C629A" w14:textId="77777777" w:rsidR="004976E4" w:rsidRPr="00680851" w:rsidRDefault="004976E4" w:rsidP="007773DF">
      <w:pPr>
        <w:spacing w:line="240" w:lineRule="auto"/>
        <w:jc w:val="both"/>
        <w:rPr>
          <w:rFonts w:cs="Calibri"/>
        </w:rPr>
      </w:pPr>
      <w:r w:rsidRPr="00680851">
        <w:rPr>
          <w:rFonts w:cs="Calibri"/>
        </w:rPr>
        <w:t xml:space="preserve">- 66 srednjih škola s ukupno 32.589 učenika u 1.1.461 razrednih odjela </w:t>
      </w:r>
    </w:p>
    <w:p w14:paraId="34AF8517" w14:textId="77777777" w:rsidR="004976E4" w:rsidRPr="00680851" w:rsidRDefault="004976E4" w:rsidP="007773DF">
      <w:pPr>
        <w:spacing w:line="240" w:lineRule="auto"/>
        <w:jc w:val="both"/>
        <w:rPr>
          <w:rFonts w:cs="Calibri"/>
        </w:rPr>
      </w:pPr>
      <w:r w:rsidRPr="00680851">
        <w:rPr>
          <w:rFonts w:cs="Calibri"/>
        </w:rPr>
        <w:t>- 14 učeničkih domova /4 u sastavu škola/ u kojima je smješteno 1.993 učenika u 91 odgojnoj skupini  te 456 studenta,</w:t>
      </w:r>
    </w:p>
    <w:p w14:paraId="4C918059" w14:textId="77777777" w:rsidR="004976E4" w:rsidRPr="00680851" w:rsidRDefault="004976E4" w:rsidP="007773DF">
      <w:pPr>
        <w:spacing w:line="240" w:lineRule="auto"/>
        <w:jc w:val="both"/>
        <w:rPr>
          <w:rFonts w:cs="Calibri"/>
        </w:rPr>
      </w:pPr>
      <w:r w:rsidRPr="00680851">
        <w:rPr>
          <w:rFonts w:cs="Calibri"/>
        </w:rPr>
        <w:t>- Centru za dopisno obrazovanje "Birotehnika".</w:t>
      </w:r>
    </w:p>
    <w:p w14:paraId="04F5AAA1" w14:textId="77777777" w:rsidR="004976E4" w:rsidRPr="00680851" w:rsidRDefault="004976E4" w:rsidP="007773DF">
      <w:pPr>
        <w:spacing w:line="240" w:lineRule="auto"/>
        <w:jc w:val="both"/>
        <w:rPr>
          <w:rFonts w:cs="Calibri"/>
          <w:bCs/>
        </w:rPr>
      </w:pPr>
      <w:r w:rsidRPr="00680851">
        <w:rPr>
          <w:rFonts w:cs="Calibri"/>
          <w:bCs/>
        </w:rPr>
        <w:t>b) vjerskim srednjim školama s pravom javnosti</w:t>
      </w:r>
    </w:p>
    <w:p w14:paraId="5F9FA33A" w14:textId="77777777" w:rsidR="004976E4" w:rsidRPr="00680851" w:rsidRDefault="004976E4" w:rsidP="007773DF">
      <w:pPr>
        <w:spacing w:line="240" w:lineRule="auto"/>
        <w:jc w:val="both"/>
        <w:rPr>
          <w:rFonts w:cs="Calibri"/>
        </w:rPr>
      </w:pPr>
      <w:r w:rsidRPr="00680851">
        <w:rPr>
          <w:rFonts w:cs="Calibri"/>
          <w:bCs/>
        </w:rPr>
        <w:t xml:space="preserve">- </w:t>
      </w:r>
      <w:r w:rsidRPr="00680851">
        <w:rPr>
          <w:rFonts w:cs="Calibri"/>
        </w:rPr>
        <w:t>4 srednje škole</w:t>
      </w:r>
      <w:r w:rsidRPr="00680851">
        <w:rPr>
          <w:rFonts w:cs="Calibri"/>
          <w:b/>
        </w:rPr>
        <w:t xml:space="preserve"> </w:t>
      </w:r>
      <w:r w:rsidRPr="00680851">
        <w:rPr>
          <w:rFonts w:cs="Calibri"/>
        </w:rPr>
        <w:t xml:space="preserve">sa 743 učenika u 35 razrednih odjela, </w:t>
      </w:r>
    </w:p>
    <w:p w14:paraId="0A45BF84" w14:textId="77777777" w:rsidR="004976E4" w:rsidRPr="00680851" w:rsidRDefault="004976E4" w:rsidP="007773DF">
      <w:pPr>
        <w:spacing w:line="240" w:lineRule="auto"/>
        <w:jc w:val="both"/>
        <w:rPr>
          <w:rFonts w:cs="Calibri"/>
        </w:rPr>
      </w:pPr>
      <w:r w:rsidRPr="00680851">
        <w:rPr>
          <w:rFonts w:cs="Calibri"/>
        </w:rPr>
        <w:t>- 1 učeničkom domu pri vjerskoj srednjoj školi u koji je uključeno 24 učenika u 2 odgojne skupine i 4 studenta</w:t>
      </w:r>
    </w:p>
    <w:p w14:paraId="30D0DD75" w14:textId="77777777" w:rsidR="004976E4" w:rsidRPr="00680851" w:rsidRDefault="004976E4" w:rsidP="007773DF">
      <w:pPr>
        <w:spacing w:line="240" w:lineRule="auto"/>
        <w:jc w:val="both"/>
        <w:rPr>
          <w:rFonts w:cs="Calibri"/>
          <w:bCs/>
        </w:rPr>
      </w:pPr>
      <w:r w:rsidRPr="00680851">
        <w:rPr>
          <w:rFonts w:cs="Calibri"/>
          <w:bCs/>
        </w:rPr>
        <w:t>c) privatnim srednjim školama s pravom javnosti</w:t>
      </w:r>
    </w:p>
    <w:p w14:paraId="57CC9550" w14:textId="77777777" w:rsidR="004976E4" w:rsidRPr="00680851" w:rsidRDefault="004976E4" w:rsidP="007773DF">
      <w:pPr>
        <w:spacing w:line="240" w:lineRule="auto"/>
        <w:jc w:val="both"/>
        <w:rPr>
          <w:rFonts w:cs="Calibri"/>
        </w:rPr>
      </w:pPr>
      <w:r w:rsidRPr="00680851">
        <w:rPr>
          <w:rFonts w:cs="Calibri"/>
          <w:bCs/>
        </w:rPr>
        <w:t>-</w:t>
      </w:r>
      <w:r w:rsidRPr="00680851">
        <w:rPr>
          <w:rFonts w:cs="Calibri"/>
          <w:b/>
        </w:rPr>
        <w:t xml:space="preserve"> </w:t>
      </w:r>
      <w:r w:rsidRPr="00680851">
        <w:rPr>
          <w:rFonts w:cs="Calibri"/>
        </w:rPr>
        <w:t xml:space="preserve">19 srednjih škola s ukupno 1.470 učenika u 109 razrednih odjela. </w:t>
      </w:r>
    </w:p>
    <w:p w14:paraId="5E8906A9" w14:textId="77777777" w:rsidR="004976E4" w:rsidRPr="00680851" w:rsidRDefault="004976E4" w:rsidP="007773DF">
      <w:pPr>
        <w:spacing w:line="240" w:lineRule="auto"/>
        <w:jc w:val="both"/>
        <w:rPr>
          <w:rFonts w:cs="Calibri"/>
        </w:rPr>
      </w:pPr>
      <w:r w:rsidRPr="00680851">
        <w:rPr>
          <w:rFonts w:cs="Calibri"/>
          <w:bCs/>
        </w:rPr>
        <w:t>d)</w:t>
      </w:r>
      <w:r w:rsidRPr="00680851">
        <w:rPr>
          <w:rFonts w:cs="Calibri"/>
        </w:rPr>
        <w:t xml:space="preserve"> srednjoškolsko obrazovanje organiziraju i 3 ustanove u </w:t>
      </w:r>
      <w:r w:rsidRPr="00680851">
        <w:rPr>
          <w:rFonts w:cs="Calibri"/>
          <w:bCs/>
        </w:rPr>
        <w:t>djelatnosti socijalne skrbi</w:t>
      </w:r>
      <w:r w:rsidRPr="00680851">
        <w:rPr>
          <w:rFonts w:cs="Calibri"/>
        </w:rPr>
        <w:t xml:space="preserve"> s ukupno 283 učenika u 53 razrednih odjela.</w:t>
      </w:r>
    </w:p>
    <w:p w14:paraId="02ED38B6" w14:textId="61B32B27" w:rsidR="004976E4" w:rsidRPr="00BA797C" w:rsidRDefault="004976E4" w:rsidP="004976E4">
      <w:pPr>
        <w:spacing w:line="240" w:lineRule="auto"/>
        <w:jc w:val="both"/>
        <w:rPr>
          <w:rFonts w:cs="Calibri"/>
        </w:rPr>
      </w:pPr>
      <w:r w:rsidRPr="00680851">
        <w:rPr>
          <w:rFonts w:cs="Calibri"/>
        </w:rPr>
        <w:t>Broj škola i prostorni kapaciteti srednjih škola ne zadovoljavaju u cijelosti potrebe za srednjoškolskim obrazovanjem kako zagrebačke mladeži tako i mladeži s drugih područja Hrvatske koji dolaze na daljnje školovanje u Zagreb. O</w:t>
      </w:r>
      <w:r w:rsidRPr="00680851">
        <w:rPr>
          <w:shd w:val="clear" w:color="auto" w:fill="FFFFFF"/>
        </w:rPr>
        <w:t>d 55 redovnih srednjih škola 31 škola radi u dvije smjene, a 24 škola u jednoj smjeni (od toga 17 samo u jutarnjoj smjeni, a 7 naizmjence - jedan tjedan u jutarnjoj, drugi tjedan u popodnevnoj)</w:t>
      </w:r>
      <w:r w:rsidRPr="00680851">
        <w:rPr>
          <w:i/>
          <w:iCs/>
          <w:shd w:val="clear" w:color="auto" w:fill="FFFFFF"/>
        </w:rPr>
        <w:t>. </w:t>
      </w:r>
      <w:r w:rsidRPr="00680851">
        <w:rPr>
          <w:shd w:val="clear" w:color="auto" w:fill="FFFFFF"/>
        </w:rPr>
        <w:t>Ustanova za djecu s teškoćama u razvoju radi u dvije smjene.</w:t>
      </w:r>
      <w:r w:rsidRPr="00680851">
        <w:rPr>
          <w:rFonts w:cs="Calibri"/>
        </w:rPr>
        <w:t xml:space="preserve"> U svrhu rješavanja prostornih teškoća u srednjem obrazovanju planirana su sljedeća kapitalna ulaganja:</w:t>
      </w:r>
      <w:r w:rsidRPr="00680851">
        <w:rPr>
          <w:rFonts w:cs="Calibri"/>
          <w:b/>
        </w:rPr>
        <w:t xml:space="preserve"> </w:t>
      </w:r>
    </w:p>
    <w:p w14:paraId="61A5430E" w14:textId="77777777" w:rsidR="004976E4" w:rsidRPr="00680851" w:rsidRDefault="004976E4" w:rsidP="004976E4">
      <w:pPr>
        <w:spacing w:line="240" w:lineRule="auto"/>
        <w:jc w:val="both"/>
        <w:rPr>
          <w:rFonts w:cs="Calibri"/>
        </w:rPr>
      </w:pPr>
      <w:r w:rsidRPr="00680851">
        <w:rPr>
          <w:rFonts w:cs="Calibri"/>
          <w:bCs/>
        </w:rPr>
        <w:t xml:space="preserve">- izgradnja srednjih škola - 6 objekta (XII. gimnazija, Druga ekonomska škola, XVIII. gimnazija, Glazbena škola Zlatka Grgoševića, Plesna škola Silvije Hercigonje, Škola za medicinske sestre Vinogradska) </w:t>
      </w:r>
    </w:p>
    <w:p w14:paraId="1C0A5EFC" w14:textId="77777777" w:rsidR="004976E4" w:rsidRPr="00680851" w:rsidRDefault="004976E4" w:rsidP="004976E4">
      <w:pPr>
        <w:spacing w:line="240" w:lineRule="auto"/>
        <w:jc w:val="both"/>
        <w:rPr>
          <w:rFonts w:cs="Calibri"/>
          <w:bCs/>
        </w:rPr>
      </w:pPr>
      <w:r w:rsidRPr="00680851">
        <w:rPr>
          <w:rFonts w:cs="Calibri"/>
          <w:bCs/>
        </w:rPr>
        <w:t>- dogradnja, nadogradnja, rekonstrukcija - 7 objekata</w:t>
      </w:r>
      <w:r w:rsidRPr="00680851">
        <w:rPr>
          <w:rFonts w:cs="Calibri"/>
          <w:b/>
        </w:rPr>
        <w:t xml:space="preserve"> (</w:t>
      </w:r>
      <w:r w:rsidRPr="00680851">
        <w:rPr>
          <w:rFonts w:cs="Calibri"/>
          <w:bCs/>
        </w:rPr>
        <w:t>Škola za modu i dizajn, Upravna škola Zagreb, Škola za medicinske sestre Vrapče, Glazbena škola Blagoje Bersa, Hotelijersko-turistička škola, Vlaška 87 -preseljenje Glazbene škole Pavla Markovca i Škole suvremenog plesa Ane Maletić)</w:t>
      </w:r>
    </w:p>
    <w:p w14:paraId="54EAAD6E" w14:textId="77777777" w:rsidR="004976E4" w:rsidRPr="00680851" w:rsidRDefault="004976E4" w:rsidP="004976E4">
      <w:pPr>
        <w:spacing w:line="240" w:lineRule="auto"/>
        <w:jc w:val="both"/>
        <w:rPr>
          <w:rFonts w:cs="Calibri"/>
          <w:bCs/>
        </w:rPr>
      </w:pPr>
      <w:r w:rsidRPr="00680851">
        <w:rPr>
          <w:rFonts w:cs="Calibri"/>
          <w:bCs/>
        </w:rPr>
        <w:t>- izgradnja školskih sportskih dvorana -1 objekt</w:t>
      </w:r>
    </w:p>
    <w:p w14:paraId="4A0C4487" w14:textId="77777777" w:rsidR="004976E4" w:rsidRPr="00680851" w:rsidRDefault="004976E4" w:rsidP="004976E4">
      <w:pPr>
        <w:pStyle w:val="Tijeloteksta2"/>
        <w:spacing w:after="200"/>
        <w:ind w:right="-2"/>
        <w:rPr>
          <w:rFonts w:ascii="Calibri" w:hAnsi="Calibri" w:cs="Calibri"/>
          <w:b w:val="0"/>
          <w:sz w:val="22"/>
          <w:szCs w:val="22"/>
        </w:rPr>
      </w:pPr>
      <w:r w:rsidRPr="00680851">
        <w:rPr>
          <w:rFonts w:ascii="Calibri" w:hAnsi="Calibri" w:cs="Calibri"/>
          <w:b w:val="0"/>
          <w:sz w:val="22"/>
          <w:szCs w:val="22"/>
        </w:rPr>
        <w:lastRenderedPageBreak/>
        <w:t xml:space="preserve">U srednjoškolskom obrazovanju najviše je učenika upisano u strukovne škole (petogodišnje, četverogodišnje, trogodišnje programe), slijede gimnazijski, a upis učenika u obrtnička zanimanja Grad Zagreb potiče dodjeljujući stipendije za učenike koji se obrazuju za deficitarna zanimanja za potrebe obrtništva. </w:t>
      </w:r>
    </w:p>
    <w:p w14:paraId="53ADDAA4" w14:textId="77777777" w:rsidR="004976E4" w:rsidRPr="00680851" w:rsidRDefault="004976E4" w:rsidP="004976E4">
      <w:pPr>
        <w:spacing w:line="240" w:lineRule="auto"/>
        <w:jc w:val="both"/>
        <w:rPr>
          <w:lang w:eastAsia="hr-HR"/>
        </w:rPr>
      </w:pPr>
      <w:r w:rsidRPr="00680851">
        <w:t>U cilju modernizacije strukovnog obrazovanja 3 srednje škole</w:t>
      </w:r>
      <w:r w:rsidRPr="00680851">
        <w:rPr>
          <w:b/>
        </w:rPr>
        <w:t xml:space="preserve"> </w:t>
      </w:r>
      <w:r w:rsidRPr="00680851">
        <w:t xml:space="preserve">imenovane su </w:t>
      </w:r>
      <w:r w:rsidRPr="00680851">
        <w:rPr>
          <w:rFonts w:eastAsia="Times New Roman"/>
          <w:lang w:eastAsia="hr-HR"/>
        </w:rPr>
        <w:t xml:space="preserve">u srpnju 2018. </w:t>
      </w:r>
      <w:r w:rsidRPr="00680851">
        <w:t>Regionalnim centrima kompetentnosti u strukovnom obrazovanju na 5 godina:</w:t>
      </w:r>
      <w:r w:rsidRPr="00680851">
        <w:rPr>
          <w:b/>
        </w:rPr>
        <w:t xml:space="preserve"> </w:t>
      </w:r>
      <w:r w:rsidRPr="00680851">
        <w:t>Tehnička škola Ruđera Boškovića (sektor elektrotehnika i računalstvo)</w:t>
      </w:r>
      <w:r w:rsidRPr="00680851">
        <w:rPr>
          <w:b/>
        </w:rPr>
        <w:t xml:space="preserve">, </w:t>
      </w:r>
      <w:r w:rsidRPr="00680851">
        <w:t>Strojarska tehnička škola Fausta Vrančića (sektor strojarstva); partner: Industrijska strojarska škola te</w:t>
      </w:r>
      <w:r w:rsidRPr="00680851">
        <w:rPr>
          <w:b/>
        </w:rPr>
        <w:t xml:space="preserve"> </w:t>
      </w:r>
      <w:r w:rsidRPr="00680851">
        <w:t>Škola za medicinske sestre Mlinarska (sektor zdravstvo); partner: Zdravstveno učilište</w:t>
      </w:r>
      <w:r>
        <w:t xml:space="preserve">, </w:t>
      </w:r>
      <w:r w:rsidRPr="00680851">
        <w:rPr>
          <w:rFonts w:eastAsia="Times New Roman"/>
          <w:lang w:eastAsia="hr-HR"/>
        </w:rPr>
        <w:t>čime su stekle pravo na povlačenje bespovratnih sredstava iz fondova Europske unije: Europskog fonda za regionalni razvoj i Europskog socijalnog fonda.</w:t>
      </w:r>
      <w:r w:rsidRPr="00680851">
        <w:t xml:space="preserve"> Centri kompetentnosti, pored redovitih programa strukovnog obrazovanja, provode programe stručnog usavršavanja i cjeloživotnog obrazovanja te doprinose kvaliteti strukovnog obrazovanja i osposobljavanja te njegovoj prilagodbi potrebama gospodarstva i tržišta rada.</w:t>
      </w:r>
      <w:r w:rsidRPr="00680851">
        <w:rPr>
          <w:rFonts w:eastAsia="Times New Roman"/>
          <w:lang w:eastAsia="hr-HR"/>
        </w:rPr>
        <w:t xml:space="preserve"> Financijska potpora iz proračuna Grada Zagreba ustanovama prijaviteljima potrebna je kako bi se osigurala financijska sredstva za kontinuirano servisiranje troškova nastalih kroz realizaciju projektnih aktivnosti u skladu sa zakonskim i ugovorenim rokovima od trenutka nastanka pojedinog troška, a neovisno o dinamici doznačivanja sredstava alociranih u fondovima Europske unije.</w:t>
      </w:r>
      <w:r w:rsidRPr="00680851">
        <w:t xml:space="preserve"> </w:t>
      </w:r>
    </w:p>
    <w:tbl>
      <w:tblPr>
        <w:tblW w:w="9660" w:type="dxa"/>
        <w:jc w:val="center"/>
        <w:tblLayout w:type="fixed"/>
        <w:tblLook w:val="04A0" w:firstRow="1" w:lastRow="0" w:firstColumn="1" w:lastColumn="0" w:noHBand="0" w:noVBand="1"/>
      </w:tblPr>
      <w:tblGrid>
        <w:gridCol w:w="4829"/>
        <w:gridCol w:w="4831"/>
      </w:tblGrid>
      <w:tr w:rsidR="004976E4" w:rsidRPr="00680851" w14:paraId="3D2F9FA8" w14:textId="77777777" w:rsidTr="007773DF">
        <w:trPr>
          <w:trHeight w:val="869"/>
          <w:jc w:val="center"/>
        </w:trPr>
        <w:tc>
          <w:tcPr>
            <w:tcW w:w="4829" w:type="dxa"/>
            <w:shd w:val="clear" w:color="auto" w:fill="D9D9D9"/>
            <w:vAlign w:val="center"/>
            <w:hideMark/>
          </w:tcPr>
          <w:p w14:paraId="38642868" w14:textId="00598589" w:rsidR="004976E4" w:rsidRPr="00680851" w:rsidRDefault="004976E4" w:rsidP="00F50578">
            <w:pPr>
              <w:pStyle w:val="StandardWeb"/>
              <w:spacing w:before="60" w:beforeAutospacing="0" w:after="60" w:afterAutospacing="0"/>
              <w:ind w:right="-2"/>
              <w:rPr>
                <w:rFonts w:ascii="Calibri" w:hAnsi="Calibri" w:cs="Calibri"/>
                <w:b/>
                <w:sz w:val="18"/>
                <w:szCs w:val="18"/>
              </w:rPr>
            </w:pPr>
            <w:r w:rsidRPr="00680851">
              <w:rPr>
                <w:rFonts w:ascii="Calibri" w:hAnsi="Calibri" w:cs="Calibri"/>
                <w:b/>
                <w:sz w:val="18"/>
                <w:szCs w:val="18"/>
              </w:rPr>
              <w:t>RAZVOJNI PROBLEMI</w:t>
            </w:r>
          </w:p>
        </w:tc>
        <w:tc>
          <w:tcPr>
            <w:tcW w:w="4831" w:type="dxa"/>
            <w:shd w:val="clear" w:color="auto" w:fill="99CCFF"/>
            <w:vAlign w:val="center"/>
            <w:hideMark/>
          </w:tcPr>
          <w:p w14:paraId="756EF811" w14:textId="77777777" w:rsidR="004976E4" w:rsidRPr="00680851" w:rsidRDefault="004976E4" w:rsidP="00F50578">
            <w:pPr>
              <w:pStyle w:val="StandardWeb"/>
              <w:spacing w:before="60" w:beforeAutospacing="0" w:after="60" w:afterAutospacing="0"/>
              <w:ind w:right="-2"/>
              <w:rPr>
                <w:rFonts w:ascii="Calibri" w:hAnsi="Calibri" w:cs="Calibri"/>
                <w:b/>
                <w:sz w:val="18"/>
                <w:szCs w:val="18"/>
              </w:rPr>
            </w:pPr>
            <w:r w:rsidRPr="00680851">
              <w:rPr>
                <w:rFonts w:ascii="Calibri" w:hAnsi="Calibri" w:cs="Calibri"/>
                <w:b/>
                <w:sz w:val="18"/>
                <w:szCs w:val="18"/>
              </w:rPr>
              <w:t>RAZVOJNE POTREBE</w:t>
            </w:r>
          </w:p>
        </w:tc>
      </w:tr>
      <w:tr w:rsidR="004976E4" w:rsidRPr="00680851" w14:paraId="43545979" w14:textId="77777777" w:rsidTr="007773DF">
        <w:trPr>
          <w:trHeight w:val="577"/>
          <w:jc w:val="center"/>
        </w:trPr>
        <w:tc>
          <w:tcPr>
            <w:tcW w:w="4829" w:type="dxa"/>
            <w:shd w:val="clear" w:color="auto" w:fill="D9D9D9"/>
            <w:hideMark/>
          </w:tcPr>
          <w:p w14:paraId="670CD70E" w14:textId="5C03B6EC" w:rsidR="004976E4" w:rsidRPr="00680851"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n</w:t>
            </w:r>
            <w:r w:rsidR="004976E4" w:rsidRPr="00680851">
              <w:rPr>
                <w:rFonts w:ascii="Calibri" w:hAnsi="Calibri" w:cs="Calibri"/>
                <w:sz w:val="18"/>
                <w:szCs w:val="18"/>
              </w:rPr>
              <w:t xml:space="preserve">edostatak školskog prostora u postojećim osnovnoškolskim i srednjoškolskim objektima, nedostatak športskih dvorana i igrališta u osnovnim i srednjim školama </w:t>
            </w:r>
          </w:p>
          <w:p w14:paraId="72A32AEB" w14:textId="6EE9E297" w:rsidR="004976E4" w:rsidRPr="00680851"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n</w:t>
            </w:r>
            <w:r w:rsidR="004976E4" w:rsidRPr="00680851">
              <w:rPr>
                <w:rFonts w:ascii="Calibri" w:hAnsi="Calibri" w:cs="Calibri"/>
                <w:sz w:val="18"/>
                <w:szCs w:val="18"/>
              </w:rPr>
              <w:t>edostatak novih osnovnih i srednjih škola u dijelovima grada s pojačanom stambenom izgradnjom</w:t>
            </w:r>
          </w:p>
          <w:p w14:paraId="78B27CB8" w14:textId="1FD6269C" w:rsidR="004976E4" w:rsidRPr="00680851"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d</w:t>
            </w:r>
            <w:r w:rsidR="004976E4" w:rsidRPr="00680851">
              <w:rPr>
                <w:rFonts w:ascii="Calibri" w:hAnsi="Calibri" w:cs="Calibri"/>
                <w:sz w:val="18"/>
                <w:szCs w:val="18"/>
              </w:rPr>
              <w:t>otrajalost dijela postojećih školskih objekata i školske opreme u osnovnim i srednjim školama</w:t>
            </w:r>
          </w:p>
          <w:p w14:paraId="726788B7" w14:textId="48E114BD" w:rsidR="004976E4" w:rsidRPr="00680851"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n</w:t>
            </w:r>
            <w:r w:rsidR="004976E4" w:rsidRPr="00680851">
              <w:rPr>
                <w:rFonts w:ascii="Calibri" w:hAnsi="Calibri" w:cs="Calibri"/>
                <w:sz w:val="18"/>
                <w:szCs w:val="18"/>
              </w:rPr>
              <w:t>edostatni uvjeti za obuhvat učenika osnovnih škola programom produženog boravka</w:t>
            </w:r>
          </w:p>
          <w:p w14:paraId="08F4C7A6" w14:textId="66F9E615" w:rsidR="004976E4" w:rsidRPr="00680851"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s</w:t>
            </w:r>
            <w:r w:rsidR="004976E4" w:rsidRPr="00680851">
              <w:rPr>
                <w:rFonts w:ascii="Calibri" w:hAnsi="Calibri" w:cs="Calibri"/>
                <w:sz w:val="18"/>
                <w:szCs w:val="18"/>
              </w:rPr>
              <w:t>mjenski rad osnovnih i srednjih škola</w:t>
            </w:r>
          </w:p>
          <w:p w14:paraId="319BE5D3" w14:textId="464CDDEA" w:rsidR="004976E4"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o</w:t>
            </w:r>
            <w:r w:rsidR="004976E4" w:rsidRPr="00680851">
              <w:rPr>
                <w:rFonts w:ascii="Calibri" w:hAnsi="Calibri" w:cs="Calibri"/>
                <w:sz w:val="18"/>
                <w:szCs w:val="18"/>
              </w:rPr>
              <w:t>graničena sredstva za poticanje postojećih te razvoj novih programa i izvannastavnih aktivnosti u osnovnim i srednjim školama</w:t>
            </w:r>
          </w:p>
          <w:p w14:paraId="44CCA42C" w14:textId="77777777" w:rsidR="004976E4" w:rsidRPr="00680851" w:rsidRDefault="004976E4"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sidRPr="00EE5065">
              <w:rPr>
                <w:rFonts w:ascii="Calibri" w:hAnsi="Calibri" w:cs="Calibri"/>
                <w:sz w:val="18"/>
                <w:szCs w:val="18"/>
              </w:rPr>
              <w:t>oštećenja na zgradama kao posljedica potresa 22. ožujka 2020</w:t>
            </w:r>
            <w:r>
              <w:rPr>
                <w:rFonts w:ascii="Calibri" w:hAnsi="Calibri" w:cs="Calibri"/>
                <w:sz w:val="18"/>
                <w:szCs w:val="18"/>
              </w:rPr>
              <w:t>.</w:t>
            </w:r>
          </w:p>
        </w:tc>
        <w:tc>
          <w:tcPr>
            <w:tcW w:w="4831" w:type="dxa"/>
            <w:shd w:val="clear" w:color="auto" w:fill="99CCFF"/>
            <w:hideMark/>
          </w:tcPr>
          <w:p w14:paraId="79C301A0" w14:textId="6F8B7E34" w:rsidR="004976E4" w:rsidRPr="00680851"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p</w:t>
            </w:r>
            <w:r w:rsidR="004976E4" w:rsidRPr="00680851">
              <w:rPr>
                <w:rFonts w:ascii="Calibri" w:hAnsi="Calibri" w:cs="Calibri"/>
                <w:sz w:val="18"/>
                <w:szCs w:val="18"/>
              </w:rPr>
              <w:t>oboljšavati uvjete rada u osnovnoškolskim i srednjoškolskim ustanovama te njihovu opremljenost</w:t>
            </w:r>
          </w:p>
          <w:p w14:paraId="49224891" w14:textId="1A4097FC" w:rsidR="004976E4" w:rsidRPr="00680851" w:rsidRDefault="002950C1"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s</w:t>
            </w:r>
            <w:r w:rsidR="004976E4" w:rsidRPr="00680851">
              <w:rPr>
                <w:rFonts w:ascii="Calibri" w:hAnsi="Calibri" w:cs="Calibri"/>
                <w:sz w:val="18"/>
                <w:szCs w:val="18"/>
              </w:rPr>
              <w:t>agraditi nove škole u dijelovima grada s iznimno jakom stambenom gradnjom i tamo gdje su veća migracijska kretanja unutar gradskih područja usmjerenih prema rubnim dijelovima Grada</w:t>
            </w:r>
          </w:p>
          <w:p w14:paraId="01E205B0" w14:textId="77777777" w:rsidR="006820AA" w:rsidRDefault="002950C1" w:rsidP="002950C1">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a</w:t>
            </w:r>
            <w:r w:rsidR="004976E4" w:rsidRPr="00680851">
              <w:rPr>
                <w:rFonts w:ascii="Calibri" w:hAnsi="Calibri" w:cs="Calibri"/>
                <w:sz w:val="18"/>
                <w:szCs w:val="18"/>
              </w:rPr>
              <w:t>daptirati, rekonstruirati, dograditi i osigurati pristupačnost  osnovnoškolskih i srednjoškolskih prostora tamo gdje to prostorni i drugi uvjeti dozvoljavaju</w:t>
            </w:r>
          </w:p>
          <w:p w14:paraId="0BC6651C" w14:textId="167E2F1C" w:rsidR="004976E4" w:rsidRPr="006820AA" w:rsidRDefault="002950C1" w:rsidP="002950C1">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sidRPr="006820AA">
              <w:rPr>
                <w:rFonts w:ascii="Calibri" w:hAnsi="Calibri" w:cs="Calibri"/>
                <w:sz w:val="18"/>
                <w:szCs w:val="18"/>
              </w:rPr>
              <w:t>i</w:t>
            </w:r>
            <w:r w:rsidR="004976E4" w:rsidRPr="006820AA">
              <w:rPr>
                <w:rFonts w:ascii="Calibri" w:hAnsi="Calibri" w:cs="Calibri"/>
                <w:sz w:val="18"/>
                <w:szCs w:val="18"/>
              </w:rPr>
              <w:t>zgraditi športske dvorane i športske terene u osnovnim i srednjim školama koje ih još nemaju</w:t>
            </w:r>
          </w:p>
          <w:p w14:paraId="5521AC13" w14:textId="5A894E30" w:rsidR="004976E4" w:rsidRPr="00680851" w:rsidRDefault="006820AA"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o</w:t>
            </w:r>
            <w:r w:rsidR="004976E4" w:rsidRPr="00680851">
              <w:rPr>
                <w:rFonts w:ascii="Calibri" w:hAnsi="Calibri" w:cs="Calibri"/>
                <w:sz w:val="18"/>
                <w:szCs w:val="18"/>
              </w:rPr>
              <w:t>mogućiti uvjete za prelazak osnovnih i srednjih škola na rad u jednoj smjeni</w:t>
            </w:r>
          </w:p>
          <w:p w14:paraId="07D34AFE" w14:textId="115FF2BA" w:rsidR="004976E4" w:rsidRPr="00680851" w:rsidRDefault="006820AA"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o</w:t>
            </w:r>
            <w:r w:rsidR="004976E4" w:rsidRPr="00680851">
              <w:rPr>
                <w:rFonts w:ascii="Calibri" w:hAnsi="Calibri" w:cs="Calibri"/>
                <w:sz w:val="18"/>
                <w:szCs w:val="18"/>
              </w:rPr>
              <w:t>sigurati potreban broj učitelja za program produženog boravka u osnovnim školama</w:t>
            </w:r>
          </w:p>
          <w:p w14:paraId="4FF0AFF0" w14:textId="7E085811" w:rsidR="004976E4" w:rsidRPr="00680851" w:rsidRDefault="006820AA" w:rsidP="00165C16">
            <w:pPr>
              <w:pStyle w:val="StandardWeb"/>
              <w:numPr>
                <w:ilvl w:val="0"/>
                <w:numId w:val="1"/>
              </w:numPr>
              <w:tabs>
                <w:tab w:val="clear" w:pos="720"/>
                <w:tab w:val="num" w:pos="284"/>
                <w:tab w:val="num" w:pos="360"/>
                <w:tab w:val="num" w:pos="644"/>
              </w:tabs>
              <w:spacing w:before="60" w:beforeAutospacing="0" w:after="60" w:afterAutospacing="0"/>
              <w:ind w:left="284" w:right="-2" w:hanging="284"/>
              <w:jc w:val="both"/>
              <w:rPr>
                <w:rFonts w:ascii="Calibri" w:hAnsi="Calibri" w:cs="Calibri"/>
                <w:sz w:val="22"/>
                <w:szCs w:val="22"/>
              </w:rPr>
            </w:pPr>
            <w:r>
              <w:rPr>
                <w:rFonts w:ascii="Calibri" w:hAnsi="Calibri"/>
                <w:sz w:val="18"/>
                <w:szCs w:val="18"/>
              </w:rPr>
              <w:t>p</w:t>
            </w:r>
            <w:r w:rsidR="004976E4" w:rsidRPr="00680851">
              <w:rPr>
                <w:rFonts w:ascii="Calibri" w:hAnsi="Calibri"/>
                <w:sz w:val="18"/>
                <w:szCs w:val="18"/>
              </w:rPr>
              <w:t xml:space="preserve">rovoditi odgojno-obrazovne programe radi integracije i sprječavanja diskriminacije djece s teškoćama u razvoju, a sve u funkciji osiguranja mogućnosti za potporu inkluzivnom odgoju i obrazovanju </w:t>
            </w:r>
          </w:p>
          <w:p w14:paraId="5F9A76D5" w14:textId="357DB261" w:rsidR="004976E4" w:rsidRPr="00680851" w:rsidRDefault="006820AA" w:rsidP="00165C16">
            <w:pPr>
              <w:pStyle w:val="StandardWeb"/>
              <w:numPr>
                <w:ilvl w:val="0"/>
                <w:numId w:val="1"/>
              </w:numPr>
              <w:tabs>
                <w:tab w:val="clear" w:pos="720"/>
                <w:tab w:val="num" w:pos="284"/>
                <w:tab w:val="num" w:pos="360"/>
                <w:tab w:val="num" w:pos="644"/>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p</w:t>
            </w:r>
            <w:r w:rsidR="004976E4" w:rsidRPr="00680851">
              <w:rPr>
                <w:rFonts w:ascii="Calibri" w:hAnsi="Calibri" w:cs="Calibri"/>
                <w:sz w:val="18"/>
                <w:szCs w:val="18"/>
              </w:rPr>
              <w:t>odupirati provedbu preventivnih programa radi sprječavanja nasilja, trgovanja djecom i ljudima te zlouporabe svih oblika ovisnosti i osiguranja sigurnosti u odgojno-obrazovnim ustanovama</w:t>
            </w:r>
          </w:p>
          <w:p w14:paraId="43CDB1C1" w14:textId="3230F986" w:rsidR="004976E4" w:rsidRPr="00680851" w:rsidRDefault="006820AA" w:rsidP="00165C16">
            <w:pPr>
              <w:pStyle w:val="StandardWeb"/>
              <w:numPr>
                <w:ilvl w:val="0"/>
                <w:numId w:val="1"/>
              </w:numPr>
              <w:tabs>
                <w:tab w:val="clear" w:pos="720"/>
                <w:tab w:val="num" w:pos="284"/>
                <w:tab w:val="num" w:pos="360"/>
                <w:tab w:val="num" w:pos="644"/>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p</w:t>
            </w:r>
            <w:r w:rsidR="0034230B">
              <w:rPr>
                <w:rFonts w:ascii="Calibri" w:hAnsi="Calibri" w:cs="Calibri"/>
                <w:sz w:val="18"/>
                <w:szCs w:val="18"/>
              </w:rPr>
              <w:t>ružiti p</w:t>
            </w:r>
            <w:r w:rsidR="004976E4" w:rsidRPr="00680851">
              <w:rPr>
                <w:rFonts w:ascii="Calibri" w:hAnsi="Calibri" w:cs="Calibri"/>
                <w:sz w:val="18"/>
                <w:szCs w:val="18"/>
              </w:rPr>
              <w:t>otpor</w:t>
            </w:r>
            <w:r w:rsidR="0034230B">
              <w:rPr>
                <w:rFonts w:ascii="Calibri" w:hAnsi="Calibri" w:cs="Calibri"/>
                <w:sz w:val="18"/>
                <w:szCs w:val="18"/>
              </w:rPr>
              <w:t>u</w:t>
            </w:r>
            <w:r w:rsidR="004976E4" w:rsidRPr="00680851">
              <w:rPr>
                <w:rFonts w:ascii="Calibri" w:hAnsi="Calibri" w:cs="Calibri"/>
                <w:sz w:val="18"/>
                <w:szCs w:val="18"/>
              </w:rPr>
              <w:t xml:space="preserve"> programskim aktivnostima vezanim uz promicanje kulture i prava nacionalnih manjina</w:t>
            </w:r>
          </w:p>
          <w:p w14:paraId="452913ED" w14:textId="0D8A6365" w:rsidR="004976E4" w:rsidRPr="00680851" w:rsidRDefault="006820AA" w:rsidP="00165C16">
            <w:pPr>
              <w:pStyle w:val="StandardWeb"/>
              <w:numPr>
                <w:ilvl w:val="0"/>
                <w:numId w:val="1"/>
              </w:numPr>
              <w:tabs>
                <w:tab w:val="clear" w:pos="720"/>
                <w:tab w:val="num" w:pos="284"/>
                <w:tab w:val="num" w:pos="360"/>
                <w:tab w:val="num" w:pos="644"/>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p</w:t>
            </w:r>
            <w:r w:rsidR="004976E4" w:rsidRPr="00680851">
              <w:rPr>
                <w:rFonts w:ascii="Calibri" w:hAnsi="Calibri" w:cs="Calibri"/>
                <w:sz w:val="18"/>
                <w:szCs w:val="18"/>
              </w:rPr>
              <w:t xml:space="preserve">odupirati nove programe i projekte na razini Grada kao i provođenje projekata financiranih iz fondova EU radi unapređivanja cjelovitog sustava odgoja i obrazovanja </w:t>
            </w:r>
          </w:p>
          <w:p w14:paraId="53EE4AA1" w14:textId="1BE14BB2" w:rsidR="004976E4" w:rsidRPr="00680851" w:rsidRDefault="006820AA" w:rsidP="00165C16">
            <w:pPr>
              <w:pStyle w:val="StandardWeb"/>
              <w:numPr>
                <w:ilvl w:val="0"/>
                <w:numId w:val="1"/>
              </w:numPr>
              <w:tabs>
                <w:tab w:val="clear" w:pos="720"/>
                <w:tab w:val="num" w:pos="284"/>
                <w:tab w:val="num" w:pos="360"/>
                <w:tab w:val="num" w:pos="644"/>
              </w:tabs>
              <w:spacing w:before="60" w:beforeAutospacing="0" w:after="60" w:afterAutospacing="0"/>
              <w:ind w:left="284" w:right="-2" w:hanging="284"/>
              <w:jc w:val="both"/>
              <w:rPr>
                <w:rFonts w:ascii="Calibri" w:hAnsi="Calibri" w:cs="Calibri"/>
                <w:sz w:val="22"/>
                <w:szCs w:val="22"/>
              </w:rPr>
            </w:pPr>
            <w:r>
              <w:rPr>
                <w:rFonts w:ascii="Calibri" w:hAnsi="Calibri"/>
                <w:sz w:val="18"/>
                <w:szCs w:val="18"/>
              </w:rPr>
              <w:t>p</w:t>
            </w:r>
            <w:r w:rsidR="004976E4" w:rsidRPr="00680851">
              <w:rPr>
                <w:rFonts w:ascii="Calibri" w:hAnsi="Calibri"/>
                <w:sz w:val="18"/>
                <w:szCs w:val="18"/>
              </w:rPr>
              <w:t>održavati i poticati  srednjoškolske ustanove Grada Zagreba u provedbi programa međugradske i međunarodne suradnje s odgojno-obrazovnim te drugim ustanovama koje se bave odgojno-obrazovnom djelatnošću u zemlji i inozemstvu</w:t>
            </w:r>
          </w:p>
          <w:p w14:paraId="77B1F307" w14:textId="2CEA1315" w:rsidR="004976E4" w:rsidRPr="00680851" w:rsidRDefault="006820AA" w:rsidP="00165C16">
            <w:pPr>
              <w:pStyle w:val="StandardWeb"/>
              <w:numPr>
                <w:ilvl w:val="0"/>
                <w:numId w:val="1"/>
              </w:numPr>
              <w:tabs>
                <w:tab w:val="clear" w:pos="720"/>
                <w:tab w:val="num" w:pos="284"/>
                <w:tab w:val="num" w:pos="360"/>
                <w:tab w:val="num" w:pos="644"/>
              </w:tabs>
              <w:spacing w:before="60" w:beforeAutospacing="0" w:after="60" w:afterAutospacing="0"/>
              <w:ind w:left="284" w:right="-2" w:hanging="284"/>
              <w:jc w:val="both"/>
              <w:rPr>
                <w:rFonts w:ascii="Calibri" w:hAnsi="Calibri" w:cs="Calibri"/>
                <w:sz w:val="18"/>
                <w:szCs w:val="18"/>
              </w:rPr>
            </w:pPr>
            <w:r>
              <w:rPr>
                <w:rFonts w:ascii="Calibri" w:hAnsi="Calibri"/>
                <w:sz w:val="18"/>
                <w:szCs w:val="18"/>
              </w:rPr>
              <w:lastRenderedPageBreak/>
              <w:t>p</w:t>
            </w:r>
            <w:r w:rsidR="004976E4" w:rsidRPr="00680851">
              <w:rPr>
                <w:rFonts w:ascii="Calibri" w:hAnsi="Calibri"/>
                <w:sz w:val="18"/>
                <w:szCs w:val="18"/>
              </w:rPr>
              <w:t>odupirati rad i razvoj regionalnih centara kompetentnosti kao mjesta izvrsnosti strukovnog obrazovanja i osposobljavanja i doprinosa gospodarskom rastu</w:t>
            </w:r>
          </w:p>
          <w:p w14:paraId="2C27E3C6" w14:textId="76719A66" w:rsidR="004976E4" w:rsidRPr="006820AA" w:rsidRDefault="006820AA" w:rsidP="006820AA">
            <w:pPr>
              <w:pStyle w:val="StandardWeb"/>
              <w:numPr>
                <w:ilvl w:val="0"/>
                <w:numId w:val="1"/>
              </w:numPr>
              <w:tabs>
                <w:tab w:val="clear" w:pos="720"/>
                <w:tab w:val="num" w:pos="284"/>
                <w:tab w:val="num" w:pos="360"/>
                <w:tab w:val="num" w:pos="644"/>
              </w:tabs>
              <w:spacing w:before="60" w:beforeAutospacing="0" w:after="60" w:afterAutospacing="0"/>
              <w:ind w:left="284" w:right="-2" w:hanging="284"/>
              <w:jc w:val="both"/>
              <w:rPr>
                <w:rFonts w:ascii="Calibri" w:hAnsi="Calibri" w:cs="Calibri"/>
                <w:sz w:val="18"/>
                <w:szCs w:val="18"/>
              </w:rPr>
            </w:pPr>
            <w:r>
              <w:rPr>
                <w:rFonts w:ascii="Calibri" w:hAnsi="Calibri"/>
                <w:sz w:val="18"/>
                <w:szCs w:val="18"/>
              </w:rPr>
              <w:t>p</w:t>
            </w:r>
            <w:r w:rsidR="004976E4" w:rsidRPr="00680851">
              <w:rPr>
                <w:rFonts w:ascii="Calibri" w:hAnsi="Calibri"/>
                <w:sz w:val="18"/>
                <w:szCs w:val="18"/>
              </w:rPr>
              <w:t>odupirati programe/projekte organizacija civilnog društva kojima se ispunjavaju ciljevi i prioriteti definirani strateškim i planskim dokumentima</w:t>
            </w:r>
          </w:p>
          <w:p w14:paraId="294BF99A" w14:textId="6751502D" w:rsidR="008C5036" w:rsidRDefault="006820AA" w:rsidP="00165C16">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r</w:t>
            </w:r>
            <w:r w:rsidR="008C5036" w:rsidRPr="008C5036">
              <w:rPr>
                <w:rFonts w:ascii="Calibri" w:hAnsi="Calibri" w:cs="Calibri"/>
                <w:sz w:val="18"/>
                <w:szCs w:val="18"/>
              </w:rPr>
              <w:t>azvijati partnerstvo svih odgojno-obrazovnih čimbenika na lokalnoj, regionalnoj i nacionalnoj razini kako bi se osigurala kvaliteta i raznolikost programa u skladu s potrebama i interesima tržišta rada te učenika i roditelja</w:t>
            </w:r>
          </w:p>
          <w:p w14:paraId="28951093" w14:textId="2CCB7B7D" w:rsidR="00540014" w:rsidRDefault="00540014" w:rsidP="00540014">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sidRPr="008C5036">
              <w:rPr>
                <w:rFonts w:ascii="Calibri" w:hAnsi="Calibri" w:cs="Calibri"/>
                <w:sz w:val="18"/>
                <w:szCs w:val="18"/>
              </w:rPr>
              <w:t>poticati upis učenika u deficitarna obrtnička zanimanja dodjeljivanjem stipendija</w:t>
            </w:r>
            <w:r>
              <w:rPr>
                <w:rFonts w:ascii="Calibri" w:hAnsi="Calibri" w:cs="Calibri"/>
                <w:sz w:val="18"/>
                <w:szCs w:val="18"/>
              </w:rPr>
              <w:t xml:space="preserve"> i</w:t>
            </w:r>
            <w:r w:rsidRPr="00DE62E3">
              <w:rPr>
                <w:rFonts w:ascii="Calibri" w:hAnsi="Calibri" w:cs="Calibri"/>
                <w:sz w:val="18"/>
                <w:szCs w:val="18"/>
              </w:rPr>
              <w:t xml:space="preserve"> suradnjom s privatnim sektorom (obrtima i trgovačkim društvima) radi stvaranja sinergije omogućavanja prakse</w:t>
            </w:r>
          </w:p>
          <w:p w14:paraId="1159F68E" w14:textId="6E204952" w:rsidR="004976E4" w:rsidRPr="0034230B" w:rsidRDefault="0034230B" w:rsidP="0034230B">
            <w:pPr>
              <w:pStyle w:val="StandardWeb"/>
              <w:numPr>
                <w:ilvl w:val="0"/>
                <w:numId w:val="1"/>
              </w:numPr>
              <w:tabs>
                <w:tab w:val="clear" w:pos="720"/>
                <w:tab w:val="num" w:pos="284"/>
                <w:tab w:val="num" w:pos="360"/>
              </w:tabs>
              <w:spacing w:before="60" w:beforeAutospacing="0" w:after="60" w:afterAutospacing="0"/>
              <w:ind w:left="284" w:right="-2" w:hanging="284"/>
              <w:jc w:val="both"/>
              <w:rPr>
                <w:rFonts w:ascii="Calibri" w:hAnsi="Calibri" w:cs="Calibri"/>
                <w:sz w:val="18"/>
                <w:szCs w:val="18"/>
              </w:rPr>
            </w:pPr>
            <w:r>
              <w:rPr>
                <w:rFonts w:ascii="Calibri" w:hAnsi="Calibri" w:cs="Calibri"/>
                <w:sz w:val="18"/>
                <w:szCs w:val="18"/>
              </w:rPr>
              <w:t xml:space="preserve">izgraditi </w:t>
            </w:r>
            <w:r w:rsidR="00E17578" w:rsidRPr="0034230B">
              <w:rPr>
                <w:rFonts w:ascii="Calibri" w:hAnsi="Calibri" w:cs="Calibri"/>
                <w:sz w:val="18"/>
                <w:szCs w:val="18"/>
              </w:rPr>
              <w:t xml:space="preserve">Zagrebački obrtnički centar s prostorom za provođenje praktičnog dijela nastave / sajam zanimanja </w:t>
            </w:r>
          </w:p>
        </w:tc>
      </w:tr>
    </w:tbl>
    <w:p w14:paraId="0D9012C7" w14:textId="77777777" w:rsidR="00CE6BD1" w:rsidRDefault="00CE6BD1" w:rsidP="004976E4">
      <w:pPr>
        <w:rPr>
          <w:rFonts w:cs="Calibri"/>
          <w:b/>
          <w:bCs/>
        </w:rPr>
      </w:pPr>
    </w:p>
    <w:p w14:paraId="1A4290CD" w14:textId="7EA7FC89" w:rsidR="004976E4" w:rsidRPr="00DE3B38" w:rsidRDefault="004976E4" w:rsidP="004976E4">
      <w:pPr>
        <w:rPr>
          <w:rFonts w:cs="Calibri"/>
          <w:b/>
          <w:bCs/>
        </w:rPr>
      </w:pPr>
      <w:r w:rsidRPr="00DE3B38">
        <w:rPr>
          <w:rFonts w:cs="Calibri"/>
          <w:b/>
          <w:bCs/>
        </w:rPr>
        <w:t>Tehnička kultura</w:t>
      </w:r>
    </w:p>
    <w:p w14:paraId="06B9C219" w14:textId="77777777" w:rsidR="004976E4" w:rsidRPr="00951A08" w:rsidRDefault="004976E4" w:rsidP="004976E4">
      <w:pPr>
        <w:pStyle w:val="Default"/>
        <w:jc w:val="both"/>
        <w:rPr>
          <w:rFonts w:asciiTheme="minorHAnsi" w:hAnsiTheme="minorHAnsi" w:cstheme="minorHAnsi"/>
          <w:bCs/>
          <w:sz w:val="22"/>
          <w:szCs w:val="22"/>
        </w:rPr>
      </w:pPr>
      <w:r w:rsidRPr="00951A08">
        <w:rPr>
          <w:rFonts w:asciiTheme="minorHAnsi" w:hAnsiTheme="minorHAnsi" w:cstheme="minorHAnsi"/>
          <w:bCs/>
          <w:sz w:val="22"/>
          <w:szCs w:val="22"/>
        </w:rPr>
        <w:t xml:space="preserve">Tehnička </w:t>
      </w:r>
      <w:r w:rsidRPr="00951A08">
        <w:rPr>
          <w:rFonts w:asciiTheme="minorHAnsi" w:hAnsiTheme="minorHAnsi" w:cstheme="minorHAnsi"/>
          <w:color w:val="auto"/>
          <w:sz w:val="22"/>
          <w:szCs w:val="22"/>
        </w:rPr>
        <w:t>kultura u suvremenom trenutku jedan je od uvjeta uspješnoga odgojno-obrazovnog procesa, razvoja i života svakog pojedinca i suvremenog društva u cjelini. Njezini raznovrsni programi i djelatnosti važan su izvor znanja, umijeća i sposobnosti, ovladavanje njome bitna je pretpostavka uključivanja u suvremene radne i životne procese. Ona je jedan od temelja razvoja stvaralačkih aktivnosti i nezaobilazan čimbenik primjene novih tehnoloških dostignuća u svakodnevnom životu svih dobnih skupina, a ponajprije djece i mladih, koji se svakodnevno moraju prilagođavati brzom znanstveno-tehnološkom i tehničkom razvoju i napretku.</w:t>
      </w:r>
    </w:p>
    <w:p w14:paraId="1F57E059" w14:textId="77777777" w:rsidR="004976E4" w:rsidRDefault="004976E4" w:rsidP="004976E4">
      <w:pPr>
        <w:pStyle w:val="Default"/>
      </w:pPr>
    </w:p>
    <w:p w14:paraId="094670B4" w14:textId="77777777" w:rsidR="004976E4" w:rsidRDefault="004976E4" w:rsidP="004976E4">
      <w:pPr>
        <w:pStyle w:val="Tijeloteksta2"/>
        <w:ind w:right="-2"/>
        <w:rPr>
          <w:rFonts w:ascii="Calibri" w:hAnsi="Calibri" w:cs="Calibri"/>
          <w:b w:val="0"/>
          <w:sz w:val="22"/>
          <w:szCs w:val="22"/>
        </w:rPr>
      </w:pPr>
      <w:r>
        <w:rPr>
          <w:rFonts w:ascii="Calibri" w:hAnsi="Calibri" w:cs="Calibri"/>
          <w:b w:val="0"/>
          <w:sz w:val="22"/>
          <w:szCs w:val="22"/>
        </w:rPr>
        <w:t xml:space="preserve">Tehnička </w:t>
      </w:r>
      <w:r w:rsidRPr="00DE3B38">
        <w:rPr>
          <w:rFonts w:ascii="Calibri" w:hAnsi="Calibri" w:cs="Calibri"/>
          <w:b w:val="0"/>
          <w:sz w:val="22"/>
          <w:szCs w:val="22"/>
        </w:rPr>
        <w:t xml:space="preserve">kultura sufinancira se prikupljanjem programa dobivenih javnim pozivom, pretežno programa postojećih granskih saveza i, nešto manje, samostalnih udruga. Sustav tehničke kulture u Gradu Zagrebu danas čini mreža od 13 granskih strukovnih saveza, jedne zajednice tehničke kulture i više od 150 njihovih udruga. Godišnje oni, u prosjeku, izvedu zajedno više od 700 </w:t>
      </w:r>
      <w:r w:rsidRPr="00485610">
        <w:rPr>
          <w:rFonts w:ascii="Calibri" w:hAnsi="Calibri" w:cs="Calibri"/>
          <w:b w:val="0"/>
          <w:sz w:val="22"/>
          <w:szCs w:val="22"/>
        </w:rPr>
        <w:t>programa (</w:t>
      </w:r>
      <w:r w:rsidRPr="00485610">
        <w:rPr>
          <w:rFonts w:ascii="Calibri" w:hAnsi="Calibri"/>
          <w:b w:val="0"/>
          <w:sz w:val="22"/>
          <w:szCs w:val="22"/>
        </w:rPr>
        <w:t>akcije, manifestacije, natjecanja, smotre, izložbe, seminari, tečajevi, radio</w:t>
      </w:r>
      <w:r w:rsidRPr="00485610">
        <w:rPr>
          <w:rFonts w:ascii="Calibri" w:hAnsi="Calibri"/>
          <w:b w:val="0"/>
          <w:sz w:val="22"/>
          <w:szCs w:val="22"/>
        </w:rPr>
        <w:softHyphen/>
        <w:t xml:space="preserve">nice, škole, kampovi, utrke, regate) </w:t>
      </w:r>
      <w:r w:rsidRPr="00485610">
        <w:rPr>
          <w:rFonts w:ascii="Calibri" w:hAnsi="Calibri" w:cs="Calibri"/>
          <w:b w:val="0"/>
          <w:sz w:val="22"/>
          <w:szCs w:val="22"/>
        </w:rPr>
        <w:t xml:space="preserve"> kroz koje prođe više od 50.000 sudionika.</w:t>
      </w:r>
      <w:r>
        <w:rPr>
          <w:rFonts w:ascii="Calibri" w:hAnsi="Calibri" w:cs="Calibri"/>
          <w:b w:val="0"/>
          <w:sz w:val="22"/>
          <w:szCs w:val="22"/>
        </w:rPr>
        <w:t xml:space="preserve"> </w:t>
      </w:r>
    </w:p>
    <w:p w14:paraId="6E5E6FF8" w14:textId="77777777" w:rsidR="004976E4" w:rsidRDefault="004976E4" w:rsidP="004976E4">
      <w:pPr>
        <w:pStyle w:val="Tijeloteksta2"/>
        <w:ind w:right="-2"/>
        <w:rPr>
          <w:rFonts w:ascii="Calibri" w:hAnsi="Calibri" w:cs="Calibri"/>
          <w:b w:val="0"/>
          <w:sz w:val="22"/>
          <w:szCs w:val="22"/>
        </w:rPr>
      </w:pPr>
    </w:p>
    <w:tbl>
      <w:tblPr>
        <w:tblW w:w="0" w:type="auto"/>
        <w:tblLook w:val="00A0" w:firstRow="1" w:lastRow="0" w:firstColumn="1" w:lastColumn="0" w:noHBand="0" w:noVBand="0"/>
      </w:tblPr>
      <w:tblGrid>
        <w:gridCol w:w="4536"/>
        <w:gridCol w:w="4536"/>
      </w:tblGrid>
      <w:tr w:rsidR="004976E4" w:rsidRPr="00DE3B38" w14:paraId="74F7EBF2" w14:textId="77777777" w:rsidTr="005D49B9">
        <w:tc>
          <w:tcPr>
            <w:tcW w:w="4536" w:type="dxa"/>
            <w:shd w:val="clear" w:color="auto" w:fill="D9D9D9"/>
          </w:tcPr>
          <w:p w14:paraId="72933F82" w14:textId="6FA2FFA5" w:rsidR="004976E4" w:rsidRPr="00DE3B38" w:rsidRDefault="004976E4" w:rsidP="00F50578">
            <w:pPr>
              <w:pStyle w:val="StandardWeb"/>
              <w:spacing w:before="60" w:beforeAutospacing="0" w:after="60" w:afterAutospacing="0"/>
              <w:ind w:right="-2"/>
              <w:rPr>
                <w:rFonts w:ascii="Calibri" w:hAnsi="Calibri" w:cs="Calibri"/>
                <w:b/>
                <w:sz w:val="18"/>
                <w:szCs w:val="18"/>
              </w:rPr>
            </w:pPr>
            <w:r w:rsidRPr="00DE3B38">
              <w:rPr>
                <w:rFonts w:ascii="Calibri" w:hAnsi="Calibri" w:cs="Calibri"/>
                <w:sz w:val="22"/>
                <w:szCs w:val="22"/>
              </w:rPr>
              <w:t xml:space="preserve"> </w:t>
            </w:r>
            <w:r w:rsidRPr="00DE3B38">
              <w:rPr>
                <w:rFonts w:ascii="Calibri" w:hAnsi="Calibri" w:cs="Calibri"/>
                <w:b/>
                <w:sz w:val="18"/>
                <w:szCs w:val="18"/>
              </w:rPr>
              <w:t>RAZVOJNI PROBLEMI</w:t>
            </w:r>
          </w:p>
        </w:tc>
        <w:tc>
          <w:tcPr>
            <w:tcW w:w="4536" w:type="dxa"/>
            <w:shd w:val="clear" w:color="auto" w:fill="99CCFF"/>
          </w:tcPr>
          <w:p w14:paraId="15F862ED" w14:textId="77777777" w:rsidR="004976E4" w:rsidRPr="00DE3B38" w:rsidRDefault="004976E4" w:rsidP="00F50578">
            <w:pPr>
              <w:pStyle w:val="StandardWeb"/>
              <w:spacing w:before="60" w:beforeAutospacing="0" w:after="60" w:afterAutospacing="0"/>
              <w:ind w:right="-2"/>
              <w:rPr>
                <w:rFonts w:ascii="Calibri" w:hAnsi="Calibri" w:cs="Calibri"/>
                <w:b/>
                <w:sz w:val="18"/>
                <w:szCs w:val="18"/>
              </w:rPr>
            </w:pPr>
            <w:r w:rsidRPr="00DE3B38">
              <w:rPr>
                <w:rFonts w:ascii="Calibri" w:hAnsi="Calibri" w:cs="Calibri"/>
                <w:b/>
                <w:sz w:val="18"/>
                <w:szCs w:val="18"/>
              </w:rPr>
              <w:t>RAZVOJNE POTREBE</w:t>
            </w:r>
          </w:p>
        </w:tc>
      </w:tr>
      <w:tr w:rsidR="004976E4" w:rsidRPr="00A33E06" w14:paraId="2F6B75A9" w14:textId="77777777" w:rsidTr="005D49B9">
        <w:tc>
          <w:tcPr>
            <w:tcW w:w="4536" w:type="dxa"/>
            <w:shd w:val="clear" w:color="auto" w:fill="D9D9D9"/>
          </w:tcPr>
          <w:p w14:paraId="6623988D" w14:textId="516FA6E1"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n</w:t>
            </w:r>
            <w:r w:rsidR="004976E4" w:rsidRPr="006A0E87">
              <w:rPr>
                <w:rFonts w:cs="Calibri"/>
                <w:sz w:val="18"/>
                <w:szCs w:val="18"/>
              </w:rPr>
              <w:t>edefinirana strateška uloga tehničke kulture i nedovoljna spoznaja njezina doprinosa sveukupnom razvoju Grada Zagreba</w:t>
            </w:r>
          </w:p>
          <w:p w14:paraId="63DC3296" w14:textId="1DCDB6CD"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n</w:t>
            </w:r>
            <w:r w:rsidR="004976E4" w:rsidRPr="006A0E87">
              <w:rPr>
                <w:rFonts w:cs="Calibri"/>
                <w:sz w:val="18"/>
                <w:szCs w:val="18"/>
              </w:rPr>
              <w:t>edostatak sredstava za sufinanciranje novih i inovativnih programa na području tehničke kulture</w:t>
            </w:r>
          </w:p>
          <w:p w14:paraId="118D8288" w14:textId="7D926BBC"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n</w:t>
            </w:r>
            <w:r w:rsidR="004976E4" w:rsidRPr="006A0E87">
              <w:rPr>
                <w:rFonts w:cs="Calibri"/>
                <w:sz w:val="18"/>
                <w:szCs w:val="18"/>
              </w:rPr>
              <w:t>edovoljno koherentna i različitim potrebama nedovoljno prilagođena organizacijska struktura tehničke kulture u Gradu Zagrebu</w:t>
            </w:r>
          </w:p>
          <w:p w14:paraId="7CD54D4E" w14:textId="1DB9E66B"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n</w:t>
            </w:r>
            <w:r w:rsidR="004976E4" w:rsidRPr="006A0E87">
              <w:rPr>
                <w:rFonts w:cs="Calibri"/>
                <w:sz w:val="18"/>
                <w:szCs w:val="18"/>
              </w:rPr>
              <w:t>eravnomjerna pokrivenost gradskih četvrti različitim sadržajima tehničke kulture</w:t>
            </w:r>
          </w:p>
          <w:p w14:paraId="1E03A87E" w14:textId="6B5AE5CA"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n</w:t>
            </w:r>
            <w:r w:rsidR="004976E4" w:rsidRPr="006A0E87">
              <w:rPr>
                <w:rFonts w:cs="Calibri"/>
                <w:sz w:val="18"/>
                <w:szCs w:val="18"/>
              </w:rPr>
              <w:t>edovoljan broj programa za darovite i programa za uspješnu integraciju u redovite programe djece i mladih s teškoćama u razvoju</w:t>
            </w:r>
          </w:p>
          <w:p w14:paraId="0D63A6B2" w14:textId="2609AFEE"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n</w:t>
            </w:r>
            <w:r w:rsidR="004976E4" w:rsidRPr="006A0E87">
              <w:rPr>
                <w:rFonts w:cs="Calibri"/>
                <w:sz w:val="18"/>
                <w:szCs w:val="18"/>
              </w:rPr>
              <w:t xml:space="preserve">edovoljno osmišljena i ostvarena međugradska i regionalna suradnja subjekata tehničke kulture </w:t>
            </w:r>
          </w:p>
          <w:p w14:paraId="42FEA1A0" w14:textId="43855D80"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m</w:t>
            </w:r>
            <w:r w:rsidR="004976E4" w:rsidRPr="006A0E87">
              <w:rPr>
                <w:rFonts w:cs="Calibri"/>
                <w:sz w:val="18"/>
                <w:szCs w:val="18"/>
              </w:rPr>
              <w:t>eđunarodna suradnja, iako razvijena, je nedostatna s aspekta mogućnosti i potreba</w:t>
            </w:r>
          </w:p>
          <w:p w14:paraId="3D8B6259" w14:textId="77777777" w:rsidR="004976E4" w:rsidRPr="00DE3B38" w:rsidRDefault="004976E4" w:rsidP="00F50578">
            <w:pPr>
              <w:pStyle w:val="StandardWeb"/>
              <w:spacing w:before="60" w:beforeAutospacing="0" w:after="60" w:afterAutospacing="0"/>
              <w:ind w:right="-2"/>
              <w:rPr>
                <w:rFonts w:ascii="Calibri" w:hAnsi="Calibri" w:cs="Calibri"/>
                <w:sz w:val="18"/>
                <w:szCs w:val="18"/>
              </w:rPr>
            </w:pPr>
          </w:p>
          <w:p w14:paraId="2748C767" w14:textId="77777777" w:rsidR="004976E4" w:rsidRPr="00DE3B38" w:rsidRDefault="004976E4" w:rsidP="00F50578">
            <w:pPr>
              <w:spacing w:after="0" w:line="240" w:lineRule="auto"/>
              <w:ind w:left="294"/>
              <w:rPr>
                <w:rFonts w:cs="Calibri"/>
                <w:sz w:val="18"/>
                <w:szCs w:val="18"/>
              </w:rPr>
            </w:pPr>
          </w:p>
        </w:tc>
        <w:tc>
          <w:tcPr>
            <w:tcW w:w="4536" w:type="dxa"/>
            <w:shd w:val="clear" w:color="auto" w:fill="99CCFF"/>
          </w:tcPr>
          <w:p w14:paraId="2E167071" w14:textId="11773D5C" w:rsidR="004976E4" w:rsidRPr="006A0E87" w:rsidRDefault="00C62AA8" w:rsidP="00165C16">
            <w:pPr>
              <w:pStyle w:val="Odlomakpopisa"/>
              <w:numPr>
                <w:ilvl w:val="0"/>
                <w:numId w:val="19"/>
              </w:numPr>
              <w:spacing w:after="0" w:line="240" w:lineRule="auto"/>
              <w:rPr>
                <w:rFonts w:cs="Calibri"/>
                <w:sz w:val="18"/>
                <w:szCs w:val="18"/>
              </w:rPr>
            </w:pPr>
            <w:r>
              <w:rPr>
                <w:rFonts w:cs="Arial"/>
                <w:sz w:val="18"/>
                <w:szCs w:val="18"/>
              </w:rPr>
              <w:t>p</w:t>
            </w:r>
            <w:r w:rsidR="004976E4" w:rsidRPr="006A0E87">
              <w:rPr>
                <w:rFonts w:cs="Arial"/>
                <w:sz w:val="18"/>
                <w:szCs w:val="18"/>
              </w:rPr>
              <w:t>oticati stvaranje adekvatnih programsko-sadržajnih, kadrovskih, materijalno-financijskih i prostornih uvjeta za razvoj i unapređivanje djelatnosti tehničke kulture među djecom i mladima Grada Zagreba</w:t>
            </w:r>
          </w:p>
          <w:p w14:paraId="30C7F6F5" w14:textId="26BE191F"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s</w:t>
            </w:r>
            <w:r w:rsidR="004976E4" w:rsidRPr="006A0E87">
              <w:rPr>
                <w:rFonts w:cs="Calibri"/>
                <w:sz w:val="18"/>
                <w:szCs w:val="18"/>
              </w:rPr>
              <w:t xml:space="preserve">timulirati nove, inovativne programe koji šire područje djelovanja tehničke kulture i pridonose znanstveno-tehničkom razvoju društva u cjelini </w:t>
            </w:r>
          </w:p>
          <w:p w14:paraId="0259EFF9" w14:textId="710B5CFF"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j</w:t>
            </w:r>
            <w:r w:rsidR="004976E4" w:rsidRPr="006A0E87">
              <w:rPr>
                <w:rFonts w:cs="Calibri"/>
                <w:sz w:val="18"/>
                <w:szCs w:val="18"/>
              </w:rPr>
              <w:t>avno raspraviti i usvojiti novu organizacijsku strukturu tehničke kulture koja će više odgovarati iskazanim javnim potrebama građana za tehničkom kulturom i omogućiti njezinu ravnomjerniju disperziju po gradskim četvrtima</w:t>
            </w:r>
          </w:p>
          <w:p w14:paraId="4F57C433" w14:textId="60665B0E"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o</w:t>
            </w:r>
            <w:r w:rsidR="004976E4" w:rsidRPr="006A0E87">
              <w:rPr>
                <w:rFonts w:cs="Calibri"/>
                <w:sz w:val="18"/>
                <w:szCs w:val="18"/>
              </w:rPr>
              <w:t>smisliti više posebnih programa za darovite i onih za integriranje djece i mladih s teškoćama u razvoju u redovite programe tehničke kulture</w:t>
            </w:r>
          </w:p>
          <w:p w14:paraId="750EC0D4" w14:textId="5310197A"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o</w:t>
            </w:r>
            <w:r w:rsidR="004976E4" w:rsidRPr="006A0E87">
              <w:rPr>
                <w:rFonts w:cs="Calibri"/>
                <w:sz w:val="18"/>
                <w:szCs w:val="18"/>
              </w:rPr>
              <w:t xml:space="preserve">sigurati opremu i adekvatne prostore u kojima bi građani, prije svega djeca i mladi, mogli adekvatno zadovoljavati svoje potrebe na području tehničke kulture </w:t>
            </w:r>
          </w:p>
          <w:p w14:paraId="52086FDD" w14:textId="57D4370E" w:rsidR="004976E4" w:rsidRPr="006A0E87" w:rsidRDefault="00C62AA8" w:rsidP="00165C16">
            <w:pPr>
              <w:pStyle w:val="Odlomakpopisa"/>
              <w:numPr>
                <w:ilvl w:val="0"/>
                <w:numId w:val="19"/>
              </w:numPr>
              <w:spacing w:after="0" w:line="240" w:lineRule="auto"/>
              <w:rPr>
                <w:rFonts w:cs="Calibri"/>
                <w:sz w:val="18"/>
                <w:szCs w:val="18"/>
              </w:rPr>
            </w:pPr>
            <w:r>
              <w:rPr>
                <w:rFonts w:cs="Arial"/>
                <w:sz w:val="18"/>
                <w:szCs w:val="18"/>
              </w:rPr>
              <w:t>p</w:t>
            </w:r>
            <w:r w:rsidR="004976E4" w:rsidRPr="006A0E87">
              <w:rPr>
                <w:rFonts w:cs="Arial"/>
                <w:sz w:val="18"/>
                <w:szCs w:val="18"/>
              </w:rPr>
              <w:t xml:space="preserve">oticati na bavljenje djelatnostima tehničke kulture učenika u izvanškolskim i izvannastavnim </w:t>
            </w:r>
            <w:r w:rsidR="004976E4" w:rsidRPr="006A0E87">
              <w:rPr>
                <w:rFonts w:cs="Arial"/>
                <w:sz w:val="18"/>
                <w:szCs w:val="18"/>
              </w:rPr>
              <w:lastRenderedPageBreak/>
              <w:t>aktivnostima, osobito osnivanjem i podupiranjem rada klubova mladih tehničara</w:t>
            </w:r>
          </w:p>
          <w:p w14:paraId="28B84C06" w14:textId="529390F8"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p</w:t>
            </w:r>
            <w:r w:rsidR="004976E4" w:rsidRPr="006A0E87">
              <w:rPr>
                <w:rFonts w:cs="Calibri"/>
                <w:sz w:val="18"/>
                <w:szCs w:val="18"/>
              </w:rPr>
              <w:t xml:space="preserve">oticati programski osmišljenu nakladničku djelatnost </w:t>
            </w:r>
          </w:p>
          <w:p w14:paraId="41495ABF" w14:textId="1EE8CCCA"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p</w:t>
            </w:r>
            <w:r w:rsidR="004976E4" w:rsidRPr="006A0E87">
              <w:rPr>
                <w:rFonts w:cs="Calibri"/>
                <w:sz w:val="18"/>
                <w:szCs w:val="18"/>
              </w:rPr>
              <w:t>oticati suradnje na međugradskoj, regionalnoj i međunarodnoj razini</w:t>
            </w:r>
          </w:p>
          <w:p w14:paraId="362B1FB0" w14:textId="31BEE771" w:rsidR="004976E4" w:rsidRPr="006A0E87" w:rsidRDefault="00C62AA8" w:rsidP="00165C16">
            <w:pPr>
              <w:pStyle w:val="Odlomakpopisa"/>
              <w:numPr>
                <w:ilvl w:val="0"/>
                <w:numId w:val="19"/>
              </w:numPr>
              <w:spacing w:after="0" w:line="240" w:lineRule="auto"/>
              <w:rPr>
                <w:rFonts w:cs="Calibri"/>
                <w:sz w:val="18"/>
                <w:szCs w:val="18"/>
              </w:rPr>
            </w:pPr>
            <w:r>
              <w:rPr>
                <w:rFonts w:cs="Calibri"/>
                <w:sz w:val="18"/>
                <w:szCs w:val="18"/>
              </w:rPr>
              <w:t>p</w:t>
            </w:r>
            <w:r w:rsidR="004976E4" w:rsidRPr="006A0E87">
              <w:rPr>
                <w:rFonts w:cs="Calibri"/>
                <w:sz w:val="18"/>
                <w:szCs w:val="18"/>
              </w:rPr>
              <w:t>romicati ugled Grada Zagreba organiziranjem većeg broja međunarodnih manifestacija iz područja tehničke kulture</w:t>
            </w:r>
          </w:p>
        </w:tc>
      </w:tr>
    </w:tbl>
    <w:p w14:paraId="488D9C40" w14:textId="77777777" w:rsidR="004976E4" w:rsidRDefault="004976E4" w:rsidP="004976E4">
      <w:pPr>
        <w:rPr>
          <w:rFonts w:cs="Calibri"/>
          <w:b/>
        </w:rPr>
      </w:pPr>
    </w:p>
    <w:p w14:paraId="7BB02481" w14:textId="5EC89FC8" w:rsidR="004976E4" w:rsidRDefault="004976E4" w:rsidP="007B22DB">
      <w:pPr>
        <w:pStyle w:val="Stil2"/>
      </w:pPr>
      <w:bookmarkStart w:id="27" w:name="_Toc97123788"/>
      <w:r w:rsidRPr="00680851">
        <w:t>2.1.2. Visokoškolsko obrazovanje i znanost</w:t>
      </w:r>
      <w:bookmarkEnd w:id="27"/>
      <w:r w:rsidRPr="00680851">
        <w:t xml:space="preserve"> </w:t>
      </w:r>
    </w:p>
    <w:p w14:paraId="2F75603A" w14:textId="030CBE71" w:rsidR="004976E4" w:rsidRDefault="00E1136D" w:rsidP="004976E4">
      <w:pPr>
        <w:spacing w:line="240" w:lineRule="auto"/>
        <w:jc w:val="both"/>
      </w:pPr>
      <w:r>
        <w:t>U Gradu Zagrebu nalazi se 49 visokih učilišta što je 38 % u odnosu na cijelu Hrvatsku.</w:t>
      </w:r>
      <w:r>
        <w:rPr>
          <w:rStyle w:val="Referencafusnote"/>
        </w:rPr>
        <w:footnoteReference w:id="23"/>
      </w:r>
      <w:r>
        <w:t xml:space="preserve"> </w:t>
      </w:r>
      <w:r w:rsidR="004976E4" w:rsidRPr="00FF39C7">
        <w:t>Sveučilište u Zagrebu najveći je obrazovno-istraživački sustav u Hrvatskoj. U sustavu su 31 fakultet i 3 akademije, a redovna nastava se izvodi u Zagrebu, Varaždinu, Čakovcu, Sisku i Petrinji. Pored sastavnica, u sklopu Sveučilišta u Zagrebu su i tri studentska centra (Zagreb, Varaždin i Sisak), Sveučilišni računski centar - SRCE te sadržajno pridružene institucije: Nacionalna i sveučilišna knjižnica i Klinički bolnički centar Zagreb.</w:t>
      </w:r>
    </w:p>
    <w:p w14:paraId="44F9522F" w14:textId="5DC08C33" w:rsidR="004976E4" w:rsidRPr="00FF39C7" w:rsidRDefault="004976E4" w:rsidP="004976E4">
      <w:pPr>
        <w:spacing w:line="240" w:lineRule="auto"/>
        <w:jc w:val="both"/>
      </w:pPr>
      <w:r w:rsidRPr="00FF39C7">
        <w:t xml:space="preserve"> Djelatnost Sveučilišta dijeli se na znanstveno-istraživačku, stručnu, umjetničku i visoko obrazovnu. Na Sveučilištu prevladava studijska struktura 3+2+3, kao što je slučaj i u ostalih 46 europskih zemalja koje su pokrenule studijski sustav u okviru Bolonjsko</w:t>
      </w:r>
      <w:r>
        <w:t>g</w:t>
      </w:r>
      <w:r w:rsidRPr="00FF39C7">
        <w:t xml:space="preserve"> procesa.</w:t>
      </w:r>
      <w:r w:rsidR="00F15C98" w:rsidRPr="00F15C98">
        <w:t xml:space="preserve"> </w:t>
      </w:r>
    </w:p>
    <w:p w14:paraId="2BD2A8FF" w14:textId="77777777" w:rsidR="004976E4" w:rsidRPr="00FF39C7" w:rsidRDefault="004976E4" w:rsidP="004976E4">
      <w:pPr>
        <w:spacing w:line="240" w:lineRule="auto"/>
        <w:jc w:val="both"/>
      </w:pPr>
      <w:r w:rsidRPr="00FF39C7">
        <w:t>Analiza postojećeg stanja ustanovila je da unutar postojećih prostornih okvira dio fakulteta ne zadovoljava potrebne prostorne standarde u nastavi, da je dio istraživačkih prostora neadekvatnog standarda (stara oprema, neadekvatni prostori), da postoji nemali broj privatnih stanova u okviru sveučilišnih zgrada te da stanje vlasništva na Sveučilištu u većoj mjeri nije uredno. Također, povijesni razvoj sveučilišta rezultirao je njegovom disperzijom i disperzijom sadržaja unutar Zagreba</w:t>
      </w:r>
      <w:r>
        <w:t>.</w:t>
      </w:r>
    </w:p>
    <w:p w14:paraId="4BAA02E5" w14:textId="77777777" w:rsidR="004976E4" w:rsidRPr="00FF39C7" w:rsidRDefault="004976E4" w:rsidP="004976E4">
      <w:pPr>
        <w:spacing w:line="240" w:lineRule="auto"/>
        <w:jc w:val="both"/>
      </w:pPr>
      <w:r w:rsidRPr="00FF39C7">
        <w:t>U skladu s vizijom Sveučilišta u Zagrebu, razvoj četiriju kampusa u Zagrebu i kampusa u Varaždinu jedan je od preduvjeta uspješnoga prostornoga i funkcionalnoga razvoja koji će zadovoljiti sveučilišne zahtjeve u nastavi i učenju, istraživanjima te u akademskim i društvenim potrebama. Tako će sadašnje koncentracije sveučilišnih sadržaja u zoni Središnjega kampusa gdje se raspršeno nalazi većina sastavnica biti dopunjene razvojem Zapadnoga kampusa (Kineziološki fakultet, Studentsko naselje „Stjepan Radić“) uz Savu, Sjevernoga kampusa (Medicinski fakultet, Prirodoslovno-matematički fakultet, Farmaceutsko-biokemijski fakultet i Katolički-bogoslovni fakultet) i Istočnoga kampusa koji obuhvaća u sjevernom dijelu kompleks Agronomskog i Šumarskog fakulteta te na jugu područje bivše vojarne Borongaj. Takav planirani razvoj realni je iskorak i snažna platforma za korištenje europskih fondova. Jedan od bitnih ciljeva realizacije u sljedećem periodu svakako je i integracija disperziranih</w:t>
      </w:r>
      <w:r w:rsidRPr="00FF39C7">
        <w:rPr>
          <w:rFonts w:cs="Calibri"/>
          <w:b/>
        </w:rPr>
        <w:t xml:space="preserve"> </w:t>
      </w:r>
      <w:r w:rsidRPr="00FF39C7">
        <w:t>sadržaja u prostor kampusa (ZUK Borongaj (Istočni kampus), kompleks Prirodoslovno-matematičkog fakulteta - izgradnja nove zgrada Biološkog, Geološkog i Geografskog odsjeka i izgradnja nove zgrade Farmaceutsko-biokemijskog fakulteta u Sjevernom kampusu, izgradnja ALUARTFORUM-a, Umjetničke galerije Akademije likovnih umjetnosti u Središnjem kampusu).</w:t>
      </w:r>
    </w:p>
    <w:p w14:paraId="543DF73D" w14:textId="77777777" w:rsidR="004976E4" w:rsidRPr="00FF39C7" w:rsidRDefault="004976E4" w:rsidP="004976E4">
      <w:pPr>
        <w:jc w:val="both"/>
      </w:pPr>
      <w:r w:rsidRPr="00FF39C7">
        <w:t>U dugoročnom razvoju Sveučilišta u Zagrebu izgradnja Znanstveno-učilišnog kampusa Borongaj pridonijet će kvaliteti akademskoga obrazovanja, razvoju znanstvenoistraživačkoga rada i njegovoj primjeni te razvoju i primjeni znanja u tehničkom i tehnološkom području. Izgradnjom Kampusa stvorit će se novo „vibrantno” središte u tkivu grada koje će svojim urbanim elementima i javnim prostorima podići razinu atraktivnosti istočnoga dijela grada Zagreba i unaprijediti sadržajnost i kvalitetu života u tom dijelu, ali i utjecati na razvoj i rast grada i aglomeracije u svim područjima. Izgradnjom planski programiranih novih sadržaja na kampusu Borongaj mogu se osigurati optimalni uvjeti za akademske i znanstveno – istraživačke aktivnosti sastavnica Sveučilišta koje se trenutno odvijaju u neadekvatnim uvjetima, a posebno nakon potresa koji je 22.03.2020. pogodio grad Zagreb i okolicu.</w:t>
      </w:r>
    </w:p>
    <w:p w14:paraId="6842B626" w14:textId="77777777" w:rsidR="004976E4" w:rsidRPr="00FF39C7" w:rsidRDefault="004976E4" w:rsidP="004976E4">
      <w:pPr>
        <w:jc w:val="both"/>
      </w:pPr>
      <w:r w:rsidRPr="00FF39C7">
        <w:t xml:space="preserve">Znanstveno-učilišni Borongaj u svojoj 0. i I. fazi suvremene energetski održive izgradnje sadržajno obuhvaća: pripremu prostora za izgradnju (čišćenje i uklanjanje objekata), nadogradnju dvaju postojećih objekata (Edukacijsko-rehabilitacijskog fakulteta i Fakulteta prometnih znanosti), nove objekte za nekoliko fakulteta, knjižnicu, studentske domove, tehnološki park, inovacijske i dr. centre, sportske i rekreativne sadržaje. </w:t>
      </w:r>
    </w:p>
    <w:p w14:paraId="6252CB96" w14:textId="05A501B4" w:rsidR="004976E4" w:rsidRPr="00FF39C7" w:rsidRDefault="0024445D" w:rsidP="004976E4">
      <w:pPr>
        <w:jc w:val="both"/>
      </w:pPr>
      <w:r w:rsidRPr="0024445D">
        <w:t>Zadnja</w:t>
      </w:r>
      <w:r w:rsidR="004976E4" w:rsidRPr="00FF39C7">
        <w:t xml:space="preserve"> intervencija u standard studentskog smještaja provedena je u okviru Operativnog programa Konkurentnost i kohezija 2014.-2020., Poziv KK.09.1.2.01, Projekt „Rekonstrukcija građevina, infrastrukture i okoliša unutar Studentskih naselja „Stjepan Radić“ i  „Cvjetno naselje“ na postojećim paviljonima 2015. godine i „Sveučilišni kampus Varaždin, Faza III – Studentski dom s pratećim sadržajima“  izgradnja novog studentskog dom u Varaždinu 2016. godine.</w:t>
      </w:r>
    </w:p>
    <w:p w14:paraId="3B5C5FAD" w14:textId="1FE28924" w:rsidR="004976E4" w:rsidRPr="00FF39C7" w:rsidRDefault="004976E4" w:rsidP="004976E4">
      <w:pPr>
        <w:jc w:val="both"/>
      </w:pPr>
      <w:r w:rsidRPr="00FF39C7">
        <w:t>Objedinjavanje predmetnih odsjeka Prirodoslovno-matematičkog fakulteta na lokaciji Horvatovac u planu je već dugi niz godina te je prioritet svih dosadašnjih uprava fakulteta i dio strateškog plana prostornog i funkcionalnog razvoja Sveučilišta u Zagrebu.  Planiranom izgradnjom nove zgrade Biološkog, Geološkog i Geografskog odsjeka osigurat će se adekvatni kapaciteti za nastavu i znanstveno istraživački rad.  U neposrednoj blizini, uz postojeći Botanički vrt Farmaceutsko-biokemijskog fakulteta, na lokaciji Zmajevac planira se izgradnja kompleksa u kojem bi se objedinili svi sadržaji Farmaceutsko-biokemijskog fakulteta.</w:t>
      </w:r>
      <w:r w:rsidR="007773DF">
        <w:t xml:space="preserve"> </w:t>
      </w:r>
      <w:r w:rsidRPr="00FF39C7">
        <w:t>Pored navedenih projekta treba istaknuti i projekt izgradnje ALUARTFORUM-a - Umjetničke galerije Akademije likovnih umjetnosti, interpolacija zgrade na ulazu u kampus ALU u Ilici između postojećih objekata Ilica 83 i Ilica 87.</w:t>
      </w:r>
    </w:p>
    <w:p w14:paraId="61CF4BA2" w14:textId="6736DFC6" w:rsidR="004976E4" w:rsidRDefault="004976E4" w:rsidP="004976E4">
      <w:pPr>
        <w:jc w:val="both"/>
      </w:pPr>
      <w:r w:rsidRPr="00FF39C7">
        <w:t>Svi gore navedeni projekti su usklađeni sa Strategijom prostornog i funkcionalnog razvoja Sveučilišta u Zagrebu za razdoblje 2013.-</w:t>
      </w:r>
      <w:r w:rsidR="00511F9D" w:rsidRPr="00511F9D">
        <w:t xml:space="preserve"> </w:t>
      </w:r>
      <w:r w:rsidR="00511F9D" w:rsidRPr="00FF39C7">
        <w:t>202</w:t>
      </w:r>
      <w:r w:rsidR="00511F9D">
        <w:t>5</w:t>
      </w:r>
      <w:r w:rsidR="00CB382C">
        <w:t>.</w:t>
      </w:r>
      <w:r w:rsidRPr="00FF39C7">
        <w:t xml:space="preserve"> nalaze se na listi strateških projekata Sveučilišta te su uvršteni u bazu projekata u sklopu Strategije razvoja Urbane aglomeracije.</w:t>
      </w:r>
    </w:p>
    <w:p w14:paraId="6895733F" w14:textId="3600E058" w:rsidR="004976E4" w:rsidRDefault="00E1136D" w:rsidP="004976E4">
      <w:pPr>
        <w:spacing w:line="240" w:lineRule="auto"/>
        <w:jc w:val="both"/>
      </w:pPr>
      <w:r>
        <w:t>Prema Eurostatu na dodiplomski, preddiplomski, diplomski i poslijediplomski studij akademske godine 2018./2019. u Gradu Zagrebu bilo je upisano 78 913 studenata od toga 57 % studentica.</w:t>
      </w:r>
      <w:r w:rsidR="004976E4">
        <w:t xml:space="preserve"> Na području Zagreba nalaze se 4 studentska naselja sa smještajnim kapacitetom za 7545 korisnika. Trenutačno u ponudi smještaja u Zagrebu nedostaje oko 5000 kreveta, a dio postojećih kapaciteta trebalo bi hitnu i ozbiljnu obnovu.</w:t>
      </w:r>
    </w:p>
    <w:p w14:paraId="029B5150" w14:textId="0C6637EC" w:rsidR="004976E4" w:rsidRDefault="004976E4" w:rsidP="004976E4">
      <w:pPr>
        <w:spacing w:line="240" w:lineRule="auto"/>
        <w:jc w:val="both"/>
      </w:pPr>
      <w:r>
        <w:t>Nedostatni i dijelom neadekvatni postojeći prostorni kapaciteti Sveučilišta u Zagrebu znatno su oslabljeni dvama potresima, onime koji je 22. ožujka 2020. pogodio Grad Zagreb i šire zagrebačko područje te 29. prosinca 2020. koji je devastirao Sisačko-moslavačku županiju te dodatno pogoršao oštećenja na zagrebačkom području.</w:t>
      </w:r>
      <w:r w:rsidR="007773DF">
        <w:t xml:space="preserve"> </w:t>
      </w:r>
      <w:r>
        <w:t>Prema analizi koju je Sveučilište u Zagrebu provelo nakon zagrebačkog potresa u ožujku 2020. oštećeno je bilo 113 zgrada, svega osam (8) zgrada na području Grada Zagreba nije imalo oštećenja.</w:t>
      </w:r>
    </w:p>
    <w:p w14:paraId="44633883" w14:textId="6A11DF82" w:rsidR="004976E4" w:rsidRDefault="00051B1B"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7</w:t>
      </w:r>
      <w:r w:rsidR="00751C19">
        <w:rPr>
          <w:noProof/>
        </w:rPr>
        <w:fldChar w:fldCharType="end"/>
      </w:r>
      <w:r>
        <w:t xml:space="preserve">. </w:t>
      </w:r>
      <w:r w:rsidRPr="00075946">
        <w:t>Podaci o broju i površinama oštećenih zgrada – fakulteti/akademije - Grad Zagreb</w:t>
      </w: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76"/>
        <w:gridCol w:w="1961"/>
        <w:gridCol w:w="1961"/>
      </w:tblGrid>
      <w:tr w:rsidR="004976E4" w14:paraId="727B4E97" w14:textId="77777777" w:rsidTr="00F50578">
        <w:trPr>
          <w:trHeight w:val="737"/>
        </w:trPr>
        <w:tc>
          <w:tcPr>
            <w:tcW w:w="3176" w:type="dxa"/>
            <w:tcBorders>
              <w:top w:val="single" w:sz="12" w:space="0" w:color="000000"/>
              <w:left w:val="single" w:sz="12" w:space="0" w:color="000000"/>
              <w:bottom w:val="single" w:sz="12" w:space="0" w:color="000000"/>
              <w:right w:val="single" w:sz="4" w:space="0" w:color="000000"/>
            </w:tcBorders>
          </w:tcPr>
          <w:p w14:paraId="2D7BD574" w14:textId="77777777" w:rsidR="004976E4" w:rsidRDefault="004976E4" w:rsidP="00F50578">
            <w:pPr>
              <w:pStyle w:val="TableParagraph"/>
              <w:spacing w:before="11" w:line="256" w:lineRule="auto"/>
              <w:jc w:val="left"/>
              <w:rPr>
                <w:sz w:val="18"/>
                <w:lang w:eastAsia="en-US"/>
              </w:rPr>
            </w:pPr>
          </w:p>
          <w:p w14:paraId="02B89125" w14:textId="77777777" w:rsidR="004976E4" w:rsidRDefault="004976E4" w:rsidP="00F50578">
            <w:pPr>
              <w:pStyle w:val="TableParagraph"/>
              <w:spacing w:before="1" w:line="256" w:lineRule="auto"/>
              <w:ind w:left="764" w:right="746"/>
              <w:rPr>
                <w:lang w:eastAsia="en-US"/>
              </w:rPr>
            </w:pPr>
            <w:r>
              <w:rPr>
                <w:lang w:eastAsia="en-US"/>
              </w:rPr>
              <w:t>Kategorija</w:t>
            </w:r>
          </w:p>
        </w:tc>
        <w:tc>
          <w:tcPr>
            <w:tcW w:w="1961" w:type="dxa"/>
            <w:tcBorders>
              <w:top w:val="single" w:sz="12" w:space="0" w:color="000000"/>
              <w:left w:val="single" w:sz="4" w:space="0" w:color="000000"/>
              <w:bottom w:val="single" w:sz="12" w:space="0" w:color="000000"/>
              <w:right w:val="single" w:sz="4" w:space="0" w:color="000000"/>
            </w:tcBorders>
          </w:tcPr>
          <w:p w14:paraId="7DA4EF49" w14:textId="77777777" w:rsidR="004976E4" w:rsidRDefault="004976E4" w:rsidP="00F50578">
            <w:pPr>
              <w:pStyle w:val="TableParagraph"/>
              <w:spacing w:before="11" w:line="256" w:lineRule="auto"/>
              <w:jc w:val="left"/>
              <w:rPr>
                <w:sz w:val="18"/>
                <w:lang w:eastAsia="en-US"/>
              </w:rPr>
            </w:pPr>
          </w:p>
          <w:p w14:paraId="3B7CC23A" w14:textId="77777777" w:rsidR="004976E4" w:rsidRDefault="004976E4" w:rsidP="00F50578">
            <w:pPr>
              <w:pStyle w:val="TableParagraph"/>
              <w:spacing w:before="1" w:line="256" w:lineRule="auto"/>
              <w:ind w:left="660" w:right="632"/>
              <w:rPr>
                <w:lang w:eastAsia="en-US"/>
              </w:rPr>
            </w:pPr>
            <w:r>
              <w:rPr>
                <w:lang w:eastAsia="en-US"/>
              </w:rPr>
              <w:t>Broj</w:t>
            </w:r>
          </w:p>
        </w:tc>
        <w:tc>
          <w:tcPr>
            <w:tcW w:w="1961" w:type="dxa"/>
            <w:tcBorders>
              <w:top w:val="single" w:sz="12" w:space="0" w:color="000000"/>
              <w:left w:val="single" w:sz="4" w:space="0" w:color="000000"/>
              <w:bottom w:val="single" w:sz="12" w:space="0" w:color="000000"/>
              <w:right w:val="single" w:sz="12" w:space="0" w:color="000000"/>
            </w:tcBorders>
          </w:tcPr>
          <w:p w14:paraId="3C33FB78" w14:textId="77777777" w:rsidR="004976E4" w:rsidRDefault="004976E4" w:rsidP="00F50578">
            <w:pPr>
              <w:pStyle w:val="TableParagraph"/>
              <w:spacing w:before="11" w:line="256" w:lineRule="auto"/>
              <w:jc w:val="left"/>
              <w:rPr>
                <w:sz w:val="18"/>
                <w:lang w:eastAsia="en-US"/>
              </w:rPr>
            </w:pPr>
          </w:p>
          <w:p w14:paraId="3143009D" w14:textId="77777777" w:rsidR="004976E4" w:rsidRDefault="004976E4" w:rsidP="00F50578">
            <w:pPr>
              <w:pStyle w:val="TableParagraph"/>
              <w:spacing w:before="1" w:line="256" w:lineRule="auto"/>
              <w:ind w:left="587" w:right="549"/>
              <w:rPr>
                <w:lang w:eastAsia="en-US"/>
              </w:rPr>
            </w:pPr>
            <w:r>
              <w:rPr>
                <w:lang w:eastAsia="en-US"/>
              </w:rPr>
              <w:t>Površina</w:t>
            </w:r>
          </w:p>
        </w:tc>
      </w:tr>
      <w:tr w:rsidR="004976E4" w14:paraId="524AF330" w14:textId="77777777" w:rsidTr="00F50578">
        <w:trPr>
          <w:trHeight w:val="316"/>
        </w:trPr>
        <w:tc>
          <w:tcPr>
            <w:tcW w:w="3176" w:type="dxa"/>
            <w:tcBorders>
              <w:top w:val="single" w:sz="12" w:space="0" w:color="000000"/>
              <w:left w:val="single" w:sz="12" w:space="0" w:color="000000"/>
              <w:bottom w:val="single" w:sz="4" w:space="0" w:color="000000"/>
              <w:right w:val="single" w:sz="4" w:space="0" w:color="000000"/>
            </w:tcBorders>
            <w:hideMark/>
          </w:tcPr>
          <w:p w14:paraId="7F82E299" w14:textId="77777777" w:rsidR="004976E4" w:rsidRDefault="004976E4" w:rsidP="00F50578">
            <w:pPr>
              <w:pStyle w:val="TableParagraph"/>
              <w:spacing w:before="20" w:line="256" w:lineRule="auto"/>
              <w:ind w:left="764" w:right="747"/>
              <w:rPr>
                <w:lang w:eastAsia="en-US"/>
              </w:rPr>
            </w:pPr>
            <w:r>
              <w:rPr>
                <w:lang w:eastAsia="en-US"/>
              </w:rPr>
              <w:t>Nema oštećenja</w:t>
            </w:r>
          </w:p>
        </w:tc>
        <w:tc>
          <w:tcPr>
            <w:tcW w:w="1961" w:type="dxa"/>
            <w:tcBorders>
              <w:top w:val="single" w:sz="12" w:space="0" w:color="000000"/>
              <w:left w:val="single" w:sz="4" w:space="0" w:color="000000"/>
              <w:bottom w:val="single" w:sz="4" w:space="0" w:color="000000"/>
              <w:right w:val="single" w:sz="4" w:space="0" w:color="000000"/>
            </w:tcBorders>
            <w:hideMark/>
          </w:tcPr>
          <w:p w14:paraId="5B3C0F93" w14:textId="77777777" w:rsidR="004976E4" w:rsidRDefault="004976E4" w:rsidP="00F50578">
            <w:pPr>
              <w:pStyle w:val="TableParagraph"/>
              <w:spacing w:before="20" w:line="256" w:lineRule="auto"/>
              <w:ind w:left="27"/>
              <w:rPr>
                <w:lang w:eastAsia="en-US"/>
              </w:rPr>
            </w:pPr>
            <w:r>
              <w:rPr>
                <w:lang w:eastAsia="en-US"/>
              </w:rPr>
              <w:t>8</w:t>
            </w:r>
          </w:p>
        </w:tc>
        <w:tc>
          <w:tcPr>
            <w:tcW w:w="1961" w:type="dxa"/>
            <w:tcBorders>
              <w:top w:val="single" w:sz="12" w:space="0" w:color="000000"/>
              <w:left w:val="single" w:sz="4" w:space="0" w:color="000000"/>
              <w:bottom w:val="single" w:sz="4" w:space="0" w:color="000000"/>
              <w:right w:val="single" w:sz="12" w:space="0" w:color="000000"/>
            </w:tcBorders>
            <w:hideMark/>
          </w:tcPr>
          <w:p w14:paraId="2A2E6E51" w14:textId="77777777" w:rsidR="004976E4" w:rsidRDefault="004976E4" w:rsidP="00F50578">
            <w:pPr>
              <w:pStyle w:val="TableParagraph"/>
              <w:spacing w:before="20" w:line="256" w:lineRule="auto"/>
              <w:ind w:left="587" w:right="548"/>
              <w:rPr>
                <w:lang w:eastAsia="en-US"/>
              </w:rPr>
            </w:pPr>
            <w:r>
              <w:rPr>
                <w:lang w:eastAsia="en-US"/>
              </w:rPr>
              <w:t>12.181</w:t>
            </w:r>
          </w:p>
        </w:tc>
      </w:tr>
      <w:tr w:rsidR="004976E4" w14:paraId="5B446DD8" w14:textId="77777777" w:rsidTr="00F50578">
        <w:trPr>
          <w:trHeight w:val="313"/>
        </w:trPr>
        <w:tc>
          <w:tcPr>
            <w:tcW w:w="3176" w:type="dxa"/>
            <w:tcBorders>
              <w:top w:val="single" w:sz="4" w:space="0" w:color="000000"/>
              <w:left w:val="single" w:sz="12" w:space="0" w:color="000000"/>
              <w:bottom w:val="single" w:sz="4" w:space="0" w:color="000000"/>
              <w:right w:val="single" w:sz="4" w:space="0" w:color="000000"/>
            </w:tcBorders>
            <w:hideMark/>
          </w:tcPr>
          <w:p w14:paraId="20606982" w14:textId="77777777" w:rsidR="004976E4" w:rsidRDefault="004976E4" w:rsidP="00F50578">
            <w:pPr>
              <w:pStyle w:val="TableParagraph"/>
              <w:spacing w:before="42" w:line="252" w:lineRule="exact"/>
              <w:ind w:left="764" w:right="748"/>
              <w:rPr>
                <w:lang w:eastAsia="en-US"/>
              </w:rPr>
            </w:pPr>
            <w:r>
              <w:rPr>
                <w:lang w:eastAsia="en-US"/>
              </w:rPr>
              <w:t>Zeleno</w:t>
            </w:r>
          </w:p>
        </w:tc>
        <w:tc>
          <w:tcPr>
            <w:tcW w:w="1961" w:type="dxa"/>
            <w:tcBorders>
              <w:top w:val="single" w:sz="4" w:space="0" w:color="000000"/>
              <w:left w:val="single" w:sz="4" w:space="0" w:color="000000"/>
              <w:bottom w:val="single" w:sz="4" w:space="0" w:color="000000"/>
              <w:right w:val="single" w:sz="4" w:space="0" w:color="000000"/>
            </w:tcBorders>
            <w:hideMark/>
          </w:tcPr>
          <w:p w14:paraId="2DBC5760" w14:textId="77777777" w:rsidR="004976E4" w:rsidRDefault="004976E4" w:rsidP="00F50578">
            <w:pPr>
              <w:pStyle w:val="TableParagraph"/>
              <w:spacing w:before="42" w:line="252" w:lineRule="exact"/>
              <w:ind w:left="663" w:right="632"/>
              <w:rPr>
                <w:lang w:eastAsia="en-US"/>
              </w:rPr>
            </w:pPr>
            <w:r>
              <w:rPr>
                <w:lang w:eastAsia="en-US"/>
              </w:rPr>
              <w:t>70</w:t>
            </w:r>
          </w:p>
        </w:tc>
        <w:tc>
          <w:tcPr>
            <w:tcW w:w="1961" w:type="dxa"/>
            <w:tcBorders>
              <w:top w:val="single" w:sz="4" w:space="0" w:color="000000"/>
              <w:left w:val="single" w:sz="4" w:space="0" w:color="000000"/>
              <w:bottom w:val="single" w:sz="4" w:space="0" w:color="000000"/>
              <w:right w:val="single" w:sz="12" w:space="0" w:color="000000"/>
            </w:tcBorders>
            <w:hideMark/>
          </w:tcPr>
          <w:p w14:paraId="2D70CBBA" w14:textId="77777777" w:rsidR="004976E4" w:rsidRDefault="004976E4" w:rsidP="00F50578">
            <w:pPr>
              <w:pStyle w:val="TableParagraph"/>
              <w:spacing w:before="42" w:line="252" w:lineRule="exact"/>
              <w:ind w:left="585" w:right="549"/>
              <w:rPr>
                <w:lang w:eastAsia="en-US"/>
              </w:rPr>
            </w:pPr>
            <w:r>
              <w:rPr>
                <w:lang w:eastAsia="en-US"/>
              </w:rPr>
              <w:t>308.832</w:t>
            </w:r>
          </w:p>
        </w:tc>
      </w:tr>
      <w:tr w:rsidR="004976E4" w14:paraId="22B63C65" w14:textId="77777777" w:rsidTr="00F50578">
        <w:trPr>
          <w:trHeight w:val="316"/>
        </w:trPr>
        <w:tc>
          <w:tcPr>
            <w:tcW w:w="3176" w:type="dxa"/>
            <w:tcBorders>
              <w:top w:val="single" w:sz="4" w:space="0" w:color="000000"/>
              <w:left w:val="single" w:sz="12" w:space="0" w:color="000000"/>
              <w:bottom w:val="single" w:sz="4" w:space="0" w:color="000000"/>
              <w:right w:val="single" w:sz="4" w:space="0" w:color="000000"/>
            </w:tcBorders>
            <w:hideMark/>
          </w:tcPr>
          <w:p w14:paraId="6B36D80D" w14:textId="77777777" w:rsidR="004976E4" w:rsidRDefault="004976E4" w:rsidP="00F50578">
            <w:pPr>
              <w:pStyle w:val="TableParagraph"/>
              <w:spacing w:before="44" w:line="252" w:lineRule="exact"/>
              <w:ind w:left="764" w:right="748"/>
              <w:rPr>
                <w:lang w:eastAsia="en-US"/>
              </w:rPr>
            </w:pPr>
            <w:r>
              <w:rPr>
                <w:lang w:eastAsia="en-US"/>
              </w:rPr>
              <w:t>Žuto</w:t>
            </w:r>
          </w:p>
        </w:tc>
        <w:tc>
          <w:tcPr>
            <w:tcW w:w="1961" w:type="dxa"/>
            <w:tcBorders>
              <w:top w:val="single" w:sz="4" w:space="0" w:color="000000"/>
              <w:left w:val="single" w:sz="4" w:space="0" w:color="000000"/>
              <w:bottom w:val="single" w:sz="4" w:space="0" w:color="000000"/>
              <w:right w:val="single" w:sz="4" w:space="0" w:color="000000"/>
            </w:tcBorders>
            <w:hideMark/>
          </w:tcPr>
          <w:p w14:paraId="320B49BC" w14:textId="77777777" w:rsidR="004976E4" w:rsidRDefault="004976E4" w:rsidP="00F50578">
            <w:pPr>
              <w:pStyle w:val="TableParagraph"/>
              <w:spacing w:before="44" w:line="252" w:lineRule="exact"/>
              <w:ind w:left="663" w:right="632"/>
              <w:rPr>
                <w:lang w:eastAsia="en-US"/>
              </w:rPr>
            </w:pPr>
            <w:r>
              <w:rPr>
                <w:lang w:eastAsia="en-US"/>
              </w:rPr>
              <w:t>40</w:t>
            </w:r>
          </w:p>
        </w:tc>
        <w:tc>
          <w:tcPr>
            <w:tcW w:w="1961" w:type="dxa"/>
            <w:tcBorders>
              <w:top w:val="single" w:sz="4" w:space="0" w:color="000000"/>
              <w:left w:val="single" w:sz="4" w:space="0" w:color="000000"/>
              <w:bottom w:val="single" w:sz="4" w:space="0" w:color="000000"/>
              <w:right w:val="single" w:sz="12" w:space="0" w:color="000000"/>
            </w:tcBorders>
            <w:hideMark/>
          </w:tcPr>
          <w:p w14:paraId="7618710F" w14:textId="77777777" w:rsidR="004976E4" w:rsidRDefault="004976E4" w:rsidP="00F50578">
            <w:pPr>
              <w:pStyle w:val="TableParagraph"/>
              <w:spacing w:before="44" w:line="252" w:lineRule="exact"/>
              <w:ind w:left="585" w:right="549"/>
              <w:rPr>
                <w:lang w:eastAsia="en-US"/>
              </w:rPr>
            </w:pPr>
            <w:r>
              <w:rPr>
                <w:lang w:eastAsia="en-US"/>
              </w:rPr>
              <w:t>163.002</w:t>
            </w:r>
          </w:p>
        </w:tc>
      </w:tr>
      <w:tr w:rsidR="004976E4" w14:paraId="48A2255F" w14:textId="77777777" w:rsidTr="00F50578">
        <w:trPr>
          <w:trHeight w:val="313"/>
        </w:trPr>
        <w:tc>
          <w:tcPr>
            <w:tcW w:w="3176" w:type="dxa"/>
            <w:tcBorders>
              <w:top w:val="single" w:sz="4" w:space="0" w:color="000000"/>
              <w:left w:val="single" w:sz="12" w:space="0" w:color="000000"/>
              <w:bottom w:val="single" w:sz="12" w:space="0" w:color="000000"/>
              <w:right w:val="single" w:sz="4" w:space="0" w:color="000000"/>
            </w:tcBorders>
            <w:hideMark/>
          </w:tcPr>
          <w:p w14:paraId="4437B08E" w14:textId="77777777" w:rsidR="004976E4" w:rsidRDefault="004976E4" w:rsidP="00F50578">
            <w:pPr>
              <w:pStyle w:val="TableParagraph"/>
              <w:spacing w:before="42" w:line="251" w:lineRule="exact"/>
              <w:ind w:left="764" w:right="748"/>
              <w:rPr>
                <w:lang w:eastAsia="en-US"/>
              </w:rPr>
            </w:pPr>
            <w:r>
              <w:rPr>
                <w:lang w:eastAsia="en-US"/>
              </w:rPr>
              <w:t>Crveno</w:t>
            </w:r>
          </w:p>
        </w:tc>
        <w:tc>
          <w:tcPr>
            <w:tcW w:w="1961" w:type="dxa"/>
            <w:tcBorders>
              <w:top w:val="single" w:sz="4" w:space="0" w:color="000000"/>
              <w:left w:val="single" w:sz="4" w:space="0" w:color="000000"/>
              <w:bottom w:val="single" w:sz="12" w:space="0" w:color="000000"/>
              <w:right w:val="single" w:sz="4" w:space="0" w:color="000000"/>
            </w:tcBorders>
            <w:hideMark/>
          </w:tcPr>
          <w:p w14:paraId="277D0477" w14:textId="77777777" w:rsidR="004976E4" w:rsidRDefault="004976E4" w:rsidP="00F50578">
            <w:pPr>
              <w:pStyle w:val="TableParagraph"/>
              <w:spacing w:before="42" w:line="251" w:lineRule="exact"/>
              <w:ind w:left="27"/>
              <w:rPr>
                <w:lang w:eastAsia="en-US"/>
              </w:rPr>
            </w:pPr>
            <w:r>
              <w:rPr>
                <w:lang w:eastAsia="en-US"/>
              </w:rPr>
              <w:t>3</w:t>
            </w:r>
          </w:p>
        </w:tc>
        <w:tc>
          <w:tcPr>
            <w:tcW w:w="1961" w:type="dxa"/>
            <w:tcBorders>
              <w:top w:val="single" w:sz="4" w:space="0" w:color="000000"/>
              <w:left w:val="single" w:sz="4" w:space="0" w:color="000000"/>
              <w:bottom w:val="single" w:sz="12" w:space="0" w:color="000000"/>
              <w:right w:val="single" w:sz="12" w:space="0" w:color="000000"/>
            </w:tcBorders>
            <w:hideMark/>
          </w:tcPr>
          <w:p w14:paraId="02210AA6" w14:textId="77777777" w:rsidR="004976E4" w:rsidRDefault="004976E4" w:rsidP="00F50578">
            <w:pPr>
              <w:pStyle w:val="TableParagraph"/>
              <w:spacing w:before="42" w:line="251" w:lineRule="exact"/>
              <w:ind w:left="587" w:right="548"/>
              <w:rPr>
                <w:lang w:eastAsia="en-US"/>
              </w:rPr>
            </w:pPr>
            <w:r>
              <w:rPr>
                <w:lang w:eastAsia="en-US"/>
              </w:rPr>
              <w:t>21.556</w:t>
            </w:r>
          </w:p>
        </w:tc>
      </w:tr>
      <w:tr w:rsidR="004976E4" w14:paraId="203E6D9B" w14:textId="77777777" w:rsidTr="00F50578">
        <w:trPr>
          <w:trHeight w:val="397"/>
        </w:trPr>
        <w:tc>
          <w:tcPr>
            <w:tcW w:w="3176" w:type="dxa"/>
            <w:tcBorders>
              <w:top w:val="single" w:sz="12" w:space="0" w:color="000000"/>
              <w:left w:val="single" w:sz="12" w:space="0" w:color="000000"/>
              <w:bottom w:val="single" w:sz="12" w:space="0" w:color="000000"/>
              <w:right w:val="single" w:sz="4" w:space="0" w:color="000000"/>
            </w:tcBorders>
            <w:hideMark/>
          </w:tcPr>
          <w:p w14:paraId="0F8087A8" w14:textId="77777777" w:rsidR="004976E4" w:rsidRDefault="004976E4" w:rsidP="00F50578">
            <w:pPr>
              <w:pStyle w:val="TableParagraph"/>
              <w:spacing w:before="126" w:line="251" w:lineRule="exact"/>
              <w:ind w:left="764" w:right="748"/>
              <w:rPr>
                <w:lang w:eastAsia="en-US"/>
              </w:rPr>
            </w:pPr>
            <w:r>
              <w:rPr>
                <w:lang w:eastAsia="en-US"/>
              </w:rPr>
              <w:t>Ukupno oštećeno</w:t>
            </w:r>
          </w:p>
        </w:tc>
        <w:tc>
          <w:tcPr>
            <w:tcW w:w="1961" w:type="dxa"/>
            <w:tcBorders>
              <w:top w:val="single" w:sz="12" w:space="0" w:color="000000"/>
              <w:left w:val="single" w:sz="4" w:space="0" w:color="000000"/>
              <w:bottom w:val="single" w:sz="12" w:space="0" w:color="000000"/>
              <w:right w:val="single" w:sz="4" w:space="0" w:color="000000"/>
            </w:tcBorders>
            <w:hideMark/>
          </w:tcPr>
          <w:p w14:paraId="50E0EFDA" w14:textId="77777777" w:rsidR="004976E4" w:rsidRDefault="004976E4" w:rsidP="00F50578">
            <w:pPr>
              <w:pStyle w:val="TableParagraph"/>
              <w:spacing w:before="126" w:line="251" w:lineRule="exact"/>
              <w:ind w:left="662" w:right="632"/>
              <w:rPr>
                <w:lang w:eastAsia="en-US"/>
              </w:rPr>
            </w:pPr>
            <w:r>
              <w:rPr>
                <w:lang w:eastAsia="en-US"/>
              </w:rPr>
              <w:t>113</w:t>
            </w:r>
          </w:p>
        </w:tc>
        <w:tc>
          <w:tcPr>
            <w:tcW w:w="1961" w:type="dxa"/>
            <w:tcBorders>
              <w:top w:val="single" w:sz="12" w:space="0" w:color="000000"/>
              <w:left w:val="single" w:sz="4" w:space="0" w:color="000000"/>
              <w:bottom w:val="single" w:sz="12" w:space="0" w:color="000000"/>
              <w:right w:val="single" w:sz="12" w:space="0" w:color="000000"/>
            </w:tcBorders>
            <w:hideMark/>
          </w:tcPr>
          <w:p w14:paraId="605E6465" w14:textId="77777777" w:rsidR="004976E4" w:rsidRDefault="004976E4" w:rsidP="00F50578">
            <w:pPr>
              <w:pStyle w:val="TableParagraph"/>
              <w:spacing w:before="126" w:line="251" w:lineRule="exact"/>
              <w:ind w:left="587" w:right="548"/>
              <w:rPr>
                <w:lang w:eastAsia="en-US"/>
              </w:rPr>
            </w:pPr>
            <w:r>
              <w:rPr>
                <w:lang w:eastAsia="en-US"/>
              </w:rPr>
              <w:t>493.390</w:t>
            </w:r>
          </w:p>
        </w:tc>
      </w:tr>
    </w:tbl>
    <w:p w14:paraId="15FF90E7" w14:textId="77777777" w:rsidR="004976E4" w:rsidRDefault="004976E4" w:rsidP="004976E4">
      <w:pPr>
        <w:spacing w:line="240" w:lineRule="auto"/>
        <w:jc w:val="both"/>
      </w:pPr>
    </w:p>
    <w:p w14:paraId="0866AD3C" w14:textId="77777777" w:rsidR="004976E4" w:rsidRDefault="004976E4" w:rsidP="004976E4">
      <w:pPr>
        <w:spacing w:after="145"/>
        <w:ind w:left="-3" w:right="240"/>
        <w:jc w:val="both"/>
      </w:pPr>
      <w:r>
        <w:t>Znatna oštećenja pretrpio je i Studentski centar Zagreb:</w:t>
      </w:r>
    </w:p>
    <w:p w14:paraId="266130E7" w14:textId="42BE5B9F" w:rsidR="004976E4" w:rsidRDefault="00051B1B"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8</w:t>
      </w:r>
      <w:r w:rsidR="00751C19">
        <w:rPr>
          <w:noProof/>
        </w:rPr>
        <w:fldChar w:fldCharType="end"/>
      </w:r>
      <w:r>
        <w:t xml:space="preserve">. </w:t>
      </w:r>
      <w:r w:rsidRPr="00977199">
        <w:t>Podaci o broju i površinama oštećenih zgrada - Studentski centar</w:t>
      </w:r>
    </w:p>
    <w:tbl>
      <w:tblPr>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2"/>
        <w:gridCol w:w="1703"/>
        <w:gridCol w:w="1703"/>
        <w:gridCol w:w="2003"/>
        <w:gridCol w:w="1962"/>
      </w:tblGrid>
      <w:tr w:rsidR="004976E4" w14:paraId="18BBA665" w14:textId="77777777" w:rsidTr="00F50578">
        <w:trPr>
          <w:trHeight w:val="680"/>
        </w:trPr>
        <w:tc>
          <w:tcPr>
            <w:tcW w:w="1702" w:type="dxa"/>
            <w:tcBorders>
              <w:top w:val="single" w:sz="12" w:space="0" w:color="000000"/>
              <w:left w:val="single" w:sz="12" w:space="0" w:color="000000"/>
              <w:bottom w:val="single" w:sz="12" w:space="0" w:color="000000"/>
              <w:right w:val="single" w:sz="4" w:space="0" w:color="000000"/>
            </w:tcBorders>
          </w:tcPr>
          <w:p w14:paraId="799DCA9B" w14:textId="77777777" w:rsidR="004976E4" w:rsidRDefault="004976E4" w:rsidP="00F50578">
            <w:pPr>
              <w:pStyle w:val="TableParagraph"/>
              <w:spacing w:before="7" w:line="256" w:lineRule="auto"/>
              <w:jc w:val="left"/>
              <w:rPr>
                <w:sz w:val="16"/>
                <w:lang w:eastAsia="en-US"/>
              </w:rPr>
            </w:pPr>
          </w:p>
          <w:p w14:paraId="3572A175" w14:textId="77777777" w:rsidR="004976E4" w:rsidRDefault="004976E4" w:rsidP="00F50578">
            <w:pPr>
              <w:pStyle w:val="TableParagraph"/>
              <w:spacing w:before="0" w:line="256" w:lineRule="auto"/>
              <w:ind w:left="376" w:right="357"/>
              <w:rPr>
                <w:lang w:eastAsia="en-US"/>
              </w:rPr>
            </w:pPr>
            <w:r>
              <w:rPr>
                <w:lang w:eastAsia="en-US"/>
              </w:rPr>
              <w:t>Kategorija</w:t>
            </w:r>
          </w:p>
        </w:tc>
        <w:tc>
          <w:tcPr>
            <w:tcW w:w="1703" w:type="dxa"/>
            <w:tcBorders>
              <w:top w:val="single" w:sz="12" w:space="0" w:color="000000"/>
              <w:left w:val="single" w:sz="4" w:space="0" w:color="000000"/>
              <w:bottom w:val="single" w:sz="12" w:space="0" w:color="000000"/>
              <w:right w:val="single" w:sz="4" w:space="0" w:color="000000"/>
            </w:tcBorders>
          </w:tcPr>
          <w:p w14:paraId="09A8D6CE" w14:textId="77777777" w:rsidR="004976E4" w:rsidRDefault="004976E4" w:rsidP="00F50578">
            <w:pPr>
              <w:pStyle w:val="TableParagraph"/>
              <w:spacing w:before="7" w:line="256" w:lineRule="auto"/>
              <w:jc w:val="left"/>
              <w:rPr>
                <w:sz w:val="16"/>
                <w:lang w:eastAsia="en-US"/>
              </w:rPr>
            </w:pPr>
          </w:p>
          <w:p w14:paraId="2D455363" w14:textId="77777777" w:rsidR="004976E4" w:rsidRDefault="004976E4" w:rsidP="00F50578">
            <w:pPr>
              <w:pStyle w:val="TableParagraph"/>
              <w:spacing w:before="0" w:line="256" w:lineRule="auto"/>
              <w:ind w:left="676"/>
              <w:jc w:val="left"/>
              <w:rPr>
                <w:lang w:eastAsia="en-US"/>
              </w:rPr>
            </w:pPr>
            <w:r>
              <w:rPr>
                <w:lang w:eastAsia="en-US"/>
              </w:rPr>
              <w:t>Broj</w:t>
            </w:r>
          </w:p>
        </w:tc>
        <w:tc>
          <w:tcPr>
            <w:tcW w:w="1703" w:type="dxa"/>
            <w:tcBorders>
              <w:top w:val="single" w:sz="12" w:space="0" w:color="000000"/>
              <w:left w:val="single" w:sz="4" w:space="0" w:color="000000"/>
              <w:bottom w:val="single" w:sz="12" w:space="0" w:color="000000"/>
              <w:right w:val="single" w:sz="4" w:space="0" w:color="000000"/>
            </w:tcBorders>
          </w:tcPr>
          <w:p w14:paraId="579CB96E" w14:textId="77777777" w:rsidR="004976E4" w:rsidRDefault="004976E4" w:rsidP="00F50578">
            <w:pPr>
              <w:pStyle w:val="TableParagraph"/>
              <w:spacing w:before="7" w:line="256" w:lineRule="auto"/>
              <w:jc w:val="left"/>
              <w:rPr>
                <w:sz w:val="16"/>
                <w:lang w:eastAsia="en-US"/>
              </w:rPr>
            </w:pPr>
          </w:p>
          <w:p w14:paraId="3282A134" w14:textId="77777777" w:rsidR="004976E4" w:rsidRDefault="004976E4" w:rsidP="00F50578">
            <w:pPr>
              <w:pStyle w:val="TableParagraph"/>
              <w:spacing w:before="0" w:line="256" w:lineRule="auto"/>
              <w:ind w:left="456" w:right="432"/>
              <w:rPr>
                <w:lang w:eastAsia="en-US"/>
              </w:rPr>
            </w:pPr>
            <w:r>
              <w:rPr>
                <w:lang w:eastAsia="en-US"/>
              </w:rPr>
              <w:t>Površina</w:t>
            </w:r>
          </w:p>
        </w:tc>
        <w:tc>
          <w:tcPr>
            <w:tcW w:w="2003" w:type="dxa"/>
            <w:tcBorders>
              <w:top w:val="single" w:sz="12" w:space="0" w:color="000000"/>
              <w:left w:val="single" w:sz="4" w:space="0" w:color="000000"/>
              <w:bottom w:val="single" w:sz="12" w:space="0" w:color="000000"/>
              <w:right w:val="single" w:sz="4" w:space="0" w:color="000000"/>
            </w:tcBorders>
            <w:hideMark/>
          </w:tcPr>
          <w:p w14:paraId="586F257A" w14:textId="77777777" w:rsidR="004976E4" w:rsidRDefault="004976E4" w:rsidP="00F50578">
            <w:pPr>
              <w:pStyle w:val="TableParagraph"/>
              <w:spacing w:before="68" w:line="256" w:lineRule="auto"/>
              <w:ind w:left="112" w:right="74" w:firstLine="710"/>
              <w:jc w:val="left"/>
              <w:rPr>
                <w:lang w:eastAsia="en-US"/>
              </w:rPr>
            </w:pPr>
            <w:r>
              <w:rPr>
                <w:lang w:eastAsia="en-US"/>
              </w:rPr>
              <w:t>Broj korisnika/studenata</w:t>
            </w:r>
          </w:p>
        </w:tc>
        <w:tc>
          <w:tcPr>
            <w:tcW w:w="1962" w:type="dxa"/>
            <w:tcBorders>
              <w:top w:val="single" w:sz="12" w:space="0" w:color="000000"/>
              <w:left w:val="single" w:sz="4" w:space="0" w:color="000000"/>
              <w:bottom w:val="single" w:sz="12" w:space="0" w:color="000000"/>
              <w:right w:val="single" w:sz="12" w:space="0" w:color="000000"/>
            </w:tcBorders>
          </w:tcPr>
          <w:p w14:paraId="3AFD8E24" w14:textId="77777777" w:rsidR="004976E4" w:rsidRDefault="004976E4" w:rsidP="00F50578">
            <w:pPr>
              <w:pStyle w:val="TableParagraph"/>
              <w:spacing w:before="7" w:line="256" w:lineRule="auto"/>
              <w:jc w:val="left"/>
              <w:rPr>
                <w:sz w:val="16"/>
                <w:lang w:eastAsia="en-US"/>
              </w:rPr>
            </w:pPr>
          </w:p>
          <w:p w14:paraId="2C42C63C" w14:textId="77777777" w:rsidR="004976E4" w:rsidRDefault="004976E4" w:rsidP="00F50578">
            <w:pPr>
              <w:pStyle w:val="TableParagraph"/>
              <w:spacing w:before="0" w:line="256" w:lineRule="auto"/>
              <w:ind w:left="320" w:right="287"/>
              <w:rPr>
                <w:lang w:eastAsia="en-US"/>
              </w:rPr>
            </w:pPr>
            <w:r>
              <w:rPr>
                <w:lang w:eastAsia="en-US"/>
              </w:rPr>
              <w:t>Broj djelatnika</w:t>
            </w:r>
          </w:p>
        </w:tc>
      </w:tr>
      <w:tr w:rsidR="004976E4" w14:paraId="3B9FC4C1" w14:textId="77777777" w:rsidTr="00F50578">
        <w:trPr>
          <w:trHeight w:val="315"/>
        </w:trPr>
        <w:tc>
          <w:tcPr>
            <w:tcW w:w="1702" w:type="dxa"/>
            <w:tcBorders>
              <w:top w:val="single" w:sz="12" w:space="0" w:color="000000"/>
              <w:left w:val="single" w:sz="12" w:space="0" w:color="000000"/>
              <w:bottom w:val="single" w:sz="4" w:space="0" w:color="000000"/>
              <w:right w:val="single" w:sz="4" w:space="0" w:color="000000"/>
            </w:tcBorders>
            <w:hideMark/>
          </w:tcPr>
          <w:p w14:paraId="71EB25D0" w14:textId="77777777" w:rsidR="004976E4" w:rsidRDefault="004976E4" w:rsidP="00F50578">
            <w:pPr>
              <w:pStyle w:val="TableParagraph"/>
              <w:spacing w:before="20" w:line="256" w:lineRule="auto"/>
              <w:ind w:left="376" w:right="356"/>
              <w:rPr>
                <w:lang w:eastAsia="en-US"/>
              </w:rPr>
            </w:pPr>
            <w:r>
              <w:rPr>
                <w:lang w:eastAsia="en-US"/>
              </w:rPr>
              <w:t>Zelene</w:t>
            </w:r>
          </w:p>
        </w:tc>
        <w:tc>
          <w:tcPr>
            <w:tcW w:w="1703" w:type="dxa"/>
            <w:tcBorders>
              <w:top w:val="single" w:sz="12" w:space="0" w:color="000000"/>
              <w:left w:val="single" w:sz="4" w:space="0" w:color="000000"/>
              <w:bottom w:val="single" w:sz="4" w:space="0" w:color="000000"/>
              <w:right w:val="single" w:sz="4" w:space="0" w:color="000000"/>
            </w:tcBorders>
            <w:hideMark/>
          </w:tcPr>
          <w:p w14:paraId="65169472" w14:textId="77777777" w:rsidR="004976E4" w:rsidRDefault="004976E4" w:rsidP="00F50578">
            <w:pPr>
              <w:pStyle w:val="TableParagraph"/>
              <w:spacing w:before="20" w:line="256" w:lineRule="auto"/>
              <w:ind w:left="748"/>
              <w:jc w:val="left"/>
              <w:rPr>
                <w:lang w:eastAsia="en-US"/>
              </w:rPr>
            </w:pPr>
            <w:r>
              <w:rPr>
                <w:lang w:eastAsia="en-US"/>
              </w:rPr>
              <w:t>29</w:t>
            </w:r>
          </w:p>
        </w:tc>
        <w:tc>
          <w:tcPr>
            <w:tcW w:w="1703" w:type="dxa"/>
            <w:tcBorders>
              <w:top w:val="single" w:sz="12" w:space="0" w:color="000000"/>
              <w:left w:val="single" w:sz="4" w:space="0" w:color="000000"/>
              <w:bottom w:val="single" w:sz="4" w:space="0" w:color="000000"/>
              <w:right w:val="single" w:sz="4" w:space="0" w:color="000000"/>
            </w:tcBorders>
            <w:hideMark/>
          </w:tcPr>
          <w:p w14:paraId="2E49CB3B" w14:textId="77777777" w:rsidR="004976E4" w:rsidRDefault="004976E4" w:rsidP="00F50578">
            <w:pPr>
              <w:pStyle w:val="TableParagraph"/>
              <w:spacing w:before="20" w:line="256" w:lineRule="auto"/>
              <w:ind w:left="456" w:right="431"/>
              <w:rPr>
                <w:lang w:eastAsia="en-US"/>
              </w:rPr>
            </w:pPr>
            <w:r>
              <w:rPr>
                <w:lang w:eastAsia="en-US"/>
              </w:rPr>
              <w:t>63.996</w:t>
            </w:r>
          </w:p>
        </w:tc>
        <w:tc>
          <w:tcPr>
            <w:tcW w:w="2003" w:type="dxa"/>
            <w:tcBorders>
              <w:top w:val="single" w:sz="12" w:space="0" w:color="000000"/>
              <w:left w:val="single" w:sz="4" w:space="0" w:color="000000"/>
              <w:bottom w:val="single" w:sz="4" w:space="0" w:color="000000"/>
              <w:right w:val="single" w:sz="4" w:space="0" w:color="000000"/>
            </w:tcBorders>
            <w:hideMark/>
          </w:tcPr>
          <w:p w14:paraId="60066CE6" w14:textId="77777777" w:rsidR="004976E4" w:rsidRDefault="004976E4" w:rsidP="00F50578">
            <w:pPr>
              <w:pStyle w:val="TableParagraph"/>
              <w:spacing w:before="20" w:line="256" w:lineRule="auto"/>
              <w:ind w:left="736" w:right="715"/>
              <w:rPr>
                <w:lang w:eastAsia="en-US"/>
              </w:rPr>
            </w:pPr>
            <w:r>
              <w:rPr>
                <w:lang w:eastAsia="en-US"/>
              </w:rPr>
              <w:t>8.367</w:t>
            </w:r>
          </w:p>
        </w:tc>
        <w:tc>
          <w:tcPr>
            <w:tcW w:w="1962" w:type="dxa"/>
            <w:tcBorders>
              <w:top w:val="single" w:sz="12" w:space="0" w:color="000000"/>
              <w:left w:val="single" w:sz="4" w:space="0" w:color="000000"/>
              <w:bottom w:val="single" w:sz="4" w:space="0" w:color="000000"/>
              <w:right w:val="single" w:sz="12" w:space="0" w:color="000000"/>
            </w:tcBorders>
            <w:hideMark/>
          </w:tcPr>
          <w:p w14:paraId="718CA4EB" w14:textId="77777777" w:rsidR="004976E4" w:rsidRDefault="004976E4" w:rsidP="00F50578">
            <w:pPr>
              <w:pStyle w:val="TableParagraph"/>
              <w:spacing w:before="20" w:line="256" w:lineRule="auto"/>
              <w:ind w:left="319" w:right="287"/>
              <w:rPr>
                <w:lang w:eastAsia="en-US"/>
              </w:rPr>
            </w:pPr>
            <w:r>
              <w:rPr>
                <w:lang w:eastAsia="en-US"/>
              </w:rPr>
              <w:t>568</w:t>
            </w:r>
          </w:p>
        </w:tc>
      </w:tr>
      <w:tr w:rsidR="004976E4" w14:paraId="016CABF5" w14:textId="77777777" w:rsidTr="00F50578">
        <w:trPr>
          <w:trHeight w:val="314"/>
        </w:trPr>
        <w:tc>
          <w:tcPr>
            <w:tcW w:w="1702" w:type="dxa"/>
            <w:tcBorders>
              <w:top w:val="single" w:sz="4" w:space="0" w:color="000000"/>
              <w:left w:val="single" w:sz="12" w:space="0" w:color="000000"/>
              <w:bottom w:val="single" w:sz="4" w:space="0" w:color="000000"/>
              <w:right w:val="single" w:sz="4" w:space="0" w:color="000000"/>
            </w:tcBorders>
            <w:hideMark/>
          </w:tcPr>
          <w:p w14:paraId="7B4C03D7" w14:textId="77777777" w:rsidR="004976E4" w:rsidRDefault="004976E4" w:rsidP="00F50578">
            <w:pPr>
              <w:pStyle w:val="TableParagraph"/>
              <w:spacing w:before="18" w:line="256" w:lineRule="auto"/>
              <w:ind w:left="376" w:right="357"/>
              <w:rPr>
                <w:lang w:eastAsia="en-US"/>
              </w:rPr>
            </w:pPr>
            <w:r>
              <w:rPr>
                <w:lang w:eastAsia="en-US"/>
              </w:rPr>
              <w:t>Žute</w:t>
            </w:r>
          </w:p>
        </w:tc>
        <w:tc>
          <w:tcPr>
            <w:tcW w:w="1703" w:type="dxa"/>
            <w:tcBorders>
              <w:top w:val="single" w:sz="4" w:space="0" w:color="000000"/>
              <w:left w:val="single" w:sz="4" w:space="0" w:color="000000"/>
              <w:bottom w:val="single" w:sz="4" w:space="0" w:color="000000"/>
              <w:right w:val="single" w:sz="4" w:space="0" w:color="000000"/>
            </w:tcBorders>
            <w:hideMark/>
          </w:tcPr>
          <w:p w14:paraId="2E3C463E" w14:textId="77777777" w:rsidR="004976E4" w:rsidRDefault="004976E4" w:rsidP="00F50578">
            <w:pPr>
              <w:pStyle w:val="TableParagraph"/>
              <w:spacing w:before="18" w:line="256" w:lineRule="auto"/>
              <w:ind w:left="26"/>
              <w:rPr>
                <w:lang w:eastAsia="en-US"/>
              </w:rPr>
            </w:pPr>
            <w:r>
              <w:rPr>
                <w:lang w:eastAsia="en-US"/>
              </w:rPr>
              <w:t>3</w:t>
            </w:r>
          </w:p>
        </w:tc>
        <w:tc>
          <w:tcPr>
            <w:tcW w:w="1703" w:type="dxa"/>
            <w:tcBorders>
              <w:top w:val="single" w:sz="4" w:space="0" w:color="000000"/>
              <w:left w:val="single" w:sz="4" w:space="0" w:color="000000"/>
              <w:bottom w:val="single" w:sz="4" w:space="0" w:color="000000"/>
              <w:right w:val="single" w:sz="4" w:space="0" w:color="000000"/>
            </w:tcBorders>
            <w:hideMark/>
          </w:tcPr>
          <w:p w14:paraId="595F8B2B" w14:textId="77777777" w:rsidR="004976E4" w:rsidRDefault="004976E4" w:rsidP="00F50578">
            <w:pPr>
              <w:pStyle w:val="TableParagraph"/>
              <w:spacing w:before="18" w:line="256" w:lineRule="auto"/>
              <w:ind w:left="456" w:right="430"/>
              <w:rPr>
                <w:lang w:eastAsia="en-US"/>
              </w:rPr>
            </w:pPr>
            <w:r>
              <w:rPr>
                <w:lang w:eastAsia="en-US"/>
              </w:rPr>
              <w:t>3.329</w:t>
            </w:r>
          </w:p>
        </w:tc>
        <w:tc>
          <w:tcPr>
            <w:tcW w:w="2003" w:type="dxa"/>
            <w:tcBorders>
              <w:top w:val="single" w:sz="4" w:space="0" w:color="000000"/>
              <w:left w:val="single" w:sz="4" w:space="0" w:color="000000"/>
              <w:bottom w:val="single" w:sz="4" w:space="0" w:color="000000"/>
              <w:right w:val="single" w:sz="4" w:space="0" w:color="000000"/>
            </w:tcBorders>
            <w:hideMark/>
          </w:tcPr>
          <w:p w14:paraId="416AD7DF" w14:textId="77777777" w:rsidR="004976E4" w:rsidRDefault="004976E4" w:rsidP="00F50578">
            <w:pPr>
              <w:pStyle w:val="TableParagraph"/>
              <w:spacing w:before="18" w:line="256" w:lineRule="auto"/>
              <w:ind w:left="736" w:right="715"/>
              <w:rPr>
                <w:lang w:eastAsia="en-US"/>
              </w:rPr>
            </w:pPr>
            <w:r>
              <w:rPr>
                <w:lang w:eastAsia="en-US"/>
              </w:rPr>
              <w:t>166</w:t>
            </w:r>
          </w:p>
        </w:tc>
        <w:tc>
          <w:tcPr>
            <w:tcW w:w="1962" w:type="dxa"/>
            <w:tcBorders>
              <w:top w:val="single" w:sz="4" w:space="0" w:color="000000"/>
              <w:left w:val="single" w:sz="4" w:space="0" w:color="000000"/>
              <w:bottom w:val="single" w:sz="4" w:space="0" w:color="000000"/>
              <w:right w:val="single" w:sz="12" w:space="0" w:color="000000"/>
            </w:tcBorders>
            <w:hideMark/>
          </w:tcPr>
          <w:p w14:paraId="3AE86B64" w14:textId="77777777" w:rsidR="004976E4" w:rsidRDefault="004976E4" w:rsidP="00F50578">
            <w:pPr>
              <w:pStyle w:val="TableParagraph"/>
              <w:spacing w:before="18" w:line="256" w:lineRule="auto"/>
              <w:ind w:left="30"/>
              <w:rPr>
                <w:lang w:eastAsia="en-US"/>
              </w:rPr>
            </w:pPr>
            <w:r>
              <w:rPr>
                <w:lang w:eastAsia="en-US"/>
              </w:rPr>
              <w:t>5</w:t>
            </w:r>
          </w:p>
        </w:tc>
      </w:tr>
      <w:tr w:rsidR="004976E4" w14:paraId="5B9E4578" w14:textId="77777777" w:rsidTr="00F50578">
        <w:trPr>
          <w:trHeight w:val="313"/>
        </w:trPr>
        <w:tc>
          <w:tcPr>
            <w:tcW w:w="1702" w:type="dxa"/>
            <w:tcBorders>
              <w:top w:val="single" w:sz="4" w:space="0" w:color="000000"/>
              <w:left w:val="single" w:sz="12" w:space="0" w:color="000000"/>
              <w:bottom w:val="single" w:sz="12" w:space="0" w:color="000000"/>
              <w:right w:val="single" w:sz="4" w:space="0" w:color="000000"/>
            </w:tcBorders>
            <w:hideMark/>
          </w:tcPr>
          <w:p w14:paraId="410D7433" w14:textId="77777777" w:rsidR="004976E4" w:rsidRDefault="004976E4" w:rsidP="00F50578">
            <w:pPr>
              <w:pStyle w:val="TableParagraph"/>
              <w:spacing w:before="20" w:line="256" w:lineRule="auto"/>
              <w:ind w:left="374" w:right="357"/>
              <w:rPr>
                <w:lang w:eastAsia="en-US"/>
              </w:rPr>
            </w:pPr>
            <w:r>
              <w:rPr>
                <w:lang w:eastAsia="en-US"/>
              </w:rPr>
              <w:t>Crvene</w:t>
            </w:r>
          </w:p>
        </w:tc>
        <w:tc>
          <w:tcPr>
            <w:tcW w:w="1703" w:type="dxa"/>
            <w:tcBorders>
              <w:top w:val="single" w:sz="4" w:space="0" w:color="000000"/>
              <w:left w:val="single" w:sz="4" w:space="0" w:color="000000"/>
              <w:bottom w:val="single" w:sz="12" w:space="0" w:color="000000"/>
              <w:right w:val="single" w:sz="4" w:space="0" w:color="000000"/>
            </w:tcBorders>
            <w:hideMark/>
          </w:tcPr>
          <w:p w14:paraId="3C2FAA16" w14:textId="77777777" w:rsidR="004976E4" w:rsidRDefault="004976E4" w:rsidP="00F50578">
            <w:pPr>
              <w:pStyle w:val="TableParagraph"/>
              <w:spacing w:before="20" w:line="256" w:lineRule="auto"/>
              <w:ind w:left="26"/>
              <w:rPr>
                <w:lang w:eastAsia="en-US"/>
              </w:rPr>
            </w:pPr>
            <w:r>
              <w:rPr>
                <w:lang w:eastAsia="en-US"/>
              </w:rPr>
              <w:t>0</w:t>
            </w:r>
          </w:p>
        </w:tc>
        <w:tc>
          <w:tcPr>
            <w:tcW w:w="1703" w:type="dxa"/>
            <w:tcBorders>
              <w:top w:val="single" w:sz="4" w:space="0" w:color="000000"/>
              <w:left w:val="single" w:sz="4" w:space="0" w:color="000000"/>
              <w:bottom w:val="single" w:sz="12" w:space="0" w:color="000000"/>
              <w:right w:val="single" w:sz="4" w:space="0" w:color="000000"/>
            </w:tcBorders>
            <w:hideMark/>
          </w:tcPr>
          <w:p w14:paraId="0B9CDFF8" w14:textId="77777777" w:rsidR="004976E4" w:rsidRDefault="004976E4" w:rsidP="00F50578">
            <w:pPr>
              <w:pStyle w:val="TableParagraph"/>
              <w:spacing w:before="20" w:line="256" w:lineRule="auto"/>
              <w:ind w:left="24"/>
              <w:rPr>
                <w:lang w:eastAsia="en-US"/>
              </w:rPr>
            </w:pPr>
            <w:r>
              <w:rPr>
                <w:lang w:eastAsia="en-US"/>
              </w:rPr>
              <w:t>0</w:t>
            </w:r>
          </w:p>
        </w:tc>
        <w:tc>
          <w:tcPr>
            <w:tcW w:w="2003" w:type="dxa"/>
            <w:tcBorders>
              <w:top w:val="single" w:sz="4" w:space="0" w:color="000000"/>
              <w:left w:val="single" w:sz="4" w:space="0" w:color="000000"/>
              <w:bottom w:val="single" w:sz="12" w:space="0" w:color="000000"/>
              <w:right w:val="single" w:sz="4" w:space="0" w:color="000000"/>
            </w:tcBorders>
            <w:hideMark/>
          </w:tcPr>
          <w:p w14:paraId="1C48D5A2" w14:textId="77777777" w:rsidR="004976E4" w:rsidRDefault="004976E4" w:rsidP="00F50578">
            <w:pPr>
              <w:pStyle w:val="TableParagraph"/>
              <w:spacing w:before="20" w:line="256" w:lineRule="auto"/>
              <w:ind w:left="19"/>
              <w:rPr>
                <w:lang w:eastAsia="en-US"/>
              </w:rPr>
            </w:pPr>
            <w:r>
              <w:rPr>
                <w:lang w:eastAsia="en-US"/>
              </w:rPr>
              <w:t>0</w:t>
            </w:r>
          </w:p>
        </w:tc>
        <w:tc>
          <w:tcPr>
            <w:tcW w:w="1962" w:type="dxa"/>
            <w:tcBorders>
              <w:top w:val="single" w:sz="4" w:space="0" w:color="000000"/>
              <w:left w:val="single" w:sz="4" w:space="0" w:color="000000"/>
              <w:bottom w:val="single" w:sz="12" w:space="0" w:color="000000"/>
              <w:right w:val="single" w:sz="12" w:space="0" w:color="000000"/>
            </w:tcBorders>
            <w:hideMark/>
          </w:tcPr>
          <w:p w14:paraId="31386598" w14:textId="77777777" w:rsidR="004976E4" w:rsidRDefault="004976E4" w:rsidP="00F50578">
            <w:pPr>
              <w:pStyle w:val="TableParagraph"/>
              <w:spacing w:before="20" w:line="256" w:lineRule="auto"/>
              <w:ind w:left="30"/>
              <w:rPr>
                <w:lang w:eastAsia="en-US"/>
              </w:rPr>
            </w:pPr>
            <w:r>
              <w:rPr>
                <w:lang w:eastAsia="en-US"/>
              </w:rPr>
              <w:t>0</w:t>
            </w:r>
          </w:p>
        </w:tc>
      </w:tr>
      <w:tr w:rsidR="004976E4" w14:paraId="112501B6" w14:textId="77777777" w:rsidTr="00F50578">
        <w:trPr>
          <w:trHeight w:val="399"/>
        </w:trPr>
        <w:tc>
          <w:tcPr>
            <w:tcW w:w="1702" w:type="dxa"/>
            <w:tcBorders>
              <w:top w:val="single" w:sz="12" w:space="0" w:color="000000"/>
              <w:left w:val="single" w:sz="12" w:space="0" w:color="000000"/>
              <w:bottom w:val="single" w:sz="12" w:space="0" w:color="000000"/>
              <w:right w:val="single" w:sz="4" w:space="0" w:color="000000"/>
            </w:tcBorders>
            <w:hideMark/>
          </w:tcPr>
          <w:p w14:paraId="61DBF0D9" w14:textId="77777777" w:rsidR="004976E4" w:rsidRDefault="004976E4" w:rsidP="00F50578">
            <w:pPr>
              <w:pStyle w:val="TableParagraph"/>
              <w:spacing w:before="63" w:line="256" w:lineRule="auto"/>
              <w:ind w:left="374" w:right="357"/>
              <w:rPr>
                <w:lang w:eastAsia="en-US"/>
              </w:rPr>
            </w:pPr>
            <w:r>
              <w:rPr>
                <w:lang w:eastAsia="en-US"/>
              </w:rPr>
              <w:t>UKUPNO</w:t>
            </w:r>
          </w:p>
        </w:tc>
        <w:tc>
          <w:tcPr>
            <w:tcW w:w="1703" w:type="dxa"/>
            <w:tcBorders>
              <w:top w:val="single" w:sz="12" w:space="0" w:color="000000"/>
              <w:left w:val="single" w:sz="4" w:space="0" w:color="000000"/>
              <w:bottom w:val="single" w:sz="12" w:space="0" w:color="000000"/>
              <w:right w:val="single" w:sz="4" w:space="0" w:color="000000"/>
            </w:tcBorders>
            <w:hideMark/>
          </w:tcPr>
          <w:p w14:paraId="4DB39005" w14:textId="77777777" w:rsidR="004976E4" w:rsidRDefault="004976E4" w:rsidP="00F50578">
            <w:pPr>
              <w:pStyle w:val="TableParagraph"/>
              <w:spacing w:before="63" w:line="256" w:lineRule="auto"/>
              <w:ind w:left="748"/>
              <w:jc w:val="left"/>
              <w:rPr>
                <w:lang w:eastAsia="en-US"/>
              </w:rPr>
            </w:pPr>
            <w:r>
              <w:rPr>
                <w:lang w:eastAsia="en-US"/>
              </w:rPr>
              <w:t>32</w:t>
            </w:r>
          </w:p>
        </w:tc>
        <w:tc>
          <w:tcPr>
            <w:tcW w:w="1703" w:type="dxa"/>
            <w:tcBorders>
              <w:top w:val="single" w:sz="12" w:space="0" w:color="000000"/>
              <w:left w:val="single" w:sz="4" w:space="0" w:color="000000"/>
              <w:bottom w:val="single" w:sz="12" w:space="0" w:color="000000"/>
              <w:right w:val="single" w:sz="4" w:space="0" w:color="000000"/>
            </w:tcBorders>
            <w:hideMark/>
          </w:tcPr>
          <w:p w14:paraId="7CA8EBD3" w14:textId="77777777" w:rsidR="004976E4" w:rsidRDefault="004976E4" w:rsidP="00F50578">
            <w:pPr>
              <w:pStyle w:val="TableParagraph"/>
              <w:spacing w:before="63" w:line="256" w:lineRule="auto"/>
              <w:ind w:left="456" w:right="431"/>
              <w:rPr>
                <w:lang w:eastAsia="en-US"/>
              </w:rPr>
            </w:pPr>
            <w:r>
              <w:rPr>
                <w:lang w:eastAsia="en-US"/>
              </w:rPr>
              <w:t>67.325</w:t>
            </w:r>
          </w:p>
        </w:tc>
        <w:tc>
          <w:tcPr>
            <w:tcW w:w="2003" w:type="dxa"/>
            <w:tcBorders>
              <w:top w:val="single" w:sz="12" w:space="0" w:color="000000"/>
              <w:left w:val="single" w:sz="4" w:space="0" w:color="000000"/>
              <w:bottom w:val="single" w:sz="12" w:space="0" w:color="000000"/>
              <w:right w:val="single" w:sz="4" w:space="0" w:color="000000"/>
            </w:tcBorders>
            <w:hideMark/>
          </w:tcPr>
          <w:p w14:paraId="776BFFF3" w14:textId="77777777" w:rsidR="004976E4" w:rsidRDefault="004976E4" w:rsidP="00F50578">
            <w:pPr>
              <w:pStyle w:val="TableParagraph"/>
              <w:spacing w:before="63" w:line="256" w:lineRule="auto"/>
              <w:ind w:left="736" w:right="715"/>
              <w:rPr>
                <w:lang w:eastAsia="en-US"/>
              </w:rPr>
            </w:pPr>
            <w:r>
              <w:rPr>
                <w:lang w:eastAsia="en-US"/>
              </w:rPr>
              <w:t>8.533</w:t>
            </w:r>
          </w:p>
        </w:tc>
        <w:tc>
          <w:tcPr>
            <w:tcW w:w="1962" w:type="dxa"/>
            <w:tcBorders>
              <w:top w:val="single" w:sz="12" w:space="0" w:color="000000"/>
              <w:left w:val="single" w:sz="4" w:space="0" w:color="000000"/>
              <w:bottom w:val="single" w:sz="12" w:space="0" w:color="000000"/>
              <w:right w:val="single" w:sz="12" w:space="0" w:color="000000"/>
            </w:tcBorders>
            <w:hideMark/>
          </w:tcPr>
          <w:p w14:paraId="054708B0" w14:textId="77777777" w:rsidR="004976E4" w:rsidRDefault="004976E4" w:rsidP="00F50578">
            <w:pPr>
              <w:pStyle w:val="TableParagraph"/>
              <w:spacing w:before="63" w:line="256" w:lineRule="auto"/>
              <w:ind w:left="319" w:right="287"/>
              <w:rPr>
                <w:lang w:eastAsia="en-US"/>
              </w:rPr>
            </w:pPr>
            <w:r>
              <w:rPr>
                <w:lang w:eastAsia="en-US"/>
              </w:rPr>
              <w:t>573</w:t>
            </w:r>
          </w:p>
        </w:tc>
      </w:tr>
    </w:tbl>
    <w:p w14:paraId="7FC3C12C" w14:textId="77777777" w:rsidR="00051B1B" w:rsidRDefault="00051B1B" w:rsidP="004976E4">
      <w:pPr>
        <w:spacing w:after="145" w:line="240" w:lineRule="auto"/>
        <w:ind w:right="240"/>
        <w:jc w:val="both"/>
      </w:pPr>
    </w:p>
    <w:p w14:paraId="6EABF3EA" w14:textId="278DA370" w:rsidR="004976E4" w:rsidRDefault="004976E4" w:rsidP="004976E4">
      <w:pPr>
        <w:spacing w:after="145" w:line="240" w:lineRule="auto"/>
        <w:ind w:right="240"/>
        <w:jc w:val="both"/>
      </w:pPr>
      <w:r>
        <w:t>Potresom koji je 29. prosinca 2020. godine imao epicentar u Sisačko-moslavačkoj županiji, znatno su oštećene dvije sastavnice Sveučilišta u Zagrebu, Metalurški fakultet u Sisku (dvije zgrade, 3228m2) te Učiteljski fakultet u Petrinji (zgrada površine 2475m2).</w:t>
      </w:r>
    </w:p>
    <w:p w14:paraId="55B945B4" w14:textId="77777777" w:rsidR="004976E4" w:rsidRDefault="004976E4" w:rsidP="004976E4">
      <w:pPr>
        <w:spacing w:after="145" w:line="240" w:lineRule="auto"/>
        <w:ind w:right="240"/>
        <w:jc w:val="both"/>
      </w:pPr>
      <w:r>
        <w:t>Navedenim potresom pogoršana su stanja na već oštećenim zgradama na području Grada Zagreba.</w:t>
      </w:r>
    </w:p>
    <w:p w14:paraId="3FB3E13C" w14:textId="77777777" w:rsidR="004976E4" w:rsidRDefault="004976E4" w:rsidP="004976E4">
      <w:pPr>
        <w:spacing w:after="145" w:line="240" w:lineRule="auto"/>
        <w:ind w:right="240"/>
        <w:jc w:val="both"/>
      </w:pPr>
      <w:r>
        <w:t>Usprkos planiranim razvojnim projektima, pripremljenim i djelomično provedenim aktivnostima u području poboljšanja energetske učinkovitosti postojećih zgrada te dugotrajnom planiranju i provedbi aktivnosti u svrhu izgradnje novih kapitalnih projekata, posljedice potresa nameću nužnost restrukturiranja postojećih planova i aktivnosti te primarno saniranje šteta na postojećim objektima u svrhu osiguravanja kapaciteta za provedbu osnovne djelatnosti, znanstveno-nastavnog procesa.</w:t>
      </w:r>
    </w:p>
    <w:p w14:paraId="72D48247" w14:textId="282567A0" w:rsidR="004976E4" w:rsidRDefault="0024445D" w:rsidP="004976E4">
      <w:pPr>
        <w:spacing w:after="0" w:line="240" w:lineRule="auto"/>
        <w:ind w:right="238"/>
        <w:jc w:val="both"/>
      </w:pPr>
      <w:r w:rsidRPr="0024445D">
        <w:t>Na</w:t>
      </w:r>
      <w:r>
        <w:t xml:space="preserve"> </w:t>
      </w:r>
      <w:r w:rsidR="004976E4">
        <w:t xml:space="preserve">izazove postavljene pojavom pandemije COVID-19 Sveučilište u Zagrebu je promptno odgovorilo </w:t>
      </w:r>
    </w:p>
    <w:p w14:paraId="5D96C292" w14:textId="0FDC82CF" w:rsidR="004976E4" w:rsidRDefault="004976E4" w:rsidP="004976E4">
      <w:pPr>
        <w:spacing w:after="0" w:line="240" w:lineRule="auto"/>
        <w:ind w:right="238"/>
        <w:jc w:val="both"/>
      </w:pPr>
      <w:r>
        <w:t>osnivanjem Kriznoga stožera Sveučilišta u Zagrebu vezano uz nCoV bolesti (COVID-19). Zadatak je Kriznoga stožera praćenje razvoja događaja vezanih uz nCoV bolesti (COVID-19) te davanje preporuka Upravi Sveučilišta u Zagrebu u skladu s aktualnom epidemiološkom situacijom. Znanstvenim kapacitetom i potencijalom Sveučilište doprinosi prevladavanju pandemijskih izazova kroz aktivno učešće nastavnog osoblja u Znanstvenom savjetu Vlade RH te predlaganjem i provedbom konkretnih znanstvenih rješenja kroz znanstvene projekte Hrvatske zaklade za znanost koji financiraju temeljna i primijenjena istraživanja koja stvaraju novo i unaprjeđuju postojeće znanje o zaraznim bolestima uzrokovanim koronavirusima te istraživanja koja istražuju društvene aspekte pandemije i učinak pandemije na obrazovni sustav.</w:t>
      </w:r>
    </w:p>
    <w:p w14:paraId="099CCD97" w14:textId="77777777" w:rsidR="00710303" w:rsidRDefault="00710303" w:rsidP="00E2286C">
      <w:pPr>
        <w:pStyle w:val="Opisslike"/>
      </w:pPr>
    </w:p>
    <w:p w14:paraId="1CD60578" w14:textId="334C1A61" w:rsidR="00051B1B" w:rsidRDefault="00051B1B"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9</w:t>
      </w:r>
      <w:r w:rsidR="00751C19">
        <w:rPr>
          <w:noProof/>
        </w:rPr>
        <w:fldChar w:fldCharType="end"/>
      </w:r>
      <w:r>
        <w:t xml:space="preserve">. </w:t>
      </w:r>
      <w:r w:rsidRPr="00A05DEB">
        <w:t>Podaci o broju i površinama oštećenih zgrada - Studentski centar</w:t>
      </w:r>
    </w:p>
    <w:tbl>
      <w:tblPr>
        <w:tblW w:w="6739" w:type="dxa"/>
        <w:tblInd w:w="6" w:type="dxa"/>
        <w:tblCellMar>
          <w:top w:w="46" w:type="dxa"/>
          <w:left w:w="105" w:type="dxa"/>
          <w:right w:w="64" w:type="dxa"/>
        </w:tblCellMar>
        <w:tblLook w:val="04A0" w:firstRow="1" w:lastRow="0" w:firstColumn="1" w:lastColumn="0" w:noHBand="0" w:noVBand="1"/>
      </w:tblPr>
      <w:tblGrid>
        <w:gridCol w:w="810"/>
        <w:gridCol w:w="3685"/>
        <w:gridCol w:w="2244"/>
      </w:tblGrid>
      <w:tr w:rsidR="004976E4" w14:paraId="3E247099" w14:textId="77777777" w:rsidTr="00BA797C">
        <w:trPr>
          <w:trHeight w:val="448"/>
        </w:trPr>
        <w:tc>
          <w:tcPr>
            <w:tcW w:w="810"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2BE78943" w14:textId="77777777" w:rsidR="004976E4" w:rsidRDefault="004976E4" w:rsidP="00F50578">
            <w:pPr>
              <w:spacing w:line="256" w:lineRule="auto"/>
              <w:jc w:val="right"/>
              <w:rPr>
                <w:rFonts w:ascii="Times New Roman" w:hAnsi="Times New Roman"/>
                <w:color w:val="000000"/>
              </w:rPr>
            </w:pPr>
          </w:p>
        </w:tc>
        <w:tc>
          <w:tcPr>
            <w:tcW w:w="3685"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6C898C08" w14:textId="77777777" w:rsidR="004976E4" w:rsidRPr="009A49AE" w:rsidRDefault="004976E4" w:rsidP="00F50578">
            <w:pPr>
              <w:spacing w:line="256" w:lineRule="auto"/>
              <w:ind w:left="1"/>
              <w:rPr>
                <w:rFonts w:cstheme="minorHAnsi"/>
                <w:color w:val="000000"/>
              </w:rPr>
            </w:pPr>
            <w:r w:rsidRPr="009A49AE">
              <w:rPr>
                <w:rFonts w:cstheme="minorHAnsi"/>
                <w:color w:val="000000"/>
              </w:rPr>
              <w:t xml:space="preserve">Ustanove iz sustava visokog obrazovanja i znanosti </w:t>
            </w:r>
          </w:p>
        </w:tc>
        <w:tc>
          <w:tcPr>
            <w:tcW w:w="2244" w:type="dxa"/>
            <w:tcBorders>
              <w:top w:val="single" w:sz="4" w:space="0" w:color="000000"/>
              <w:left w:val="single" w:sz="4" w:space="0" w:color="000000"/>
              <w:bottom w:val="single" w:sz="4" w:space="0" w:color="000000"/>
              <w:right w:val="single" w:sz="4" w:space="0" w:color="000000"/>
            </w:tcBorders>
            <w:shd w:val="clear" w:color="auto" w:fill="C5E0B3"/>
            <w:vAlign w:val="center"/>
            <w:hideMark/>
          </w:tcPr>
          <w:p w14:paraId="73CDEDB0" w14:textId="77777777" w:rsidR="004976E4" w:rsidRPr="009A49AE" w:rsidRDefault="004976E4" w:rsidP="00F50578">
            <w:pPr>
              <w:spacing w:line="256" w:lineRule="auto"/>
              <w:jc w:val="center"/>
              <w:rPr>
                <w:rFonts w:cstheme="minorHAnsi"/>
                <w:color w:val="000000"/>
              </w:rPr>
            </w:pPr>
            <w:r w:rsidRPr="009A49AE">
              <w:rPr>
                <w:rFonts w:cstheme="minorHAnsi"/>
                <w:color w:val="000000"/>
              </w:rPr>
              <w:t xml:space="preserve">Broj ustanova Grada Zagreba </w:t>
            </w:r>
          </w:p>
        </w:tc>
      </w:tr>
      <w:tr w:rsidR="004976E4" w14:paraId="086AF67A" w14:textId="77777777" w:rsidTr="00F50578">
        <w:trPr>
          <w:trHeight w:val="292"/>
        </w:trPr>
        <w:tc>
          <w:tcPr>
            <w:tcW w:w="6739" w:type="dxa"/>
            <w:gridSpan w:val="3"/>
            <w:tcBorders>
              <w:top w:val="single" w:sz="4" w:space="0" w:color="000000"/>
              <w:left w:val="single" w:sz="4" w:space="0" w:color="000000"/>
              <w:bottom w:val="single" w:sz="4" w:space="0" w:color="000000"/>
              <w:right w:val="single" w:sz="4" w:space="0" w:color="000000"/>
            </w:tcBorders>
            <w:hideMark/>
          </w:tcPr>
          <w:p w14:paraId="17007A92" w14:textId="77777777" w:rsidR="004976E4" w:rsidRPr="009A49AE" w:rsidRDefault="004976E4" w:rsidP="00F50578">
            <w:pPr>
              <w:spacing w:line="256" w:lineRule="auto"/>
              <w:ind w:right="45"/>
              <w:rPr>
                <w:rFonts w:cstheme="minorHAnsi"/>
                <w:color w:val="000000"/>
              </w:rPr>
            </w:pPr>
            <w:r w:rsidRPr="009A49AE">
              <w:rPr>
                <w:rFonts w:cstheme="minorHAnsi"/>
                <w:color w:val="000000"/>
              </w:rPr>
              <w:t>VISOKOŠKOLSKE USTANOVE</w:t>
            </w:r>
          </w:p>
        </w:tc>
      </w:tr>
      <w:tr w:rsidR="004976E4" w14:paraId="78ACCE0E" w14:textId="77777777" w:rsidTr="00F50578">
        <w:trPr>
          <w:trHeight w:val="292"/>
        </w:trPr>
        <w:tc>
          <w:tcPr>
            <w:tcW w:w="810" w:type="dxa"/>
            <w:tcBorders>
              <w:top w:val="single" w:sz="4" w:space="0" w:color="000000"/>
              <w:left w:val="single" w:sz="4" w:space="0" w:color="000000"/>
              <w:bottom w:val="single" w:sz="4" w:space="0" w:color="000000"/>
              <w:right w:val="single" w:sz="4" w:space="0" w:color="000000"/>
            </w:tcBorders>
            <w:hideMark/>
          </w:tcPr>
          <w:p w14:paraId="0A7E6C15" w14:textId="77777777" w:rsidR="004976E4" w:rsidRDefault="004976E4" w:rsidP="00F50578">
            <w:pPr>
              <w:spacing w:line="256" w:lineRule="auto"/>
              <w:ind w:right="45"/>
              <w:jc w:val="right"/>
              <w:rPr>
                <w:rFonts w:ascii="Times New Roman" w:hAnsi="Times New Roman"/>
                <w:color w:val="000000"/>
              </w:rPr>
            </w:pPr>
            <w:r>
              <w:rPr>
                <w:rFonts w:ascii="Times New Roman" w:hAnsi="Times New Roman"/>
                <w:color w:val="000000"/>
              </w:rPr>
              <w:t xml:space="preserve">1. </w:t>
            </w:r>
          </w:p>
        </w:tc>
        <w:tc>
          <w:tcPr>
            <w:tcW w:w="3685" w:type="dxa"/>
            <w:tcBorders>
              <w:top w:val="single" w:sz="4" w:space="0" w:color="000000"/>
              <w:left w:val="single" w:sz="4" w:space="0" w:color="000000"/>
              <w:bottom w:val="single" w:sz="4" w:space="0" w:color="000000"/>
              <w:right w:val="single" w:sz="4" w:space="0" w:color="000000"/>
            </w:tcBorders>
            <w:hideMark/>
          </w:tcPr>
          <w:p w14:paraId="2F05193A" w14:textId="77777777" w:rsidR="004976E4" w:rsidRPr="009A49AE" w:rsidRDefault="004976E4" w:rsidP="00F50578">
            <w:pPr>
              <w:spacing w:line="256" w:lineRule="auto"/>
              <w:rPr>
                <w:rFonts w:cstheme="minorHAnsi"/>
                <w:color w:val="000000"/>
              </w:rPr>
            </w:pPr>
            <w:r w:rsidRPr="009A49AE">
              <w:rPr>
                <w:rFonts w:cstheme="minorHAnsi"/>
                <w:color w:val="000000"/>
              </w:rPr>
              <w:t xml:space="preserve">Sveučilište </w:t>
            </w:r>
          </w:p>
        </w:tc>
        <w:tc>
          <w:tcPr>
            <w:tcW w:w="2244" w:type="dxa"/>
            <w:tcBorders>
              <w:top w:val="single" w:sz="4" w:space="0" w:color="000000"/>
              <w:left w:val="single" w:sz="4" w:space="0" w:color="000000"/>
              <w:bottom w:val="single" w:sz="4" w:space="0" w:color="000000"/>
              <w:right w:val="single" w:sz="4" w:space="0" w:color="000000"/>
            </w:tcBorders>
            <w:hideMark/>
          </w:tcPr>
          <w:p w14:paraId="71A5975D" w14:textId="77777777" w:rsidR="004976E4" w:rsidRPr="009A49AE" w:rsidRDefault="004976E4" w:rsidP="00F50578">
            <w:pPr>
              <w:spacing w:line="256" w:lineRule="auto"/>
              <w:ind w:right="45"/>
              <w:jc w:val="center"/>
              <w:rPr>
                <w:rFonts w:cstheme="minorHAnsi"/>
                <w:color w:val="000000"/>
              </w:rPr>
            </w:pPr>
            <w:r w:rsidRPr="009A49AE">
              <w:rPr>
                <w:rFonts w:cstheme="minorHAnsi"/>
                <w:color w:val="000000"/>
              </w:rPr>
              <w:t xml:space="preserve">5* </w:t>
            </w:r>
          </w:p>
        </w:tc>
      </w:tr>
      <w:tr w:rsidR="004976E4" w14:paraId="3F3ABA45" w14:textId="77777777" w:rsidTr="00F50578">
        <w:trPr>
          <w:trHeight w:val="290"/>
        </w:trPr>
        <w:tc>
          <w:tcPr>
            <w:tcW w:w="810" w:type="dxa"/>
            <w:tcBorders>
              <w:top w:val="single" w:sz="4" w:space="0" w:color="000000"/>
              <w:left w:val="single" w:sz="4" w:space="0" w:color="000000"/>
              <w:bottom w:val="single" w:sz="4" w:space="0" w:color="000000"/>
              <w:right w:val="single" w:sz="4" w:space="0" w:color="000000"/>
            </w:tcBorders>
            <w:hideMark/>
          </w:tcPr>
          <w:p w14:paraId="1869F848" w14:textId="77777777" w:rsidR="004976E4" w:rsidRDefault="004976E4" w:rsidP="00F50578">
            <w:pPr>
              <w:spacing w:line="256" w:lineRule="auto"/>
              <w:ind w:right="45"/>
              <w:jc w:val="right"/>
              <w:rPr>
                <w:rFonts w:ascii="Times New Roman" w:hAnsi="Times New Roman"/>
                <w:color w:val="000000"/>
              </w:rPr>
            </w:pPr>
            <w:r>
              <w:rPr>
                <w:rFonts w:ascii="Times New Roman" w:hAnsi="Times New Roman"/>
                <w:color w:val="000000"/>
              </w:rPr>
              <w:t xml:space="preserve">2. </w:t>
            </w:r>
          </w:p>
        </w:tc>
        <w:tc>
          <w:tcPr>
            <w:tcW w:w="3685" w:type="dxa"/>
            <w:tcBorders>
              <w:top w:val="single" w:sz="4" w:space="0" w:color="000000"/>
              <w:left w:val="single" w:sz="4" w:space="0" w:color="000000"/>
              <w:bottom w:val="single" w:sz="4" w:space="0" w:color="000000"/>
              <w:right w:val="single" w:sz="4" w:space="0" w:color="000000"/>
            </w:tcBorders>
            <w:hideMark/>
          </w:tcPr>
          <w:p w14:paraId="3466AC1D" w14:textId="77777777" w:rsidR="004976E4" w:rsidRPr="009A49AE" w:rsidRDefault="004976E4" w:rsidP="00F50578">
            <w:pPr>
              <w:spacing w:line="256" w:lineRule="auto"/>
              <w:rPr>
                <w:rFonts w:cstheme="minorHAnsi"/>
                <w:color w:val="000000"/>
              </w:rPr>
            </w:pPr>
            <w:r w:rsidRPr="009A49AE">
              <w:rPr>
                <w:rFonts w:cstheme="minorHAnsi"/>
                <w:color w:val="000000"/>
              </w:rPr>
              <w:t xml:space="preserve">Fakultet </w:t>
            </w:r>
          </w:p>
        </w:tc>
        <w:tc>
          <w:tcPr>
            <w:tcW w:w="2244" w:type="dxa"/>
            <w:tcBorders>
              <w:top w:val="single" w:sz="4" w:space="0" w:color="000000"/>
              <w:left w:val="single" w:sz="4" w:space="0" w:color="000000"/>
              <w:bottom w:val="single" w:sz="4" w:space="0" w:color="000000"/>
              <w:right w:val="single" w:sz="4" w:space="0" w:color="000000"/>
            </w:tcBorders>
            <w:hideMark/>
          </w:tcPr>
          <w:p w14:paraId="61E592B9" w14:textId="77777777" w:rsidR="004976E4" w:rsidRPr="009A49AE" w:rsidRDefault="004976E4" w:rsidP="00F50578">
            <w:pPr>
              <w:spacing w:line="256" w:lineRule="auto"/>
              <w:ind w:right="41"/>
              <w:jc w:val="center"/>
              <w:rPr>
                <w:rFonts w:cstheme="minorHAnsi"/>
                <w:color w:val="000000"/>
              </w:rPr>
            </w:pPr>
            <w:r w:rsidRPr="009A49AE">
              <w:rPr>
                <w:rFonts w:cstheme="minorHAnsi"/>
                <w:color w:val="000000"/>
              </w:rPr>
              <w:t>31</w:t>
            </w:r>
          </w:p>
        </w:tc>
      </w:tr>
      <w:tr w:rsidR="004976E4" w14:paraId="34E67367" w14:textId="77777777" w:rsidTr="00F50578">
        <w:trPr>
          <w:trHeight w:val="290"/>
        </w:trPr>
        <w:tc>
          <w:tcPr>
            <w:tcW w:w="810" w:type="dxa"/>
            <w:tcBorders>
              <w:top w:val="single" w:sz="4" w:space="0" w:color="000000"/>
              <w:left w:val="single" w:sz="4" w:space="0" w:color="000000"/>
              <w:bottom w:val="single" w:sz="4" w:space="0" w:color="000000"/>
              <w:right w:val="single" w:sz="4" w:space="0" w:color="000000"/>
            </w:tcBorders>
            <w:hideMark/>
          </w:tcPr>
          <w:p w14:paraId="4B08B498" w14:textId="77777777" w:rsidR="004976E4" w:rsidRDefault="004976E4" w:rsidP="00F50578">
            <w:pPr>
              <w:spacing w:line="256" w:lineRule="auto"/>
              <w:ind w:right="45"/>
              <w:jc w:val="right"/>
              <w:rPr>
                <w:rFonts w:ascii="Times New Roman" w:hAnsi="Times New Roman"/>
                <w:color w:val="000000"/>
              </w:rPr>
            </w:pPr>
            <w:r>
              <w:rPr>
                <w:rFonts w:ascii="Times New Roman" w:hAnsi="Times New Roman"/>
                <w:color w:val="000000"/>
              </w:rPr>
              <w:t xml:space="preserve">3. </w:t>
            </w:r>
          </w:p>
        </w:tc>
        <w:tc>
          <w:tcPr>
            <w:tcW w:w="3685" w:type="dxa"/>
            <w:tcBorders>
              <w:top w:val="single" w:sz="4" w:space="0" w:color="000000"/>
              <w:left w:val="single" w:sz="4" w:space="0" w:color="000000"/>
              <w:bottom w:val="single" w:sz="4" w:space="0" w:color="000000"/>
              <w:right w:val="single" w:sz="4" w:space="0" w:color="000000"/>
            </w:tcBorders>
            <w:hideMark/>
          </w:tcPr>
          <w:p w14:paraId="280508A8" w14:textId="77777777" w:rsidR="004976E4" w:rsidRPr="009A49AE" w:rsidRDefault="004976E4" w:rsidP="00F50578">
            <w:pPr>
              <w:spacing w:line="256" w:lineRule="auto"/>
              <w:rPr>
                <w:rFonts w:cstheme="minorHAnsi"/>
                <w:color w:val="000000"/>
              </w:rPr>
            </w:pPr>
            <w:r w:rsidRPr="009A49AE">
              <w:rPr>
                <w:rFonts w:cstheme="minorHAnsi"/>
                <w:color w:val="000000"/>
              </w:rPr>
              <w:t xml:space="preserve">Umjetnička akademija </w:t>
            </w:r>
          </w:p>
        </w:tc>
        <w:tc>
          <w:tcPr>
            <w:tcW w:w="2244" w:type="dxa"/>
            <w:tcBorders>
              <w:top w:val="single" w:sz="4" w:space="0" w:color="000000"/>
              <w:left w:val="single" w:sz="4" w:space="0" w:color="000000"/>
              <w:bottom w:val="single" w:sz="4" w:space="0" w:color="000000"/>
              <w:right w:val="single" w:sz="4" w:space="0" w:color="000000"/>
            </w:tcBorders>
            <w:hideMark/>
          </w:tcPr>
          <w:p w14:paraId="6429DBE9" w14:textId="77777777" w:rsidR="004976E4" w:rsidRPr="009A49AE" w:rsidRDefault="004976E4" w:rsidP="00F50578">
            <w:pPr>
              <w:spacing w:line="256" w:lineRule="auto"/>
              <w:ind w:right="42"/>
              <w:jc w:val="center"/>
              <w:rPr>
                <w:rFonts w:cstheme="minorHAnsi"/>
                <w:color w:val="000000"/>
              </w:rPr>
            </w:pPr>
            <w:r w:rsidRPr="009A49AE">
              <w:rPr>
                <w:rFonts w:cstheme="minorHAnsi"/>
                <w:color w:val="000000"/>
              </w:rPr>
              <w:t xml:space="preserve">3 </w:t>
            </w:r>
          </w:p>
        </w:tc>
      </w:tr>
      <w:tr w:rsidR="004976E4" w14:paraId="511BBE20" w14:textId="77777777" w:rsidTr="00F50578">
        <w:trPr>
          <w:trHeight w:val="290"/>
        </w:trPr>
        <w:tc>
          <w:tcPr>
            <w:tcW w:w="810" w:type="dxa"/>
            <w:tcBorders>
              <w:top w:val="single" w:sz="4" w:space="0" w:color="000000"/>
              <w:left w:val="single" w:sz="4" w:space="0" w:color="000000"/>
              <w:bottom w:val="single" w:sz="4" w:space="0" w:color="000000"/>
              <w:right w:val="single" w:sz="4" w:space="0" w:color="000000"/>
            </w:tcBorders>
            <w:hideMark/>
          </w:tcPr>
          <w:p w14:paraId="07E616A1" w14:textId="77777777" w:rsidR="004976E4" w:rsidRDefault="004976E4" w:rsidP="00F50578">
            <w:pPr>
              <w:spacing w:line="256" w:lineRule="auto"/>
              <w:ind w:right="45"/>
              <w:jc w:val="right"/>
              <w:rPr>
                <w:rFonts w:ascii="Times New Roman" w:hAnsi="Times New Roman"/>
                <w:color w:val="000000"/>
              </w:rPr>
            </w:pPr>
            <w:r>
              <w:rPr>
                <w:rFonts w:ascii="Times New Roman" w:hAnsi="Times New Roman"/>
                <w:color w:val="000000"/>
              </w:rPr>
              <w:t xml:space="preserve">4. </w:t>
            </w:r>
          </w:p>
        </w:tc>
        <w:tc>
          <w:tcPr>
            <w:tcW w:w="3685" w:type="dxa"/>
            <w:tcBorders>
              <w:top w:val="single" w:sz="4" w:space="0" w:color="000000"/>
              <w:left w:val="single" w:sz="4" w:space="0" w:color="000000"/>
              <w:bottom w:val="single" w:sz="4" w:space="0" w:color="000000"/>
              <w:right w:val="single" w:sz="4" w:space="0" w:color="000000"/>
            </w:tcBorders>
            <w:hideMark/>
          </w:tcPr>
          <w:p w14:paraId="20FEDAA8" w14:textId="77777777" w:rsidR="004976E4" w:rsidRPr="009A49AE" w:rsidRDefault="004976E4" w:rsidP="00F50578">
            <w:pPr>
              <w:spacing w:line="256" w:lineRule="auto"/>
              <w:rPr>
                <w:rFonts w:cstheme="minorHAnsi"/>
                <w:color w:val="000000"/>
              </w:rPr>
            </w:pPr>
            <w:r w:rsidRPr="009A49AE">
              <w:rPr>
                <w:rFonts w:cstheme="minorHAnsi"/>
                <w:color w:val="000000"/>
              </w:rPr>
              <w:t xml:space="preserve">Veleučilište </w:t>
            </w:r>
          </w:p>
        </w:tc>
        <w:tc>
          <w:tcPr>
            <w:tcW w:w="2244" w:type="dxa"/>
            <w:tcBorders>
              <w:top w:val="single" w:sz="4" w:space="0" w:color="000000"/>
              <w:left w:val="single" w:sz="4" w:space="0" w:color="000000"/>
              <w:bottom w:val="single" w:sz="4" w:space="0" w:color="000000"/>
              <w:right w:val="single" w:sz="4" w:space="0" w:color="000000"/>
            </w:tcBorders>
            <w:hideMark/>
          </w:tcPr>
          <w:p w14:paraId="6C173366" w14:textId="77777777" w:rsidR="004976E4" w:rsidRPr="009A49AE" w:rsidRDefault="004976E4" w:rsidP="00F50578">
            <w:pPr>
              <w:spacing w:line="256" w:lineRule="auto"/>
              <w:ind w:right="43"/>
              <w:jc w:val="center"/>
              <w:rPr>
                <w:rFonts w:cstheme="minorHAnsi"/>
                <w:color w:val="000000"/>
              </w:rPr>
            </w:pPr>
            <w:r w:rsidRPr="009A49AE">
              <w:rPr>
                <w:rFonts w:cstheme="minorHAnsi"/>
                <w:color w:val="000000"/>
              </w:rPr>
              <w:t xml:space="preserve">4 </w:t>
            </w:r>
          </w:p>
        </w:tc>
      </w:tr>
      <w:tr w:rsidR="004976E4" w14:paraId="21549B90" w14:textId="77777777" w:rsidTr="00F50578">
        <w:trPr>
          <w:trHeight w:val="293"/>
        </w:trPr>
        <w:tc>
          <w:tcPr>
            <w:tcW w:w="810" w:type="dxa"/>
            <w:tcBorders>
              <w:top w:val="single" w:sz="4" w:space="0" w:color="000000"/>
              <w:left w:val="single" w:sz="4" w:space="0" w:color="000000"/>
              <w:bottom w:val="single" w:sz="4" w:space="0" w:color="000000"/>
              <w:right w:val="single" w:sz="4" w:space="0" w:color="000000"/>
            </w:tcBorders>
            <w:hideMark/>
          </w:tcPr>
          <w:p w14:paraId="3059A505" w14:textId="77777777" w:rsidR="004976E4" w:rsidRDefault="004976E4" w:rsidP="00F50578">
            <w:pPr>
              <w:spacing w:line="256" w:lineRule="auto"/>
              <w:ind w:right="45"/>
              <w:jc w:val="right"/>
              <w:rPr>
                <w:rFonts w:ascii="Times New Roman" w:hAnsi="Times New Roman"/>
                <w:color w:val="000000"/>
              </w:rPr>
            </w:pPr>
            <w:r>
              <w:rPr>
                <w:rFonts w:ascii="Times New Roman" w:hAnsi="Times New Roman"/>
                <w:color w:val="000000"/>
              </w:rPr>
              <w:t xml:space="preserve">5. </w:t>
            </w:r>
          </w:p>
        </w:tc>
        <w:tc>
          <w:tcPr>
            <w:tcW w:w="3685" w:type="dxa"/>
            <w:tcBorders>
              <w:top w:val="single" w:sz="4" w:space="0" w:color="000000"/>
              <w:left w:val="single" w:sz="4" w:space="0" w:color="000000"/>
              <w:bottom w:val="single" w:sz="4" w:space="0" w:color="000000"/>
              <w:right w:val="single" w:sz="4" w:space="0" w:color="000000"/>
            </w:tcBorders>
            <w:hideMark/>
          </w:tcPr>
          <w:p w14:paraId="7A1C9105" w14:textId="77777777" w:rsidR="004976E4" w:rsidRPr="009A49AE" w:rsidRDefault="004976E4" w:rsidP="00F50578">
            <w:pPr>
              <w:spacing w:line="256" w:lineRule="auto"/>
              <w:rPr>
                <w:rFonts w:cstheme="minorHAnsi"/>
                <w:color w:val="000000"/>
              </w:rPr>
            </w:pPr>
            <w:r w:rsidRPr="009A49AE">
              <w:rPr>
                <w:rFonts w:cstheme="minorHAnsi"/>
                <w:color w:val="000000"/>
              </w:rPr>
              <w:t xml:space="preserve">Visoka škola </w:t>
            </w:r>
          </w:p>
        </w:tc>
        <w:tc>
          <w:tcPr>
            <w:tcW w:w="2244" w:type="dxa"/>
            <w:tcBorders>
              <w:top w:val="single" w:sz="4" w:space="0" w:color="000000"/>
              <w:left w:val="single" w:sz="4" w:space="0" w:color="000000"/>
              <w:bottom w:val="single" w:sz="4" w:space="0" w:color="000000"/>
              <w:right w:val="single" w:sz="4" w:space="0" w:color="000000"/>
            </w:tcBorders>
            <w:hideMark/>
          </w:tcPr>
          <w:p w14:paraId="34F475B6" w14:textId="77777777" w:rsidR="004976E4" w:rsidRPr="009A49AE" w:rsidRDefault="004976E4" w:rsidP="00F50578">
            <w:pPr>
              <w:spacing w:line="256" w:lineRule="auto"/>
              <w:ind w:right="42"/>
              <w:jc w:val="center"/>
              <w:rPr>
                <w:rFonts w:cstheme="minorHAnsi"/>
                <w:color w:val="000000"/>
              </w:rPr>
            </w:pPr>
            <w:r w:rsidRPr="009A49AE">
              <w:rPr>
                <w:rFonts w:cstheme="minorHAnsi"/>
                <w:color w:val="000000"/>
              </w:rPr>
              <w:t xml:space="preserve">10 </w:t>
            </w:r>
          </w:p>
        </w:tc>
      </w:tr>
      <w:tr w:rsidR="004976E4" w14:paraId="1711B727" w14:textId="77777777" w:rsidTr="00F50578">
        <w:trPr>
          <w:trHeight w:val="290"/>
        </w:trPr>
        <w:tc>
          <w:tcPr>
            <w:tcW w:w="810" w:type="dxa"/>
            <w:tcBorders>
              <w:top w:val="single" w:sz="4" w:space="0" w:color="000000"/>
              <w:left w:val="single" w:sz="4" w:space="0" w:color="000000"/>
              <w:bottom w:val="single" w:sz="4" w:space="0" w:color="000000"/>
              <w:right w:val="single" w:sz="4" w:space="0" w:color="000000"/>
            </w:tcBorders>
            <w:hideMark/>
          </w:tcPr>
          <w:p w14:paraId="45E0B1FD" w14:textId="77777777" w:rsidR="004976E4" w:rsidRDefault="004976E4" w:rsidP="00F50578">
            <w:pPr>
              <w:spacing w:line="256" w:lineRule="auto"/>
              <w:jc w:val="right"/>
              <w:rPr>
                <w:rFonts w:ascii="Times New Roman" w:hAnsi="Times New Roman"/>
                <w:color w:val="000000"/>
              </w:rPr>
            </w:pPr>
            <w:r>
              <w:rPr>
                <w:rFonts w:ascii="Times New Roman" w:hAnsi="Times New Roman"/>
                <w:color w:val="000000"/>
              </w:rPr>
              <w:t xml:space="preserve"> </w:t>
            </w:r>
          </w:p>
        </w:tc>
        <w:tc>
          <w:tcPr>
            <w:tcW w:w="3685" w:type="dxa"/>
            <w:tcBorders>
              <w:top w:val="single" w:sz="4" w:space="0" w:color="000000"/>
              <w:left w:val="single" w:sz="4" w:space="0" w:color="000000"/>
              <w:bottom w:val="single" w:sz="4" w:space="0" w:color="000000"/>
              <w:right w:val="single" w:sz="4" w:space="0" w:color="000000"/>
            </w:tcBorders>
            <w:hideMark/>
          </w:tcPr>
          <w:p w14:paraId="5819061C" w14:textId="77777777" w:rsidR="004976E4" w:rsidRPr="009A49AE" w:rsidRDefault="004976E4" w:rsidP="00F50578">
            <w:pPr>
              <w:spacing w:line="256" w:lineRule="auto"/>
              <w:rPr>
                <w:rFonts w:cstheme="minorHAnsi"/>
                <w:color w:val="000000"/>
              </w:rPr>
            </w:pPr>
            <w:r w:rsidRPr="009A49AE">
              <w:rPr>
                <w:rFonts w:cstheme="minorHAnsi"/>
                <w:color w:val="000000"/>
              </w:rPr>
              <w:t xml:space="preserve">UKUPNO </w:t>
            </w:r>
          </w:p>
        </w:tc>
        <w:tc>
          <w:tcPr>
            <w:tcW w:w="2244" w:type="dxa"/>
            <w:tcBorders>
              <w:top w:val="single" w:sz="4" w:space="0" w:color="000000"/>
              <w:left w:val="single" w:sz="4" w:space="0" w:color="000000"/>
              <w:bottom w:val="single" w:sz="4" w:space="0" w:color="000000"/>
              <w:right w:val="single" w:sz="4" w:space="0" w:color="000000"/>
            </w:tcBorders>
            <w:hideMark/>
          </w:tcPr>
          <w:p w14:paraId="530C39C9" w14:textId="77777777" w:rsidR="004976E4" w:rsidRPr="009A49AE" w:rsidRDefault="004976E4" w:rsidP="00F50578">
            <w:pPr>
              <w:spacing w:line="256" w:lineRule="auto"/>
              <w:ind w:right="44"/>
              <w:jc w:val="center"/>
              <w:rPr>
                <w:rFonts w:cstheme="minorHAnsi"/>
                <w:color w:val="000000"/>
              </w:rPr>
            </w:pPr>
            <w:r w:rsidRPr="009A49AE">
              <w:rPr>
                <w:rFonts w:cstheme="minorHAnsi"/>
                <w:color w:val="000000"/>
              </w:rPr>
              <w:t xml:space="preserve">50 </w:t>
            </w:r>
          </w:p>
        </w:tc>
      </w:tr>
    </w:tbl>
    <w:p w14:paraId="1DAC128F" w14:textId="77777777" w:rsidR="004976E4" w:rsidRPr="00BA797C" w:rsidRDefault="004976E4" w:rsidP="004976E4">
      <w:pPr>
        <w:autoSpaceDE w:val="0"/>
        <w:autoSpaceDN w:val="0"/>
        <w:adjustRightInd w:val="0"/>
        <w:spacing w:line="240" w:lineRule="auto"/>
        <w:jc w:val="both"/>
        <w:rPr>
          <w:rFonts w:cs="Calibri"/>
          <w:sz w:val="20"/>
          <w:szCs w:val="20"/>
        </w:rPr>
      </w:pPr>
      <w:r w:rsidRPr="00BA797C">
        <w:rPr>
          <w:rFonts w:cs="Calibri"/>
          <w:sz w:val="20"/>
          <w:szCs w:val="20"/>
        </w:rPr>
        <w:t>Izvor: MZO (www.mzo.hr, 03.09.2020.)</w:t>
      </w:r>
    </w:p>
    <w:p w14:paraId="6D50C50C" w14:textId="77777777" w:rsidR="004976E4" w:rsidRPr="00BA797C" w:rsidRDefault="004976E4" w:rsidP="004976E4">
      <w:pPr>
        <w:spacing w:line="240" w:lineRule="auto"/>
        <w:jc w:val="both"/>
        <w:rPr>
          <w:rFonts w:cs="Calibri"/>
          <w:b/>
          <w:sz w:val="20"/>
          <w:szCs w:val="20"/>
        </w:rPr>
      </w:pPr>
      <w:r w:rsidRPr="00BA797C">
        <w:rPr>
          <w:rFonts w:cs="Calibri"/>
          <w:sz w:val="20"/>
          <w:szCs w:val="20"/>
        </w:rPr>
        <w:t>*Sveučilište Algebra je u osnivanju.</w:t>
      </w:r>
      <w:bookmarkStart w:id="28" w:name="_Hlk52877392"/>
    </w:p>
    <w:p w14:paraId="121F1511" w14:textId="1E056282" w:rsidR="004976E4" w:rsidRPr="00BA797C" w:rsidRDefault="004976E4" w:rsidP="004976E4">
      <w:pPr>
        <w:spacing w:line="240" w:lineRule="auto"/>
        <w:jc w:val="both"/>
        <w:rPr>
          <w:rFonts w:cs="Calibri"/>
          <w:b/>
        </w:rPr>
      </w:pPr>
      <w:r>
        <w:rPr>
          <w:rFonts w:cs="Calibri"/>
          <w:b/>
        </w:rPr>
        <w:t>Znanost</w:t>
      </w:r>
      <w:r w:rsidR="00BA797C">
        <w:rPr>
          <w:rFonts w:cs="Calibri"/>
          <w:b/>
        </w:rPr>
        <w:t xml:space="preserve">. </w:t>
      </w:r>
      <w:r>
        <w:rPr>
          <w:rFonts w:cs="Calibri"/>
          <w:bCs/>
        </w:rPr>
        <w:t>Znanstveno-istraživačke organizacije su javni instituti u vlasništvu države (u Zagrebu ih je 34), instituti na fakultetima ili znanstvene jedinice u okviru poduzeća. U Zagrebu je i sjedište HAZU - Hrvatske akademije znanosti i umjetnosti koju je 1866. osnovao đakovački biskup Josip Juraj Strossmayer. Unatoč velikom broju znanstvenih institucija i zavidnom znanstvenom potencijalu u Zagrebu, veze između pojedinih znanstvenih institucija, te njih i Sveučilišta, kao i Grada Zagreba, na zajedničkoj realizaciji strateških razvojnih programa je izuzetno slaba kao što je naglašena slaba povezanost  i s gospodarstvom na području Grada. Sustav znanosti Sveučilišta u Zagrebu organiziran je temeljem visoke autonomije istraživača što posljedično rezultira iznimno raznovrsnim područjima djelovanja. Tako su znanstvenici Sveučilišta u Zagrebu u 2019. godini objavili preko 4000 znanstvenih radova, što čini polovicu ukupne znanstvene produkcije u Hrvatskoj, te su ti radovi kategorizirani u 233 (od ukupno 252) istraživačka područja. Sveučilište u Zagrebu također je sudjelovalo u 106 Obzor 2020 projekata, što čini 22% svih Obzor 2020 projekata u Hrvatskoj, odnosno 80% projekata svih hrvatskih sveučilišta.  U okviru Europskog fonda za regionalni razvoj Sveučilište sudjeluje u 108 projekata iz linija financiranja:  Znanstveni centri izvrsnosti, Ulaganje u organizacijsku reformu i infrastrukturu u sektoru IRI (istraživanje/razvoj/inovacije), Ulaganje u znanost i inovacije, Sinergija H2020 &amp; ESIF (Twinning &amp; ERA Chairs), Povećanje razvoja novih proizvoda i usluga koji proizlaze iz aktivnosti IRI čime se doprinosi jačanju kapaciteta poduzeća za istraživanje, razvoj i inovacije, kroz poticanje njihove suradnje s organizacijama za istraživanje i širenje znanja. Upravo ovakva struktura predstavlja snažan potencijal za razvoj suradnje sa Gradom Zagrebom u smislu stručnih i razvojnih projekata kojima je moguće osigurati razvoj grada korištenjem najsuvremenijih znanstvenih postignuća. Jedan od takvih projekata je i projekt razvoja Europskoga sveučilišta postindustrijskih gradova – UNIC u kojem je Sveučilište u Zagrebu jedno od osam odabranih sveučilišta koja sudjeluju u oblikovanju novih transnacionalnih saveza koji će funkcionirati kao europska sveučilišta koje je odabrala i financijski podržava Europska komisija. Kroz aktivnosti Gradski laboratoriji (City Labs) kreirati će se prostori za razmjenu znanja unutar gradova u kojima djeluju UNIC sveučilišta, s ciljem osiguranja utjecaja sveučilišta na preobrazbu gradova koji su izgubili nekadašnje značenje u klasičnim industrijama.</w:t>
      </w:r>
    </w:p>
    <w:tbl>
      <w:tblPr>
        <w:tblW w:w="9660" w:type="dxa"/>
        <w:jc w:val="center"/>
        <w:tblLayout w:type="fixed"/>
        <w:tblLook w:val="04A0" w:firstRow="1" w:lastRow="0" w:firstColumn="1" w:lastColumn="0" w:noHBand="0" w:noVBand="1"/>
      </w:tblPr>
      <w:tblGrid>
        <w:gridCol w:w="4829"/>
        <w:gridCol w:w="4831"/>
      </w:tblGrid>
      <w:tr w:rsidR="004976E4" w14:paraId="28E5E40D" w14:textId="77777777" w:rsidTr="00F50578">
        <w:trPr>
          <w:trHeight w:val="437"/>
          <w:jc w:val="center"/>
        </w:trPr>
        <w:tc>
          <w:tcPr>
            <w:tcW w:w="4829" w:type="dxa"/>
            <w:shd w:val="clear" w:color="auto" w:fill="D9D9D9"/>
            <w:vAlign w:val="center"/>
            <w:hideMark/>
          </w:tcPr>
          <w:p w14:paraId="38A216EB" w14:textId="77777777" w:rsidR="004976E4" w:rsidRDefault="004976E4" w:rsidP="00F50578">
            <w:pPr>
              <w:pStyle w:val="StandardWeb"/>
              <w:spacing w:before="0" w:beforeAutospacing="0" w:after="0" w:afterAutospacing="0"/>
              <w:rPr>
                <w:rFonts w:ascii="Calibri" w:hAnsi="Calibri" w:cs="Calibri"/>
                <w:b/>
                <w:sz w:val="18"/>
                <w:szCs w:val="18"/>
              </w:rPr>
            </w:pPr>
            <w:r>
              <w:rPr>
                <w:rFonts w:ascii="Calibri" w:hAnsi="Calibri" w:cs="Calibri"/>
                <w:b/>
                <w:sz w:val="18"/>
                <w:szCs w:val="18"/>
              </w:rPr>
              <w:t>RAZVOJNI PROBLEMI</w:t>
            </w:r>
          </w:p>
        </w:tc>
        <w:tc>
          <w:tcPr>
            <w:tcW w:w="4831" w:type="dxa"/>
            <w:shd w:val="clear" w:color="auto" w:fill="99CCFF"/>
            <w:vAlign w:val="center"/>
            <w:hideMark/>
          </w:tcPr>
          <w:p w14:paraId="3D560AB7" w14:textId="77777777" w:rsidR="004976E4" w:rsidRDefault="004976E4" w:rsidP="00F50578">
            <w:pPr>
              <w:pStyle w:val="StandardWeb"/>
              <w:spacing w:before="0" w:beforeAutospacing="0" w:after="0" w:afterAutospacing="0"/>
              <w:rPr>
                <w:rFonts w:ascii="Calibri" w:hAnsi="Calibri" w:cs="Calibri"/>
                <w:b/>
                <w:sz w:val="18"/>
                <w:szCs w:val="18"/>
              </w:rPr>
            </w:pPr>
            <w:r>
              <w:rPr>
                <w:rFonts w:ascii="Calibri" w:hAnsi="Calibri" w:cs="Calibri"/>
                <w:b/>
                <w:sz w:val="18"/>
                <w:szCs w:val="18"/>
              </w:rPr>
              <w:t>RAZVOJNE POTREBE</w:t>
            </w:r>
          </w:p>
        </w:tc>
      </w:tr>
      <w:tr w:rsidR="004976E4" w14:paraId="4C74E5BC" w14:textId="77777777" w:rsidTr="00F50578">
        <w:trPr>
          <w:trHeight w:val="1390"/>
          <w:jc w:val="center"/>
        </w:trPr>
        <w:tc>
          <w:tcPr>
            <w:tcW w:w="4829" w:type="dxa"/>
            <w:shd w:val="clear" w:color="auto" w:fill="D9D9D9"/>
            <w:hideMark/>
          </w:tcPr>
          <w:p w14:paraId="105CEB7E" w14:textId="0B3A92FF" w:rsidR="004976E4" w:rsidRPr="00655639" w:rsidRDefault="00DE64A0" w:rsidP="00165C16">
            <w:pPr>
              <w:pStyle w:val="StandardWeb"/>
              <w:numPr>
                <w:ilvl w:val="0"/>
                <w:numId w:val="14"/>
              </w:numPr>
              <w:spacing w:before="60" w:beforeAutospacing="0" w:after="60" w:afterAutospacing="0"/>
              <w:ind w:right="-2"/>
              <w:rPr>
                <w:rFonts w:ascii="Calibri" w:hAnsi="Calibri" w:cs="Calibri"/>
                <w:sz w:val="18"/>
                <w:szCs w:val="18"/>
              </w:rPr>
            </w:pPr>
            <w:r w:rsidRPr="00DE64A0">
              <w:rPr>
                <w:rFonts w:ascii="Calibri" w:hAnsi="Calibri" w:cs="Calibri"/>
                <w:sz w:val="18"/>
                <w:szCs w:val="18"/>
              </w:rPr>
              <w:t>lokacijska raspršenost sastavnica sveučilišta</w:t>
            </w:r>
            <w:r w:rsidR="00625439">
              <w:rPr>
                <w:rFonts w:ascii="Calibri" w:hAnsi="Calibri" w:cs="Calibri"/>
                <w:sz w:val="18"/>
                <w:szCs w:val="18"/>
              </w:rPr>
              <w:t>, n</w:t>
            </w:r>
            <w:r w:rsidR="004976E4" w:rsidRPr="00655639">
              <w:rPr>
                <w:rFonts w:ascii="Calibri" w:hAnsi="Calibri" w:cs="Calibri"/>
                <w:sz w:val="18"/>
                <w:szCs w:val="18"/>
              </w:rPr>
              <w:t>edostatni i/ili neodgovarajući prostorni i kadrovski kapaciteti na fakultetima (nastava se na pojedinim fakultetima odvija na 5-10 različitih lokacija)</w:t>
            </w:r>
          </w:p>
          <w:p w14:paraId="57C2F9A5" w14:textId="06C55D36" w:rsidR="004976E4" w:rsidRPr="00655639" w:rsidRDefault="00625439"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v</w:t>
            </w:r>
            <w:r w:rsidR="004976E4" w:rsidRPr="00655639">
              <w:rPr>
                <w:rFonts w:ascii="Calibri" w:hAnsi="Calibri" w:cs="Calibri"/>
                <w:sz w:val="18"/>
                <w:szCs w:val="18"/>
              </w:rPr>
              <w:t>eze znanosti i industrije su izrazito slabe</w:t>
            </w:r>
          </w:p>
          <w:p w14:paraId="6DF0039C" w14:textId="73F450A5" w:rsidR="004976E4" w:rsidRPr="00655639" w:rsidRDefault="00625439"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s</w:t>
            </w:r>
            <w:r w:rsidR="004976E4" w:rsidRPr="00655639">
              <w:rPr>
                <w:rFonts w:ascii="Calibri" w:hAnsi="Calibri" w:cs="Calibri"/>
                <w:sz w:val="18"/>
                <w:szCs w:val="18"/>
              </w:rPr>
              <w:t xml:space="preserve">uradnja Grada Zagreba i visokoškolskih ustanova i znanstvenih institucija u Zagrebu u svrhu radi unapređivanja gospodarskog i društvenog razvoja grada je nedostatna </w:t>
            </w:r>
          </w:p>
          <w:p w14:paraId="2BC75B41" w14:textId="354892F7" w:rsidR="004976E4" w:rsidRPr="00655639" w:rsidRDefault="00625439"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sidRPr="00655639">
              <w:rPr>
                <w:rFonts w:ascii="Calibri" w:hAnsi="Calibri" w:cs="Calibri"/>
                <w:sz w:val="18"/>
                <w:szCs w:val="18"/>
              </w:rPr>
              <w:t>edostatan smještaj za studente koji su došli na studij u Zagreb iz drugih mjesta</w:t>
            </w:r>
            <w:r>
              <w:rPr>
                <w:rFonts w:ascii="Calibri" w:hAnsi="Calibri" w:cs="Calibri"/>
                <w:sz w:val="18"/>
                <w:szCs w:val="18"/>
              </w:rPr>
              <w:t xml:space="preserve"> (s</w:t>
            </w:r>
            <w:r w:rsidR="004976E4" w:rsidRPr="00655639">
              <w:rPr>
                <w:rFonts w:ascii="Calibri" w:hAnsi="Calibri" w:cs="Calibri"/>
                <w:sz w:val="18"/>
                <w:szCs w:val="18"/>
              </w:rPr>
              <w:t>mještaj</w:t>
            </w:r>
            <w:r w:rsidR="00525EBD">
              <w:rPr>
                <w:rFonts w:ascii="Calibri" w:hAnsi="Calibri" w:cs="Calibri"/>
                <w:sz w:val="18"/>
                <w:szCs w:val="18"/>
              </w:rPr>
              <w:t xml:space="preserve">ni objekti </w:t>
            </w:r>
            <w:r w:rsidR="004976E4" w:rsidRPr="00655639">
              <w:rPr>
                <w:rFonts w:ascii="Calibri" w:hAnsi="Calibri" w:cs="Calibri"/>
                <w:sz w:val="18"/>
                <w:szCs w:val="18"/>
              </w:rPr>
              <w:t xml:space="preserve"> studenata u Zagrebu </w:t>
            </w:r>
            <w:r w:rsidR="00525EBD">
              <w:rPr>
                <w:rFonts w:ascii="Calibri" w:hAnsi="Calibri" w:cs="Calibri"/>
                <w:sz w:val="18"/>
                <w:szCs w:val="18"/>
              </w:rPr>
              <w:t>su</w:t>
            </w:r>
            <w:r w:rsidR="004976E4" w:rsidRPr="00655639">
              <w:rPr>
                <w:rFonts w:ascii="Calibri" w:hAnsi="Calibri" w:cs="Calibri"/>
                <w:sz w:val="18"/>
                <w:szCs w:val="18"/>
              </w:rPr>
              <w:t xml:space="preserve"> izrazito po</w:t>
            </w:r>
            <w:r w:rsidR="004976E4">
              <w:rPr>
                <w:rFonts w:ascii="Calibri" w:hAnsi="Calibri" w:cs="Calibri"/>
                <w:sz w:val="18"/>
                <w:szCs w:val="18"/>
              </w:rPr>
              <w:t>t</w:t>
            </w:r>
            <w:r w:rsidR="004976E4" w:rsidRPr="00655639">
              <w:rPr>
                <w:rFonts w:ascii="Calibri" w:hAnsi="Calibri" w:cs="Calibri"/>
                <w:sz w:val="18"/>
                <w:szCs w:val="18"/>
              </w:rPr>
              <w:t>kapacitiran</w:t>
            </w:r>
            <w:r w:rsidR="00525EBD">
              <w:rPr>
                <w:rFonts w:ascii="Calibri" w:hAnsi="Calibri" w:cs="Calibri"/>
                <w:sz w:val="18"/>
                <w:szCs w:val="18"/>
              </w:rPr>
              <w:t>i</w:t>
            </w:r>
            <w:r w:rsidR="004976E4" w:rsidRPr="00655639">
              <w:rPr>
                <w:rFonts w:ascii="Calibri" w:hAnsi="Calibri" w:cs="Calibri"/>
                <w:sz w:val="18"/>
                <w:szCs w:val="18"/>
              </w:rPr>
              <w:t>, a privatni kapaciteti su pretvoreni u najam za turističke namjene</w:t>
            </w:r>
            <w:r>
              <w:rPr>
                <w:rFonts w:ascii="Calibri" w:hAnsi="Calibri" w:cs="Calibri"/>
                <w:sz w:val="18"/>
                <w:szCs w:val="18"/>
              </w:rPr>
              <w:t>)</w:t>
            </w:r>
          </w:p>
          <w:p w14:paraId="1A048F87" w14:textId="27111578" w:rsidR="004976E4" w:rsidRPr="00655639" w:rsidRDefault="00625439"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m</w:t>
            </w:r>
            <w:r w:rsidR="004976E4" w:rsidRPr="00655639">
              <w:rPr>
                <w:rFonts w:ascii="Calibri" w:hAnsi="Calibri" w:cs="Calibri"/>
                <w:sz w:val="18"/>
                <w:szCs w:val="18"/>
              </w:rPr>
              <w:t>eđunarodna suradnja, iako se provodi i na Sveučilištu i u okviru pojedinih znanstvenih instituta, je nedostatna s aspekta mogućnosti i potreba</w:t>
            </w:r>
          </w:p>
          <w:p w14:paraId="3C02E963" w14:textId="78EB3F42" w:rsidR="004976E4" w:rsidRPr="00655639" w:rsidRDefault="00625439"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c</w:t>
            </w:r>
            <w:r w:rsidR="004976E4" w:rsidRPr="00655639">
              <w:rPr>
                <w:rFonts w:ascii="Calibri" w:hAnsi="Calibri" w:cs="Calibri"/>
                <w:sz w:val="18"/>
                <w:szCs w:val="18"/>
              </w:rPr>
              <w:t>jeloživotno učenje prepušteno je većim dijelom privatnoj inicijativi</w:t>
            </w:r>
          </w:p>
          <w:p w14:paraId="56C04F68" w14:textId="7B464D79" w:rsidR="004976E4" w:rsidRPr="00655639" w:rsidRDefault="00F33EB1"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d</w:t>
            </w:r>
            <w:r w:rsidR="004976E4" w:rsidRPr="00655639">
              <w:rPr>
                <w:rFonts w:ascii="Calibri" w:hAnsi="Calibri" w:cs="Calibri"/>
                <w:sz w:val="18"/>
                <w:szCs w:val="18"/>
              </w:rPr>
              <w:t>igitalizacija sveučilišnih procesa i obuka stručnog osoblja zaostaje za suvremenim potrebama i okolnostima</w:t>
            </w:r>
          </w:p>
          <w:p w14:paraId="2AB33DD2" w14:textId="35AB25F9" w:rsidR="004976E4" w:rsidRPr="00655639" w:rsidRDefault="00F33EB1"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sidRPr="00655639">
              <w:rPr>
                <w:rFonts w:ascii="Calibri" w:hAnsi="Calibri" w:cs="Calibri"/>
                <w:sz w:val="18"/>
                <w:szCs w:val="18"/>
              </w:rPr>
              <w:t>edostatak kvalitetnih i pravovremenih (realnih) statističkih i prostornih podataka, njihove pohrane, vizualizacije i (javne) dostupnosti</w:t>
            </w:r>
          </w:p>
          <w:p w14:paraId="3957707D" w14:textId="0763E29B" w:rsidR="004976E4" w:rsidRPr="00655639" w:rsidRDefault="00F33EB1"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s</w:t>
            </w:r>
            <w:r w:rsidR="004976E4" w:rsidRPr="00655639">
              <w:rPr>
                <w:rFonts w:ascii="Calibri" w:hAnsi="Calibri" w:cs="Calibri"/>
                <w:sz w:val="18"/>
                <w:szCs w:val="18"/>
              </w:rPr>
              <w:t>veučilišne zgrade su uglavnom starije i energetski neučinkovite te ne postoji održivi sustav njihovim upravljanjem</w:t>
            </w:r>
          </w:p>
          <w:p w14:paraId="6A834506" w14:textId="7353CDB6" w:rsidR="004976E4" w:rsidRPr="00655639" w:rsidRDefault="00F33EB1"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sidRPr="00655639">
              <w:rPr>
                <w:rFonts w:ascii="Calibri" w:hAnsi="Calibri" w:cs="Calibri"/>
                <w:sz w:val="18"/>
                <w:szCs w:val="18"/>
              </w:rPr>
              <w:t>ije uspostavljen (jedinstveni) sustav održivog gospodarenja otpadom na svim sveučilišnim sastavnicama</w:t>
            </w:r>
          </w:p>
          <w:p w14:paraId="48FBDA4F" w14:textId="50257B5E" w:rsidR="004976E4" w:rsidRPr="00655639" w:rsidRDefault="00F33EB1"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s</w:t>
            </w:r>
            <w:r w:rsidR="004976E4" w:rsidRPr="00655639">
              <w:rPr>
                <w:rFonts w:ascii="Calibri" w:hAnsi="Calibri" w:cs="Calibri"/>
                <w:sz w:val="18"/>
                <w:szCs w:val="18"/>
              </w:rPr>
              <w:t>tudentska prehrana uglavnom ne zadovoljava nutricionističke preporuke i nije prilagođena suvremenom načinu života i razvoju svijesti studenata.</w:t>
            </w:r>
          </w:p>
          <w:p w14:paraId="00F2EE75" w14:textId="505EF0D7" w:rsidR="004976E4" w:rsidRDefault="00F33EB1" w:rsidP="00165C16">
            <w:pPr>
              <w:pStyle w:val="StandardWeb"/>
              <w:numPr>
                <w:ilvl w:val="0"/>
                <w:numId w:val="14"/>
              </w:numPr>
              <w:spacing w:before="60" w:beforeAutospacing="0" w:after="60" w:afterAutospacing="0"/>
              <w:ind w:right="-2"/>
              <w:rPr>
                <w:rFonts w:ascii="Calibri" w:hAnsi="Calibri" w:cs="Calibri"/>
                <w:sz w:val="18"/>
                <w:szCs w:val="18"/>
              </w:rPr>
            </w:pPr>
            <w:r>
              <w:rPr>
                <w:rFonts w:ascii="Calibri" w:hAnsi="Calibri" w:cs="Calibri"/>
                <w:sz w:val="18"/>
                <w:szCs w:val="18"/>
              </w:rPr>
              <w:t>s</w:t>
            </w:r>
            <w:r w:rsidR="004976E4" w:rsidRPr="00655639">
              <w:rPr>
                <w:rFonts w:ascii="Calibri" w:hAnsi="Calibri" w:cs="Calibri"/>
                <w:sz w:val="18"/>
                <w:szCs w:val="18"/>
              </w:rPr>
              <w:t>tudijski programi i upisne kvote nisu usklađene s budućim potrebama društva i gospodarstva</w:t>
            </w:r>
          </w:p>
          <w:p w14:paraId="02B2A53F" w14:textId="77777777" w:rsidR="004976E4" w:rsidRDefault="004976E4" w:rsidP="00F50578">
            <w:pPr>
              <w:pStyle w:val="StandardWeb"/>
              <w:spacing w:before="60" w:beforeAutospacing="0" w:after="60" w:afterAutospacing="0"/>
              <w:ind w:right="-2"/>
              <w:rPr>
                <w:rFonts w:ascii="Calibri" w:hAnsi="Calibri" w:cs="Calibri"/>
                <w:sz w:val="18"/>
                <w:szCs w:val="18"/>
              </w:rPr>
            </w:pPr>
          </w:p>
        </w:tc>
        <w:tc>
          <w:tcPr>
            <w:tcW w:w="4831" w:type="dxa"/>
            <w:shd w:val="clear" w:color="auto" w:fill="99CCFF"/>
            <w:hideMark/>
          </w:tcPr>
          <w:p w14:paraId="2B22D8FE" w14:textId="38405B54" w:rsidR="00FD1CFC" w:rsidRDefault="00625439" w:rsidP="00FD1CFC">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g</w:t>
            </w:r>
            <w:r w:rsidR="004976E4" w:rsidRPr="00655639">
              <w:rPr>
                <w:rFonts w:ascii="Calibri" w:hAnsi="Calibri" w:cs="Calibri"/>
                <w:sz w:val="18"/>
                <w:szCs w:val="18"/>
              </w:rPr>
              <w:t xml:space="preserve">raditeljskim i prometnim zahvatima Sveučilište preurediti u skup od četiri ili pet prepoznatljivih policentričnih cjelina </w:t>
            </w:r>
            <w:r w:rsidR="00FD1CFC" w:rsidRPr="00655639">
              <w:rPr>
                <w:rFonts w:ascii="Calibri" w:hAnsi="Calibri" w:cs="Calibri"/>
                <w:sz w:val="18"/>
                <w:szCs w:val="18"/>
              </w:rPr>
              <w:t>(kampusa)</w:t>
            </w:r>
          </w:p>
          <w:p w14:paraId="1A7A11D8" w14:textId="30513BC8" w:rsidR="004976E4" w:rsidRPr="00BA606E" w:rsidRDefault="00625439" w:rsidP="00BA606E">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w:t>
            </w:r>
            <w:r w:rsidR="00BA606E" w:rsidRPr="00BA606E">
              <w:rPr>
                <w:rFonts w:ascii="Calibri" w:hAnsi="Calibri" w:cs="Calibri"/>
                <w:sz w:val="18"/>
                <w:szCs w:val="18"/>
              </w:rPr>
              <w:t>rediti i unaprijediti prostor kampusa Boro</w:t>
            </w:r>
            <w:r w:rsidR="00747EC9">
              <w:rPr>
                <w:rFonts w:ascii="Calibri" w:hAnsi="Calibri" w:cs="Calibri"/>
                <w:sz w:val="18"/>
                <w:szCs w:val="18"/>
              </w:rPr>
              <w:t>n</w:t>
            </w:r>
            <w:r w:rsidR="00BA606E" w:rsidRPr="00BA606E">
              <w:rPr>
                <w:rFonts w:ascii="Calibri" w:hAnsi="Calibri" w:cs="Calibri"/>
                <w:sz w:val="18"/>
                <w:szCs w:val="18"/>
              </w:rPr>
              <w:t>gaj po mjeri studenta</w:t>
            </w:r>
          </w:p>
          <w:p w14:paraId="580B5409" w14:textId="15B5B599" w:rsidR="004976E4" w:rsidRPr="00655639" w:rsidRDefault="00625439"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o</w:t>
            </w:r>
            <w:r w:rsidR="004976E4" w:rsidRPr="00655639">
              <w:rPr>
                <w:rFonts w:ascii="Calibri" w:hAnsi="Calibri" w:cs="Calibri"/>
                <w:sz w:val="18"/>
                <w:szCs w:val="18"/>
              </w:rPr>
              <w:t>snovati nove visoke škole (poslovne, financijske i inženjerske), u skladu s potrebama gospodarstva</w:t>
            </w:r>
          </w:p>
          <w:p w14:paraId="45A3B02D" w14:textId="43924B68" w:rsidR="004976E4" w:rsidRPr="00655639" w:rsidRDefault="00F33EB1"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o</w:t>
            </w:r>
            <w:r w:rsidR="004976E4" w:rsidRPr="00655639">
              <w:rPr>
                <w:rFonts w:ascii="Calibri" w:hAnsi="Calibri" w:cs="Calibri"/>
                <w:sz w:val="18"/>
                <w:szCs w:val="18"/>
              </w:rPr>
              <w:t xml:space="preserve">sigurati odgovarajuće prostorne i kadrovske uvjete i kapacitete na zagrebačkim fakultetima </w:t>
            </w:r>
          </w:p>
          <w:p w14:paraId="33AA9AD8" w14:textId="30E6FEAB" w:rsidR="004976E4" w:rsidRPr="00655639" w:rsidRDefault="00F33EB1"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j</w:t>
            </w:r>
            <w:r w:rsidR="004976E4" w:rsidRPr="00655639">
              <w:rPr>
                <w:rFonts w:ascii="Calibri" w:hAnsi="Calibri" w:cs="Calibri"/>
                <w:sz w:val="18"/>
                <w:szCs w:val="18"/>
              </w:rPr>
              <w:t xml:space="preserve">ačati suradnju zagrebačkih znanstvenih instituta, fakulteta, gospodarstva i uprave na razvojnim projektima </w:t>
            </w:r>
          </w:p>
          <w:p w14:paraId="33032AE9" w14:textId="1D2507A4" w:rsidR="004976E4" w:rsidRPr="00655639" w:rsidRDefault="00F33EB1"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j</w:t>
            </w:r>
            <w:r w:rsidR="004976E4" w:rsidRPr="00655639">
              <w:rPr>
                <w:rFonts w:ascii="Calibri" w:hAnsi="Calibri" w:cs="Calibri"/>
                <w:sz w:val="18"/>
                <w:szCs w:val="18"/>
              </w:rPr>
              <w:t>ačati međunarodnu suradnju na Sveučilištu</w:t>
            </w:r>
          </w:p>
          <w:p w14:paraId="1B91E957" w14:textId="70F6D98A" w:rsidR="004976E4" w:rsidRPr="00655639" w:rsidRDefault="00F33EB1"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j</w:t>
            </w:r>
            <w:r w:rsidR="004976E4" w:rsidRPr="00655639">
              <w:rPr>
                <w:rFonts w:ascii="Calibri" w:hAnsi="Calibri" w:cs="Calibri"/>
                <w:sz w:val="18"/>
                <w:szCs w:val="18"/>
              </w:rPr>
              <w:t>ačati suradnju zagrebačkih fakulteta s fakultetima u drugim županijama te u susjednim državama kao i suradnju s tijelima javne uprave (JLS, JRS) i s ostalim javnim institucijama (ne nužno samo u razvojnim projektima, već i u obliku savjetovanja, suradnje studenata tijekom izrade svojih istraživačkih radova i sl.)</w:t>
            </w:r>
          </w:p>
          <w:p w14:paraId="47B16707" w14:textId="16C83322" w:rsidR="004976E4" w:rsidRPr="00FE3F4A" w:rsidRDefault="00247AD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FE3F4A">
              <w:rPr>
                <w:rFonts w:ascii="Calibri" w:hAnsi="Calibri" w:cs="Calibri"/>
                <w:sz w:val="18"/>
                <w:szCs w:val="18"/>
              </w:rPr>
              <w:t>surađivati</w:t>
            </w:r>
            <w:r w:rsidR="004976E4" w:rsidRPr="00FE3F4A">
              <w:rPr>
                <w:rFonts w:ascii="Calibri" w:hAnsi="Calibri" w:cs="Calibri"/>
                <w:sz w:val="18"/>
                <w:szCs w:val="18"/>
              </w:rPr>
              <w:t xml:space="preserve"> s lokalnom zajednicom – otvorena vrata institucije za komunikaciju i zajedničke projekte, suživot s kvartom, prepoznavanje zajedničkih problema i ciljeva, zajedničke aktivnosti (čišćenje i održavanje okoliša, koncerti za kvart, aktivnosti artikuliranja specifičnih zajedničkih potreba, zajednička provedba aktivnosti Sveučilišta i Grada u razvoju Europskog sveučilišta postindustrijskih gradova, podrška u rješavanju problema kao npr. prometna povezanost kampusa Borongaj</w:t>
            </w:r>
            <w:r w:rsidRPr="00FE3F4A">
              <w:rPr>
                <w:rFonts w:ascii="Calibri" w:hAnsi="Calibri" w:cs="Calibri"/>
                <w:sz w:val="18"/>
                <w:szCs w:val="18"/>
              </w:rPr>
              <w:t xml:space="preserve"> </w:t>
            </w:r>
            <w:r w:rsidR="004976E4" w:rsidRPr="00FE3F4A">
              <w:rPr>
                <w:rFonts w:ascii="Calibri" w:hAnsi="Calibri" w:cs="Calibri"/>
                <w:sz w:val="18"/>
                <w:szCs w:val="18"/>
              </w:rPr>
              <w:t>=</w:t>
            </w:r>
            <w:r w:rsidRPr="00FE3F4A">
              <w:rPr>
                <w:rFonts w:ascii="Calibri" w:hAnsi="Calibri" w:cs="Calibri"/>
                <w:sz w:val="18"/>
                <w:szCs w:val="18"/>
              </w:rPr>
              <w:t xml:space="preserve"> </w:t>
            </w:r>
            <w:r w:rsidR="004976E4" w:rsidRPr="00FE3F4A">
              <w:rPr>
                <w:rFonts w:ascii="Calibri" w:hAnsi="Calibri" w:cs="Calibri"/>
                <w:sz w:val="18"/>
                <w:szCs w:val="18"/>
              </w:rPr>
              <w:t>javni prijevoz)</w:t>
            </w:r>
          </w:p>
          <w:p w14:paraId="7BCA48C3" w14:textId="105A1F11" w:rsidR="004976E4" w:rsidRPr="00655639" w:rsidRDefault="004033D3"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o</w:t>
            </w:r>
            <w:r w:rsidR="004976E4" w:rsidRPr="00655639">
              <w:rPr>
                <w:rFonts w:ascii="Calibri" w:hAnsi="Calibri" w:cs="Calibri"/>
                <w:sz w:val="18"/>
                <w:szCs w:val="18"/>
              </w:rPr>
              <w:t>sigurati smještaj rastućem broju studenata</w:t>
            </w:r>
          </w:p>
          <w:p w14:paraId="1A565D26" w14:textId="34EB441D" w:rsidR="004976E4" w:rsidRPr="00655639" w:rsidRDefault="004033D3"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o</w:t>
            </w:r>
            <w:r w:rsidR="004976E4" w:rsidRPr="00655639">
              <w:rPr>
                <w:rFonts w:ascii="Calibri" w:hAnsi="Calibri" w:cs="Calibri"/>
                <w:sz w:val="18"/>
                <w:szCs w:val="18"/>
              </w:rPr>
              <w:t xml:space="preserve">sigurati pristupačnost za osobe s invaliditetom </w:t>
            </w:r>
          </w:p>
          <w:p w14:paraId="7E403B77" w14:textId="78AFB72A" w:rsidR="004976E4" w:rsidRPr="00655639" w:rsidRDefault="004033D3"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j</w:t>
            </w:r>
            <w:r w:rsidR="004976E4" w:rsidRPr="00655639">
              <w:rPr>
                <w:rFonts w:ascii="Calibri" w:hAnsi="Calibri" w:cs="Calibri"/>
                <w:sz w:val="18"/>
                <w:szCs w:val="18"/>
              </w:rPr>
              <w:t>ačati svijest o značenju cjeloživotnog učenja te podržavati razvoj novih te djelovanje postojećih institucija na području grada koje ga promoviraju</w:t>
            </w:r>
          </w:p>
          <w:p w14:paraId="01363B12" w14:textId="77777777" w:rsidR="004976E4" w:rsidRPr="00655639" w:rsidRDefault="004976E4"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55639">
              <w:rPr>
                <w:rFonts w:ascii="Calibri" w:hAnsi="Calibri" w:cs="Calibri"/>
                <w:sz w:val="18"/>
                <w:szCs w:val="18"/>
              </w:rPr>
              <w:t>digitalizirati poslovne procese, prikupljanje i obradu podataka, obrasce, komunikaciju među sveučilišnim sastavnicama, administracijom i drugim javnim tijelima te nastavni proces i usluge</w:t>
            </w:r>
          </w:p>
          <w:p w14:paraId="1884D850" w14:textId="77777777" w:rsidR="004976E4" w:rsidRPr="00655639" w:rsidRDefault="004976E4"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55639">
              <w:rPr>
                <w:rFonts w:ascii="Calibri" w:hAnsi="Calibri" w:cs="Calibri"/>
                <w:sz w:val="18"/>
                <w:szCs w:val="18"/>
              </w:rPr>
              <w:t>osigurati pravovremeno prikupljanje podataka, sigurnu pohranu, obradu, vizualizaciju, neograničenu dostupnost akademskoj zajednici i određenu dostupnost javnosti</w:t>
            </w:r>
          </w:p>
          <w:p w14:paraId="3B6B4670" w14:textId="77777777" w:rsidR="004976E4" w:rsidRPr="00655639" w:rsidRDefault="004976E4"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55639">
              <w:rPr>
                <w:rFonts w:ascii="Calibri" w:hAnsi="Calibri" w:cs="Calibri"/>
                <w:sz w:val="18"/>
                <w:szCs w:val="18"/>
              </w:rPr>
              <w:t>osigurati energetsku učinkovitost sveučilišnih zgrada i njihovo održivo upravljanje</w:t>
            </w:r>
          </w:p>
          <w:p w14:paraId="6C5389C9" w14:textId="77777777" w:rsidR="004976E4" w:rsidRPr="009924F0" w:rsidRDefault="004976E4"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55639">
              <w:rPr>
                <w:rFonts w:ascii="Calibri" w:hAnsi="Calibri" w:cs="Calibri"/>
                <w:sz w:val="18"/>
                <w:szCs w:val="18"/>
              </w:rPr>
              <w:t>omogućiti zdraviju i prilago</w:t>
            </w:r>
            <w:r w:rsidRPr="009924F0">
              <w:rPr>
                <w:rFonts w:ascii="Calibri" w:hAnsi="Calibri" w:cs="Calibri"/>
                <w:sz w:val="18"/>
                <w:szCs w:val="18"/>
              </w:rPr>
              <w:t>đeniju studentsku prehranu</w:t>
            </w:r>
          </w:p>
          <w:p w14:paraId="5BD9C55A" w14:textId="77777777" w:rsidR="004976E4" w:rsidRPr="00655639" w:rsidRDefault="004976E4"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9924F0">
              <w:rPr>
                <w:rFonts w:ascii="Calibri" w:hAnsi="Calibri" w:cs="Calibri"/>
                <w:sz w:val="18"/>
                <w:szCs w:val="18"/>
              </w:rPr>
              <w:t>prilagoditi studijske programe i upisne kvote budućim društvenim i gospodarskim izazovima/potrebama</w:t>
            </w:r>
          </w:p>
        </w:tc>
      </w:tr>
      <w:bookmarkEnd w:id="28"/>
    </w:tbl>
    <w:p w14:paraId="3B9E478C" w14:textId="77777777" w:rsidR="004976E4" w:rsidRDefault="004976E4" w:rsidP="004976E4">
      <w:pPr>
        <w:rPr>
          <w:rFonts w:cs="Calibri"/>
          <w:b/>
          <w:bCs/>
        </w:rPr>
      </w:pPr>
    </w:p>
    <w:p w14:paraId="1C1C4469" w14:textId="58293D5C" w:rsidR="004976E4" w:rsidRDefault="004976E4" w:rsidP="007B22DB">
      <w:pPr>
        <w:pStyle w:val="Stil2"/>
      </w:pPr>
      <w:bookmarkStart w:id="29" w:name="_Toc97123789"/>
      <w:r>
        <w:t>2.1.3. Cjeloživotno obrazovanje</w:t>
      </w:r>
      <w:bookmarkEnd w:id="29"/>
    </w:p>
    <w:p w14:paraId="037943B2" w14:textId="77777777" w:rsidR="004976E4" w:rsidRPr="008020F1" w:rsidRDefault="004976E4" w:rsidP="004976E4">
      <w:pPr>
        <w:spacing w:after="0"/>
        <w:jc w:val="both"/>
      </w:pPr>
      <w:r w:rsidRPr="008020F1">
        <w:rPr>
          <w:rFonts w:cs="Calibri"/>
        </w:rPr>
        <w:t>U</w:t>
      </w:r>
      <w:r w:rsidRPr="008020F1">
        <w:t xml:space="preserve"> Gradu Zagrebu  je trenutno aktivno oko 160 ustanova za obrazovanje odraslih.</w:t>
      </w:r>
    </w:p>
    <w:p w14:paraId="0B97F0EC" w14:textId="77777777" w:rsidR="004976E4" w:rsidRPr="008020F1" w:rsidRDefault="004976E4" w:rsidP="004976E4">
      <w:pPr>
        <w:spacing w:after="0"/>
        <w:jc w:val="both"/>
      </w:pPr>
      <w:r w:rsidRPr="008020F1">
        <w:t xml:space="preserve">Programi obrazovanja su prilagođeni dobi, prethodnom obrazovanju, znanju, vještinama i sposobnostima polaznika koji stječu, dopunjuju i proširuju svoja znanja, vještine i sposobnosti radi stjecanja znanja o novim tehnikama i tehnologijama i njihovoj primjeni, te za rad u struci. </w:t>
      </w:r>
    </w:p>
    <w:p w14:paraId="5F023C7D" w14:textId="77777777" w:rsidR="004976E4" w:rsidRPr="008020F1" w:rsidRDefault="004976E4" w:rsidP="004976E4">
      <w:pPr>
        <w:spacing w:after="0"/>
        <w:jc w:val="both"/>
      </w:pPr>
      <w:r w:rsidRPr="008020F1">
        <w:t xml:space="preserve">Obrazovanje odraslih u Gradu Zagrebu  još ne djeluje kao uređeni podsustav odgoja i obrazovanja u pogledu praćenja i uvođenja novih obrazovnih programa koji su u skladu s potrebama tržišta rada, a posebno u pogledu uvođenja obrazovnih programa za „zelene poslove“ prema kojem se usmjerava trenutni industrijski razvoj. </w:t>
      </w:r>
    </w:p>
    <w:p w14:paraId="2AB48F2A" w14:textId="77777777" w:rsidR="004976E4" w:rsidRPr="008020F1" w:rsidRDefault="004976E4" w:rsidP="004976E4">
      <w:pPr>
        <w:spacing w:after="0"/>
        <w:jc w:val="both"/>
        <w:rPr>
          <w:rFonts w:cs="Calibri"/>
        </w:rPr>
      </w:pPr>
      <w:r w:rsidRPr="00005BCA">
        <w:t xml:space="preserve">Postoji niz naraštaja pojedinaca koji unatoč završenome formalnom obrazovanju ne raspolažu određenim znanjima i vještinama nužnima za funkcioniranje u današnjem društvu. Također postoji velika populacija starijih osoba bez završenog ili nepotpunog osnovnoškolskog obrazovanja. Može se pretpostaviti da gotovo svi oni nisu stekli veći dio ključnih kompetencija, odnosno ne vladaju </w:t>
      </w:r>
      <w:r w:rsidRPr="008020F1">
        <w:t xml:space="preserve">elementima tzv. funkcionalne ili nove pismenosti koja uključuje osnovna znanja i vještine za rad na </w:t>
      </w:r>
      <w:r w:rsidRPr="008020F1">
        <w:rPr>
          <w:rFonts w:cs="Calibri"/>
        </w:rPr>
        <w:t xml:space="preserve">računalu, vladanje materinskim jezikom i osnovama znanja stranih jezika, spremnost i motivaciju za učenje. </w:t>
      </w:r>
    </w:p>
    <w:p w14:paraId="6BE4F507" w14:textId="77777777" w:rsidR="004976E4" w:rsidRPr="008020F1" w:rsidRDefault="004976E4" w:rsidP="004976E4">
      <w:pPr>
        <w:spacing w:after="0" w:line="240" w:lineRule="auto"/>
        <w:jc w:val="both"/>
        <w:rPr>
          <w:rFonts w:cs="Calibri"/>
        </w:rPr>
      </w:pPr>
      <w:r w:rsidRPr="008020F1">
        <w:rPr>
          <w:rFonts w:cs="Calibri"/>
        </w:rPr>
        <w:t>Mladi su važan dio populacije za koje je poželjno da se usporedno s polaženjem redovnih oblika formalnog odgoja i obrazovanja (rani i predškolski, osnovnoškolski i srednjoškolski odgoj i obrazovanje te visoko obrazovanje) uključuju u različite druge oblike cjeloživotnog učenja kroz koje će razvijati kritičko mišljenje, odgovornost u odnosu prema sebi, drugima i okolini, timski rad, usmjerenost rješavanju problema, financijsku i potrošačku pismenost, poduzetnost, kreativnost i inovativnost.</w:t>
      </w:r>
    </w:p>
    <w:p w14:paraId="49990547" w14:textId="77777777" w:rsidR="004976E4" w:rsidRPr="008020F1" w:rsidRDefault="004976E4" w:rsidP="004976E4">
      <w:pPr>
        <w:spacing w:after="0" w:line="240" w:lineRule="auto"/>
        <w:jc w:val="both"/>
        <w:rPr>
          <w:rFonts w:cs="Calibri"/>
        </w:rPr>
      </w:pPr>
    </w:p>
    <w:p w14:paraId="5C06C61D" w14:textId="3B250067" w:rsidR="009121D4" w:rsidRDefault="004976E4" w:rsidP="004976E4">
      <w:pPr>
        <w:spacing w:after="0" w:line="240" w:lineRule="auto"/>
        <w:jc w:val="both"/>
        <w:rPr>
          <w:rFonts w:eastAsia="Times New Roman" w:cs="Calibri"/>
        </w:rPr>
      </w:pPr>
      <w:r w:rsidRPr="008020F1">
        <w:rPr>
          <w:rFonts w:cs="Calibri"/>
        </w:rPr>
        <w:t xml:space="preserve">Djelatnici u nastavničkim zanimanjima bi se također trebali usavršavati u području novih tehnologija i novih metoda učenja za što bi bilo dobro razviti programe </w:t>
      </w:r>
      <w:r w:rsidRPr="008020F1">
        <w:rPr>
          <w:rFonts w:eastAsia="Times New Roman" w:cs="Calibri"/>
        </w:rPr>
        <w:t>cjeloživotnog razvoja učiteljskih kompetencija.</w:t>
      </w:r>
      <w:r w:rsidRPr="008020F1">
        <w:rPr>
          <w:rFonts w:cs="Calibri"/>
        </w:rPr>
        <w:t xml:space="preserve"> </w:t>
      </w:r>
      <w:r w:rsidRPr="008020F1">
        <w:rPr>
          <w:rFonts w:eastAsia="Times New Roman" w:cs="Calibri"/>
        </w:rPr>
        <w:t xml:space="preserve">Pored nastavničkog iskustva od ravnatelja se očekuju organizacijska, upravljačka i financijska znanja, te znanja vođenja timova, efikasno upravljanje sastancima i druge značajne kompetencije. Na taj način bi se unaprijedila kvaliteta rukovođenja odgojno-obrazovnim ustanovama. </w:t>
      </w:r>
    </w:p>
    <w:p w14:paraId="555EA77E" w14:textId="076A19C0" w:rsidR="009121D4" w:rsidRDefault="009121D4" w:rsidP="004976E4">
      <w:pPr>
        <w:spacing w:after="0" w:line="240" w:lineRule="auto"/>
        <w:jc w:val="both"/>
        <w:rPr>
          <w:rFonts w:eastAsia="Times New Roman" w:cs="Calibri"/>
        </w:rPr>
      </w:pPr>
    </w:p>
    <w:p w14:paraId="0C6A8C5B" w14:textId="77777777" w:rsidR="009121D4" w:rsidRPr="008020F1" w:rsidRDefault="009121D4" w:rsidP="004976E4">
      <w:pPr>
        <w:spacing w:after="0" w:line="240" w:lineRule="auto"/>
        <w:jc w:val="both"/>
        <w:rPr>
          <w:rFonts w:eastAsia="Times New Roman" w:cs="Calibri"/>
        </w:rPr>
      </w:pPr>
    </w:p>
    <w:tbl>
      <w:tblPr>
        <w:tblW w:w="9502" w:type="dxa"/>
        <w:jc w:val="center"/>
        <w:tblLayout w:type="fixed"/>
        <w:tblLook w:val="04A0" w:firstRow="1" w:lastRow="0" w:firstColumn="1" w:lastColumn="0" w:noHBand="0" w:noVBand="1"/>
      </w:tblPr>
      <w:tblGrid>
        <w:gridCol w:w="4750"/>
        <w:gridCol w:w="4752"/>
      </w:tblGrid>
      <w:tr w:rsidR="004976E4" w:rsidRPr="008020F1" w14:paraId="6CC6BB46" w14:textId="77777777" w:rsidTr="00F50578">
        <w:trPr>
          <w:trHeight w:val="382"/>
          <w:jc w:val="center"/>
        </w:trPr>
        <w:tc>
          <w:tcPr>
            <w:tcW w:w="4750" w:type="dxa"/>
            <w:shd w:val="clear" w:color="auto" w:fill="D9D9D9"/>
            <w:vAlign w:val="center"/>
            <w:hideMark/>
          </w:tcPr>
          <w:p w14:paraId="5518F902" w14:textId="77777777" w:rsidR="004976E4" w:rsidRPr="006C3091" w:rsidRDefault="004976E4" w:rsidP="00F50578">
            <w:pPr>
              <w:spacing w:after="0" w:line="240" w:lineRule="auto"/>
              <w:jc w:val="both"/>
              <w:rPr>
                <w:rFonts w:eastAsia="Times New Roman" w:cs="Calibri"/>
                <w:b/>
                <w:sz w:val="20"/>
                <w:szCs w:val="20"/>
              </w:rPr>
            </w:pPr>
            <w:r w:rsidRPr="006C3091">
              <w:rPr>
                <w:rFonts w:eastAsia="Times New Roman" w:cs="Calibri"/>
                <w:sz w:val="20"/>
                <w:szCs w:val="20"/>
              </w:rPr>
              <w:br w:type="page"/>
            </w:r>
            <w:r w:rsidRPr="006C3091">
              <w:rPr>
                <w:rFonts w:eastAsia="Times New Roman" w:cs="Calibri"/>
                <w:b/>
                <w:sz w:val="20"/>
                <w:szCs w:val="20"/>
              </w:rPr>
              <w:t>RAZVOJNI PROBLEMI</w:t>
            </w:r>
          </w:p>
        </w:tc>
        <w:tc>
          <w:tcPr>
            <w:tcW w:w="4752" w:type="dxa"/>
            <w:shd w:val="clear" w:color="auto" w:fill="99CCFF"/>
            <w:vAlign w:val="center"/>
            <w:hideMark/>
          </w:tcPr>
          <w:p w14:paraId="3A15AE26" w14:textId="77777777" w:rsidR="004976E4" w:rsidRPr="006C3091" w:rsidRDefault="004976E4" w:rsidP="00F50578">
            <w:pPr>
              <w:spacing w:after="0" w:line="240" w:lineRule="auto"/>
              <w:jc w:val="both"/>
              <w:rPr>
                <w:rFonts w:eastAsia="Times New Roman" w:cs="Calibri"/>
                <w:b/>
                <w:sz w:val="20"/>
                <w:szCs w:val="20"/>
              </w:rPr>
            </w:pPr>
            <w:r w:rsidRPr="006C3091">
              <w:rPr>
                <w:rFonts w:eastAsia="Times New Roman" w:cs="Calibri"/>
                <w:b/>
                <w:sz w:val="20"/>
                <w:szCs w:val="20"/>
              </w:rPr>
              <w:t>RAZVOJNE POTREBE</w:t>
            </w:r>
          </w:p>
        </w:tc>
      </w:tr>
      <w:tr w:rsidR="004976E4" w:rsidRPr="008020F1" w14:paraId="7E325151" w14:textId="77777777" w:rsidTr="00F50578">
        <w:trPr>
          <w:trHeight w:val="7203"/>
          <w:jc w:val="center"/>
        </w:trPr>
        <w:tc>
          <w:tcPr>
            <w:tcW w:w="4750" w:type="dxa"/>
            <w:shd w:val="clear" w:color="auto" w:fill="D9D9D9"/>
            <w:hideMark/>
          </w:tcPr>
          <w:p w14:paraId="1F0B539C" w14:textId="295EDA46" w:rsidR="004976E4" w:rsidRPr="008020F1"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n</w:t>
            </w:r>
            <w:r w:rsidR="004976E4" w:rsidRPr="008020F1">
              <w:rPr>
                <w:rFonts w:eastAsia="Times New Roman" w:cs="Calibri"/>
                <w:sz w:val="18"/>
                <w:szCs w:val="18"/>
              </w:rPr>
              <w:t>edostatno razvijena svijest o važnosti cjeloživotnog obrazovanja</w:t>
            </w:r>
          </w:p>
          <w:p w14:paraId="10933FCC" w14:textId="0D29E451" w:rsidR="004976E4" w:rsidRPr="008020F1"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n</w:t>
            </w:r>
            <w:r w:rsidR="004976E4" w:rsidRPr="008020F1">
              <w:rPr>
                <w:rFonts w:eastAsia="Times New Roman" w:cs="Calibri"/>
                <w:sz w:val="18"/>
                <w:szCs w:val="18"/>
              </w:rPr>
              <w:t>e postoji sustav koji bi pratio trajno usavršavanje odgojno obrazovnih djelatnika i njihov profesionalni razvoj</w:t>
            </w:r>
          </w:p>
          <w:p w14:paraId="7C032A74" w14:textId="04089C62" w:rsidR="004976E4" w:rsidRPr="008020F1"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n</w:t>
            </w:r>
            <w:r w:rsidR="004976E4" w:rsidRPr="008020F1">
              <w:rPr>
                <w:rFonts w:eastAsia="Times New Roman" w:cs="Calibri"/>
                <w:sz w:val="18"/>
                <w:szCs w:val="18"/>
              </w:rPr>
              <w:t>edostatak interesa kod poslodavaca za sufinanciranje troškova obrazovanja</w:t>
            </w:r>
          </w:p>
          <w:p w14:paraId="2080B0EF" w14:textId="70C56B5D" w:rsidR="004976E4" w:rsidRPr="008020F1"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s</w:t>
            </w:r>
            <w:r w:rsidR="004976E4" w:rsidRPr="008020F1">
              <w:rPr>
                <w:rFonts w:eastAsia="Times New Roman" w:cs="Calibri"/>
                <w:sz w:val="18"/>
                <w:szCs w:val="18"/>
              </w:rPr>
              <w:t xml:space="preserve">labe veze ustanova za obrazovanje odraslih s gospodarskim subjektima i Zavodom za zapošljavanje </w:t>
            </w:r>
          </w:p>
          <w:p w14:paraId="79070AC0" w14:textId="77777777" w:rsidR="00247AD7" w:rsidRDefault="00247AD7" w:rsidP="00247AD7">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n</w:t>
            </w:r>
            <w:r w:rsidR="004976E4" w:rsidRPr="008020F1">
              <w:rPr>
                <w:rFonts w:eastAsia="Times New Roman" w:cs="Calibri"/>
                <w:sz w:val="18"/>
                <w:szCs w:val="18"/>
              </w:rPr>
              <w:t>edostatna suradnja Grada Zagreba i ustanova za obrazovanje odraslih u Zagrebu u svrhu unapređivanja gospodarskog i društvenog razvoja grada</w:t>
            </w:r>
          </w:p>
          <w:p w14:paraId="080AEB79" w14:textId="1E347165" w:rsidR="004976E4" w:rsidRPr="00247AD7" w:rsidRDefault="00247AD7" w:rsidP="00247AD7">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n</w:t>
            </w:r>
            <w:r w:rsidR="004976E4" w:rsidRPr="00247AD7">
              <w:rPr>
                <w:rFonts w:eastAsia="Times New Roman" w:cs="Calibri"/>
                <w:sz w:val="18"/>
                <w:szCs w:val="18"/>
              </w:rPr>
              <w:t>edovoljno korištenje bespovratnih sredstava iz EU fondova u obrazovnim institucijama</w:t>
            </w:r>
          </w:p>
          <w:p w14:paraId="25F83D47" w14:textId="57704D8C" w:rsidR="004976E4" w:rsidRPr="008020F1"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c</w:t>
            </w:r>
            <w:r w:rsidR="004976E4" w:rsidRPr="008020F1">
              <w:rPr>
                <w:rFonts w:eastAsia="Times New Roman" w:cs="Calibri"/>
                <w:sz w:val="18"/>
                <w:szCs w:val="18"/>
              </w:rPr>
              <w:t>jeloživotno učenje prepušteno je većim dijelom privatnoj inicijativi</w:t>
            </w:r>
          </w:p>
          <w:p w14:paraId="3F5388BC" w14:textId="7DE6A998" w:rsidR="004976E4" w:rsidRPr="008020F1"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n</w:t>
            </w:r>
            <w:r w:rsidR="004976E4" w:rsidRPr="008020F1">
              <w:rPr>
                <w:rFonts w:eastAsia="Times New Roman" w:cs="Calibri"/>
                <w:sz w:val="18"/>
                <w:szCs w:val="18"/>
              </w:rPr>
              <w:t>edostatak poduzetničkih vještina I samopouzdanja kod polaznika ustanova za obrazovanje</w:t>
            </w:r>
          </w:p>
          <w:p w14:paraId="02B17A21" w14:textId="77777777" w:rsidR="004976E4" w:rsidRPr="003A34C4" w:rsidRDefault="004976E4" w:rsidP="00F50578">
            <w:pPr>
              <w:spacing w:before="60" w:after="60" w:line="240" w:lineRule="auto"/>
              <w:ind w:right="-2"/>
              <w:jc w:val="both"/>
              <w:rPr>
                <w:rFonts w:eastAsia="Times New Roman" w:cs="Calibri"/>
                <w:color w:val="FFFFFF" w:themeColor="background1"/>
              </w:rPr>
            </w:pPr>
          </w:p>
        </w:tc>
        <w:tc>
          <w:tcPr>
            <w:tcW w:w="4752" w:type="dxa"/>
            <w:shd w:val="clear" w:color="auto" w:fill="99CCFF"/>
            <w:hideMark/>
          </w:tcPr>
          <w:p w14:paraId="6DA6F1B1" w14:textId="01C84585" w:rsidR="004976E4" w:rsidRPr="003A34C4"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color w:val="000000" w:themeColor="text1"/>
                <w:sz w:val="18"/>
                <w:szCs w:val="18"/>
              </w:rPr>
            </w:pPr>
            <w:r>
              <w:rPr>
                <w:rFonts w:eastAsia="Times New Roman" w:cs="Calibri"/>
                <w:color w:val="000000" w:themeColor="text1"/>
                <w:sz w:val="18"/>
                <w:szCs w:val="18"/>
              </w:rPr>
              <w:t>p</w:t>
            </w:r>
            <w:r w:rsidR="004976E4" w:rsidRPr="003A34C4">
              <w:rPr>
                <w:rFonts w:eastAsia="Times New Roman" w:cs="Calibri"/>
                <w:color w:val="000000" w:themeColor="text1"/>
                <w:sz w:val="18"/>
                <w:szCs w:val="18"/>
              </w:rPr>
              <w:t>romovirati i jačati svijest građana o važnosti cjeloživotnog učenja, te poticati građane na usavršavanje</w:t>
            </w:r>
          </w:p>
          <w:p w14:paraId="29AD797A" w14:textId="0B993639" w:rsidR="00E41D5F" w:rsidRPr="003A34C4"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color w:val="000000" w:themeColor="text1"/>
                <w:sz w:val="18"/>
                <w:szCs w:val="18"/>
              </w:rPr>
            </w:pPr>
            <w:r>
              <w:rPr>
                <w:rFonts w:eastAsia="Times New Roman" w:cs="Calibri"/>
                <w:color w:val="000000" w:themeColor="text1"/>
                <w:sz w:val="18"/>
                <w:szCs w:val="18"/>
              </w:rPr>
              <w:t>p</w:t>
            </w:r>
            <w:r w:rsidR="00E41D5F" w:rsidRPr="00E41D5F">
              <w:rPr>
                <w:rFonts w:eastAsia="Times New Roman" w:cs="Calibri"/>
                <w:color w:val="000000" w:themeColor="text1"/>
                <w:sz w:val="18"/>
                <w:szCs w:val="18"/>
              </w:rPr>
              <w:t>oticati poslodavce ciljanim olakšicama da sufinanciraju usavršavanje, osposobljavanje i obrazovanje svojih zaposlenika</w:t>
            </w:r>
          </w:p>
          <w:p w14:paraId="7C3AF1BA" w14:textId="77777777" w:rsidR="004976E4" w:rsidRPr="003A34C4" w:rsidRDefault="004976E4"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color w:val="000000" w:themeColor="text1"/>
                <w:sz w:val="18"/>
                <w:szCs w:val="18"/>
              </w:rPr>
            </w:pPr>
            <w:r w:rsidRPr="003A34C4">
              <w:rPr>
                <w:rFonts w:eastAsia="Times New Roman" w:cs="Calibri"/>
                <w:color w:val="000000" w:themeColor="text1"/>
                <w:sz w:val="18"/>
                <w:szCs w:val="18"/>
              </w:rPr>
              <w:t>potaknuti suradnju između poslodavaca i ustanova za obrazovanje odraslih, definirati uvjete suradnje i proizvesti model kontinuiranog usavršavanja za određeno radno mjesto</w:t>
            </w:r>
          </w:p>
          <w:p w14:paraId="0AF517BD" w14:textId="60EA7A58" w:rsidR="00107AE8" w:rsidRDefault="00107AE8" w:rsidP="00107AE8">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sidRPr="00E41D5F">
              <w:rPr>
                <w:rFonts w:eastAsia="Times New Roman" w:cs="Calibri"/>
                <w:sz w:val="18"/>
                <w:szCs w:val="18"/>
              </w:rPr>
              <w:t>provesti istraživanje u kojem će se analizirati potrebe tržišta rada te ključne kompetencije zaposlenika i sukladno tome  osmisliti relevantne programe usavršavanja, osposobljavanja i obrazovanja za obrte, mala i srednja poduzeća</w:t>
            </w:r>
          </w:p>
          <w:p w14:paraId="209D671D" w14:textId="502DA435" w:rsidR="00E41D5F" w:rsidRPr="003A34C4" w:rsidRDefault="00E41D5F"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sidRPr="00E41D5F">
              <w:rPr>
                <w:rFonts w:eastAsia="Times New Roman" w:cs="Calibri"/>
                <w:sz w:val="18"/>
                <w:szCs w:val="18"/>
              </w:rPr>
              <w:t>definirati programe neformalnog i formalnog obrazovanj</w:t>
            </w:r>
            <w:r w:rsidR="00AD37F8">
              <w:rPr>
                <w:rFonts w:eastAsia="Times New Roman" w:cs="Calibri"/>
                <w:sz w:val="18"/>
                <w:szCs w:val="18"/>
              </w:rPr>
              <w:t>a</w:t>
            </w:r>
            <w:r w:rsidRPr="00E41D5F">
              <w:rPr>
                <w:rFonts w:eastAsia="Times New Roman" w:cs="Calibri"/>
                <w:sz w:val="18"/>
                <w:szCs w:val="18"/>
              </w:rPr>
              <w:t xml:space="preserve"> od posebnog interesa za Grad Zagreb</w:t>
            </w:r>
          </w:p>
          <w:p w14:paraId="65A56D05" w14:textId="1CE374D5" w:rsidR="004976E4" w:rsidRPr="003A34C4"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j</w:t>
            </w:r>
            <w:r w:rsidR="004976E4" w:rsidRPr="003A34C4">
              <w:rPr>
                <w:rFonts w:eastAsia="Times New Roman" w:cs="Calibri"/>
                <w:sz w:val="18"/>
                <w:szCs w:val="18"/>
              </w:rPr>
              <w:t xml:space="preserve">ačati međunarodnu suradnju </w:t>
            </w:r>
          </w:p>
          <w:p w14:paraId="16544072" w14:textId="43A07FBF" w:rsidR="004976E4" w:rsidRPr="003A34C4"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j</w:t>
            </w:r>
            <w:r w:rsidR="004976E4" w:rsidRPr="003A34C4">
              <w:rPr>
                <w:rFonts w:eastAsia="Times New Roman" w:cs="Calibri"/>
                <w:sz w:val="18"/>
                <w:szCs w:val="18"/>
              </w:rPr>
              <w:t>ačati suradnju lokalne samouprave sa obrazovnim ustanovama za obrazovanje odraslih i gospodarskim subjektima u stvaranju novih programa  obrazovanja</w:t>
            </w:r>
          </w:p>
          <w:p w14:paraId="393910E8" w14:textId="75FD901B" w:rsidR="004976E4" w:rsidRPr="003A34C4"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o</w:t>
            </w:r>
            <w:r w:rsidR="004976E4" w:rsidRPr="003A34C4">
              <w:rPr>
                <w:rFonts w:eastAsia="Times New Roman" w:cs="Calibri"/>
                <w:sz w:val="18"/>
                <w:szCs w:val="18"/>
              </w:rPr>
              <w:t>sigurati sufinanciranje troškova polaznicima obrazovanja za odrasle</w:t>
            </w:r>
          </w:p>
          <w:p w14:paraId="5D4A76A9" w14:textId="3DB7C47F" w:rsidR="004976E4" w:rsidRPr="003A34C4"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p</w:t>
            </w:r>
            <w:r w:rsidR="004976E4" w:rsidRPr="003A34C4">
              <w:rPr>
                <w:rFonts w:eastAsia="Times New Roman" w:cs="Calibri"/>
                <w:sz w:val="18"/>
                <w:szCs w:val="18"/>
              </w:rPr>
              <w:t>ovećati  ponudu programa cjeloživotnog učenja</w:t>
            </w:r>
          </w:p>
          <w:p w14:paraId="0CB71E32" w14:textId="0B472ABC" w:rsidR="004976E4" w:rsidRPr="003A34C4" w:rsidRDefault="00247AD7" w:rsidP="00165C16">
            <w:pPr>
              <w:numPr>
                <w:ilvl w:val="0"/>
                <w:numId w:val="1"/>
              </w:numPr>
              <w:tabs>
                <w:tab w:val="clear" w:pos="720"/>
                <w:tab w:val="num" w:pos="284"/>
                <w:tab w:val="num" w:pos="360"/>
              </w:tabs>
              <w:spacing w:before="60" w:after="60" w:line="240" w:lineRule="auto"/>
              <w:ind w:left="284" w:right="-2" w:hanging="284"/>
              <w:jc w:val="both"/>
              <w:rPr>
                <w:rFonts w:eastAsia="Times New Roman" w:cs="Calibri"/>
                <w:sz w:val="18"/>
                <w:szCs w:val="18"/>
              </w:rPr>
            </w:pPr>
            <w:r>
              <w:rPr>
                <w:rFonts w:eastAsia="Times New Roman" w:cs="Calibri"/>
                <w:sz w:val="18"/>
                <w:szCs w:val="18"/>
              </w:rPr>
              <w:t>p</w:t>
            </w:r>
            <w:r w:rsidR="004976E4" w:rsidRPr="003A34C4">
              <w:rPr>
                <w:rFonts w:eastAsia="Times New Roman" w:cs="Calibri"/>
                <w:sz w:val="18"/>
                <w:szCs w:val="18"/>
              </w:rPr>
              <w:t>oticati poduzetničke vještine i samopouzdanje  kod djece od najranije dobi ,tj. kroz osnovnoškolsko i srednjoškolsko obrazovanje</w:t>
            </w:r>
            <w:r w:rsidR="00E60B33">
              <w:rPr>
                <w:rFonts w:eastAsia="Times New Roman" w:cs="Calibri"/>
                <w:sz w:val="18"/>
                <w:szCs w:val="18"/>
              </w:rPr>
              <w:t xml:space="preserve"> </w:t>
            </w:r>
            <w:r w:rsidR="00E60B33" w:rsidRPr="00E60B33">
              <w:rPr>
                <w:rFonts w:eastAsia="Times New Roman" w:cs="Calibri"/>
                <w:sz w:val="18"/>
                <w:szCs w:val="18"/>
              </w:rPr>
              <w:t>u partnerstvu sa gospodarskim sektorom</w:t>
            </w:r>
          </w:p>
          <w:p w14:paraId="680E0DBF" w14:textId="77777777" w:rsidR="004976E4" w:rsidRPr="003A34C4" w:rsidRDefault="004976E4" w:rsidP="00F50578">
            <w:pPr>
              <w:spacing w:before="60" w:after="60" w:line="240" w:lineRule="auto"/>
              <w:ind w:right="-2"/>
              <w:jc w:val="both"/>
              <w:rPr>
                <w:rFonts w:eastAsia="Times New Roman" w:cs="Calibri"/>
                <w:sz w:val="18"/>
                <w:szCs w:val="18"/>
              </w:rPr>
            </w:pPr>
          </w:p>
        </w:tc>
      </w:tr>
    </w:tbl>
    <w:p w14:paraId="6B669712" w14:textId="77777777" w:rsidR="004976E4" w:rsidRDefault="004976E4" w:rsidP="004976E4">
      <w:pPr>
        <w:rPr>
          <w:rFonts w:cs="Calibri"/>
          <w:b/>
          <w:bCs/>
        </w:rPr>
      </w:pPr>
    </w:p>
    <w:p w14:paraId="59BE771D" w14:textId="31681FBD" w:rsidR="004976E4" w:rsidRDefault="004976E4" w:rsidP="007B22DB">
      <w:pPr>
        <w:pStyle w:val="Stil2"/>
      </w:pPr>
      <w:bookmarkStart w:id="30" w:name="_Toc97123790"/>
      <w:r>
        <w:t>2.1.4. Kultura</w:t>
      </w:r>
      <w:bookmarkEnd w:id="30"/>
      <w:r>
        <w:t xml:space="preserve"> </w:t>
      </w:r>
    </w:p>
    <w:p w14:paraId="7AEC6AD3" w14:textId="77777777" w:rsidR="004976E4" w:rsidRDefault="004976E4" w:rsidP="004976E4">
      <w:pPr>
        <w:tabs>
          <w:tab w:val="left" w:pos="-720"/>
        </w:tabs>
        <w:suppressAutoHyphens/>
        <w:spacing w:after="0" w:line="240" w:lineRule="auto"/>
        <w:ind w:right="-2"/>
        <w:jc w:val="both"/>
        <w:rPr>
          <w:rFonts w:eastAsia="Times New Roman" w:cs="Calibri"/>
          <w:bCs/>
          <w:lang w:eastAsia="hr-HR"/>
        </w:rPr>
      </w:pPr>
      <w:r>
        <w:rPr>
          <w:rFonts w:eastAsia="Times New Roman" w:cs="Calibri"/>
          <w:bCs/>
          <w:lang w:eastAsia="hr-HR"/>
        </w:rPr>
        <w:t xml:space="preserve">Kulturne aktivnosti Grada Zagreba provodi 35 javnih ustanova u kulturi kojima je osnivač Grad Zagreb: potom ustanove utemeljene na modelu civilno-javnog partnerstva Pogon – Zagrebački centar za nezavisnu kulturu i mlade, Centar za kulturu Histrionski dom i  Centar za promicanje tolerancije i očuvanje sjećanja na holokaust, Galerija Klovićevi dvori čiji osnivači su u jednakim dijelovima Grad Zagreb i Republika Hrvatska, Hrvatsko narodno kazalište u Zagrebu (suosnivači su Republika Hrvatska s udjelom 51% i Grad Zagreb s udjelom 49%), te </w:t>
      </w:r>
      <w:r>
        <w:rPr>
          <w:rFonts w:cs="Calibri"/>
        </w:rPr>
        <w:t xml:space="preserve">udruge, umjetničke organizacije, umjetničke akademije, samostalni umjetnici, izdavačke kuće, trgovačka društva te ostali subjekti u kulturi koji svojom produkcijom u području kulture i umjetnost zadovoljavaju javne potrebe u kulturi na području Grada Zagreba. </w:t>
      </w:r>
    </w:p>
    <w:p w14:paraId="5ACB11F1" w14:textId="77777777" w:rsidR="004976E4" w:rsidRDefault="004976E4" w:rsidP="004976E4">
      <w:pPr>
        <w:tabs>
          <w:tab w:val="left" w:pos="-720"/>
        </w:tabs>
        <w:suppressAutoHyphens/>
        <w:spacing w:after="0" w:line="240" w:lineRule="auto"/>
        <w:ind w:right="-2"/>
        <w:jc w:val="both"/>
        <w:rPr>
          <w:rFonts w:cstheme="minorHAnsi"/>
          <w:color w:val="000000" w:themeColor="text1"/>
          <w:shd w:val="clear" w:color="auto" w:fill="FFFFFF"/>
        </w:rPr>
      </w:pPr>
      <w:r w:rsidRPr="00F0143D">
        <w:rPr>
          <w:rFonts w:cstheme="minorHAnsi"/>
          <w:color w:val="000000" w:themeColor="text1"/>
          <w:shd w:val="clear" w:color="auto" w:fill="FFFFFF"/>
        </w:rPr>
        <w:t>Grad Zagreb kao kulturno središte Republike Hrvatske ponosi se svojim brojnim kulturnim i umjetničkim aktivnostima. U Zagrebu se godišnje realizira više od 5000 kulturnih i umjetničkih događanja, što Zagreb čini živom pozornicom koja njeguje i promovira kulturu i umjetnost.</w:t>
      </w:r>
    </w:p>
    <w:p w14:paraId="3B7C3CF8" w14:textId="77777777" w:rsidR="004976E4" w:rsidRDefault="004976E4" w:rsidP="004976E4">
      <w:pPr>
        <w:tabs>
          <w:tab w:val="left" w:pos="-720"/>
        </w:tabs>
        <w:suppressAutoHyphens/>
        <w:spacing w:after="0" w:line="240" w:lineRule="auto"/>
        <w:ind w:right="-2"/>
        <w:jc w:val="both"/>
        <w:rPr>
          <w:rFonts w:cstheme="minorHAnsi"/>
          <w:color w:val="000000" w:themeColor="text1"/>
          <w:shd w:val="clear" w:color="auto" w:fill="FFFFFF"/>
        </w:rPr>
      </w:pPr>
      <w:r>
        <w:rPr>
          <w:rFonts w:cstheme="minorHAnsi"/>
          <w:color w:val="000000" w:themeColor="text1"/>
          <w:shd w:val="clear" w:color="auto" w:fill="FFFFFF"/>
        </w:rPr>
        <w:t xml:space="preserve">Kulturne </w:t>
      </w:r>
      <w:r w:rsidRPr="00741A2F">
        <w:rPr>
          <w:rFonts w:cstheme="minorHAnsi"/>
          <w:color w:val="000000" w:themeColor="text1"/>
          <w:shd w:val="clear" w:color="auto" w:fill="FFFFFF"/>
        </w:rPr>
        <w:t>djelatnosti i poslovi, akcije i manifestacije u kulturi od interesa za Grad Zagreb</w:t>
      </w:r>
      <w:r>
        <w:rPr>
          <w:rFonts w:cstheme="minorHAnsi"/>
          <w:color w:val="000000" w:themeColor="text1"/>
          <w:shd w:val="clear" w:color="auto" w:fill="FFFFFF"/>
        </w:rPr>
        <w:t xml:space="preserve"> financiraju se putem Javnog poziva za predlaganje programa u kulturi Grada Zagreba, na godišnjoj razini.</w:t>
      </w:r>
    </w:p>
    <w:p w14:paraId="283BB795" w14:textId="77777777" w:rsidR="004976E4" w:rsidRDefault="004976E4" w:rsidP="004976E4">
      <w:pPr>
        <w:tabs>
          <w:tab w:val="left" w:pos="-720"/>
        </w:tabs>
        <w:suppressAutoHyphens/>
        <w:spacing w:after="0" w:line="240" w:lineRule="auto"/>
        <w:ind w:right="-2"/>
        <w:jc w:val="both"/>
        <w:rPr>
          <w:rFonts w:eastAsia="Times New Roman" w:cs="Calibri"/>
          <w:bCs/>
          <w:lang w:eastAsia="hr-HR"/>
        </w:rPr>
      </w:pPr>
      <w:r w:rsidRPr="00F0143D">
        <w:rPr>
          <w:rFonts w:cstheme="minorHAnsi"/>
          <w:color w:val="000000" w:themeColor="text1"/>
          <w:shd w:val="clear" w:color="auto" w:fill="FFFFFF"/>
        </w:rPr>
        <w:t xml:space="preserve"> </w:t>
      </w:r>
      <w:r>
        <w:rPr>
          <w:rFonts w:eastAsia="Times New Roman" w:cs="Calibri"/>
          <w:bCs/>
          <w:lang w:eastAsia="hr-HR"/>
        </w:rPr>
        <w:t>Osobiti doprinos zagrebačkoj kulturi, u razvojnom smislu, daje nezavisna kulturna scena, čiji se programi podržavaju putem Programa javnih potreba u kulturi na godišnjoj razini te jednokratnih potpora kojih je godišnje do 70.</w:t>
      </w:r>
    </w:p>
    <w:p w14:paraId="15FE9F88" w14:textId="77777777" w:rsidR="004976E4" w:rsidRDefault="004976E4" w:rsidP="004976E4">
      <w:pPr>
        <w:tabs>
          <w:tab w:val="left" w:pos="-720"/>
        </w:tabs>
        <w:suppressAutoHyphens/>
        <w:spacing w:after="0" w:line="240" w:lineRule="auto"/>
        <w:ind w:right="-2"/>
        <w:jc w:val="both"/>
        <w:rPr>
          <w:rFonts w:eastAsia="Times New Roman" w:cs="Calibri"/>
          <w:bCs/>
          <w:lang w:eastAsia="hr-HR"/>
        </w:rPr>
      </w:pPr>
      <w:r>
        <w:rPr>
          <w:rFonts w:eastAsia="Times New Roman" w:cs="Calibri"/>
          <w:bCs/>
          <w:lang w:eastAsia="hr-HR"/>
        </w:rPr>
        <w:t xml:space="preserve">Zagreb je hrvatsko središte kulturnih/kreativnih industrija koje su djelomično integrirane u kulturnu politiku Zagreba i to samo kada se radi o umjetničkom segmentu u okviru pojedinog kulturnog produkta (glazba, film, vizualna umjetnost, izdavaštvo). </w:t>
      </w:r>
    </w:p>
    <w:p w14:paraId="643AD40F" w14:textId="77777777" w:rsidR="004976E4" w:rsidRDefault="004976E4" w:rsidP="004976E4">
      <w:pPr>
        <w:spacing w:after="0" w:line="240" w:lineRule="auto"/>
        <w:jc w:val="both"/>
        <w:rPr>
          <w:rFonts w:eastAsia="Times New Roman"/>
          <w:szCs w:val="24"/>
          <w:lang w:eastAsia="hr-HR"/>
        </w:rPr>
      </w:pPr>
      <w:r w:rsidRPr="00BD1590">
        <w:rPr>
          <w:rFonts w:eastAsia="Times New Roman"/>
          <w:szCs w:val="20"/>
          <w:lang w:eastAsia="hr-HR"/>
        </w:rPr>
        <w:t>Posebne okolnosti koje su zadesile Grad Zagreb – pandemija i potres koji se dogodio 22.</w:t>
      </w:r>
      <w:r>
        <w:rPr>
          <w:rFonts w:eastAsia="Times New Roman"/>
          <w:szCs w:val="20"/>
          <w:lang w:eastAsia="hr-HR"/>
        </w:rPr>
        <w:t xml:space="preserve"> ožujka </w:t>
      </w:r>
      <w:r w:rsidRPr="00BD1590">
        <w:rPr>
          <w:rFonts w:eastAsia="Times New Roman"/>
          <w:szCs w:val="20"/>
          <w:lang w:eastAsia="hr-HR"/>
        </w:rPr>
        <w:t xml:space="preserve">2020. onemogućile su održavanje brojnih kulturnih programa i umjetničkih aktivnosti što je rezultiralo otkazivanjem ili prolongiranjem programa za drugu polovicu 2020. odnosno 2021. Kako bi se održao kontinuitet umjetničkog i kulturnog stvaralaštva podržana su nastojanja i napori ustanova u kulturi, udruga, umjetničkih organizacija, umjetnika i dr. koji su kulturne sadržaje objavljivali i dijelili na digitalnim platformama. </w:t>
      </w:r>
      <w:r w:rsidRPr="00BD1590">
        <w:rPr>
          <w:rFonts w:eastAsia="Times New Roman"/>
          <w:szCs w:val="24"/>
          <w:lang w:eastAsia="hr-HR"/>
        </w:rPr>
        <w:t xml:space="preserve">Od proglašenja epidemije 11. ožujka 2020. kulturne aktivnosti odvijale su se u skladu s preporukama Stožera civilne zaštite Republike Hrvatske. </w:t>
      </w:r>
    </w:p>
    <w:p w14:paraId="3FE6315F" w14:textId="77777777" w:rsidR="004976E4" w:rsidRPr="00BD1590" w:rsidRDefault="004976E4" w:rsidP="004976E4">
      <w:pPr>
        <w:spacing w:after="0" w:line="240" w:lineRule="auto"/>
        <w:jc w:val="both"/>
        <w:rPr>
          <w:rFonts w:eastAsia="Times New Roman"/>
          <w:szCs w:val="24"/>
          <w:lang w:eastAsia="hr-HR"/>
        </w:rPr>
      </w:pPr>
      <w:r w:rsidRPr="00C61A66">
        <w:rPr>
          <w:rFonts w:eastAsia="Times New Roman"/>
          <w:szCs w:val="24"/>
          <w:lang w:eastAsia="hr-HR"/>
        </w:rPr>
        <w:t>Grad Zagreb se trenutno susreće sa velikim problemima u svim djelatnostima kulture nastavno na negativne posljedice koje je prouzročio potres i pandemija virusa COVID-19. Brojni objekti kulturnih ustanova, muzeji, kazališta i koncertne dvorane oštećeni su u potresu te nisu  sigurni. Dodatne negativne posljedice uzrokovane su mjerama za suzbijanje epidemije virusa COVID-19 što je dovelo do zatvaranja mnogih kulturnih ustanova za javnost ali i nemogućnosti rada brojnih samostalnih umjetnika koji su susreću sa egzistencijalnim problemima. Potrebno je ozbiljno pristupiti u rješavanju navedenih problema kroz privlačenje financijskih sredstava za obnovu i sanaciju oštećenih objekata. Trenutne mjere štednja i proračunska sredstva nisu dovoljna kako bi se isto riješilo već je potrebno ozbiljnije pristupiti sredstvima Europske unije kroz prijavu projekata na strukturne i investicijske fondove EU kao i Fond solidarnosti EU unutar kojeg se otvaraju Pozivi za dostavu projektnih prijedloga za provedbu mjera zaštite i obnove kulturne baštine. Obzirom da se radi o otvorenim pozivima koji se zatvaraju ukoliko se premaši inicijalni iznos poziva, nužno je pripremiti bazu projekata te ishoditi svu potrebnu dokumentaciju kako bi se prijave mogle što prije podnositi.</w:t>
      </w:r>
    </w:p>
    <w:p w14:paraId="7D00CEE4" w14:textId="77777777" w:rsidR="004976E4" w:rsidRPr="00BD1590" w:rsidRDefault="004976E4" w:rsidP="004976E4">
      <w:pPr>
        <w:spacing w:after="0" w:line="240" w:lineRule="auto"/>
        <w:jc w:val="both"/>
        <w:rPr>
          <w:rFonts w:eastAsia="Times New Roman"/>
          <w:szCs w:val="24"/>
          <w:lang w:eastAsia="hr-HR"/>
        </w:rPr>
      </w:pPr>
      <w:r w:rsidRPr="00BD1590">
        <w:rPr>
          <w:rFonts w:eastAsia="Times New Roman"/>
          <w:szCs w:val="24"/>
          <w:lang w:eastAsia="hr-HR"/>
        </w:rPr>
        <w:t xml:space="preserve">Imajući u vidu kako su </w:t>
      </w:r>
      <w:r w:rsidRPr="00BD1590">
        <w:rPr>
          <w:szCs w:val="24"/>
        </w:rPr>
        <w:t xml:space="preserve">pojedinci, udruge i kulturne institucije u ovom razdoblju svoje aktivnosti usmjerili na </w:t>
      </w:r>
      <w:r w:rsidRPr="00BD1590">
        <w:rPr>
          <w:iCs/>
          <w:szCs w:val="24"/>
        </w:rPr>
        <w:t>digitalne</w:t>
      </w:r>
      <w:r w:rsidRPr="00BD1590">
        <w:rPr>
          <w:szCs w:val="24"/>
        </w:rPr>
        <w:t xml:space="preserve"> platforme, Gradski ured za kulturu je inicirao </w:t>
      </w:r>
      <w:r w:rsidRPr="00BD1590">
        <w:rPr>
          <w:rFonts w:eastAsia="Times New Roman"/>
          <w:bCs/>
          <w:szCs w:val="24"/>
          <w:lang w:eastAsia="hr-HR"/>
        </w:rPr>
        <w:t>Natječaj za najbolji zagrebački online projekt</w:t>
      </w:r>
      <w:r w:rsidRPr="00BD1590">
        <w:rPr>
          <w:rFonts w:eastAsia="Times New Roman"/>
          <w:szCs w:val="24"/>
          <w:lang w:eastAsia="hr-HR"/>
        </w:rPr>
        <w:t xml:space="preserve"> koji je proveden putem Muzeja suvremene umjetnosti. Cilj ovog Natječaja bio je podupiranje najbolje osmišljenih i vođenih online projekata koji su pridonijeli boljoj komunikaciji s publikom u razdoblju od 19.3. do 31.5.2020., a bio je namijenjen umjetničkim i kulturnim organizacijama, pojedincima s prebivalištem u Gradu Zagrebu i udrugama sa sjedištem u Gradu Zagrebu, a koji djeluju na području kulture i umjetnosti. </w:t>
      </w:r>
    </w:p>
    <w:p w14:paraId="230E08AD" w14:textId="77777777" w:rsidR="004976E4" w:rsidRPr="00BD1590" w:rsidRDefault="004976E4" w:rsidP="004976E4">
      <w:pPr>
        <w:spacing w:after="0" w:line="240" w:lineRule="auto"/>
        <w:jc w:val="both"/>
        <w:rPr>
          <w:rFonts w:eastAsia="Times New Roman"/>
          <w:szCs w:val="24"/>
          <w:lang w:eastAsia="hr-HR"/>
        </w:rPr>
      </w:pPr>
      <w:r>
        <w:rPr>
          <w:rFonts w:eastAsia="Times New Roman"/>
          <w:szCs w:val="24"/>
          <w:lang w:eastAsia="hr-HR"/>
        </w:rPr>
        <w:t xml:space="preserve">Iniciran je </w:t>
      </w:r>
      <w:r w:rsidRPr="00BD1590">
        <w:rPr>
          <w:rFonts w:eastAsia="Times New Roman"/>
          <w:szCs w:val="24"/>
          <w:lang w:eastAsia="hr-HR"/>
        </w:rPr>
        <w:t xml:space="preserve">projekt Zagrebačka muza, u srpnju 2020. je objavljen Javni poziv za dodjelu potpora za poticanje književnoga stvaralaštva u 2020. godini, a provodi ga Kulturno informativni centar. Potpora je namijenjena autoricama i autorima za književno-umjetnička djela koja imaju naglasak na stvaranju književnih umjetničkih djela koja populariziraju Zagreb, Zagrepčanke i Zagrepčane – fiktivne ili zbiljske, na temu zagrebačkog potresa.  </w:t>
      </w:r>
    </w:p>
    <w:p w14:paraId="6C6F9476" w14:textId="77777777" w:rsidR="004976E4" w:rsidRDefault="004976E4" w:rsidP="004976E4">
      <w:pPr>
        <w:tabs>
          <w:tab w:val="left" w:pos="-720"/>
        </w:tabs>
        <w:suppressAutoHyphens/>
        <w:spacing w:after="0" w:line="240" w:lineRule="auto"/>
        <w:ind w:right="-2"/>
        <w:jc w:val="both"/>
        <w:rPr>
          <w:rFonts w:eastAsia="Times New Roman" w:cs="Calibri"/>
          <w:bCs/>
          <w:lang w:eastAsia="hr-HR"/>
        </w:rPr>
      </w:pPr>
    </w:p>
    <w:p w14:paraId="6E87DF54" w14:textId="77777777" w:rsidR="004976E4" w:rsidRDefault="004976E4" w:rsidP="004976E4">
      <w:pPr>
        <w:tabs>
          <w:tab w:val="left" w:pos="-720"/>
        </w:tabs>
        <w:suppressAutoHyphens/>
        <w:spacing w:after="0" w:line="240" w:lineRule="auto"/>
        <w:ind w:right="-2"/>
        <w:jc w:val="both"/>
      </w:pPr>
      <w:r>
        <w:rPr>
          <w:b/>
          <w:bCs/>
        </w:rPr>
        <w:t>Strategija kulturnog i kreativnog razvitka Grada Zagreba 2015.- 2022.</w:t>
      </w:r>
      <w:r>
        <w:t xml:space="preserve"> - usvojena je u ožujku 2015. Ovaj javni dokument definira korake, odgovornosti i rokove s ciljem unapređenja područja kulture i umjetnosti čija je  svrha osnaživanje i rast umjetnosti i kulture, ali i doprinos razvoju kreativnih industrija u Gradu Zagrebu. </w:t>
      </w:r>
    </w:p>
    <w:p w14:paraId="6D8F7E11" w14:textId="77777777" w:rsidR="004976E4" w:rsidRDefault="004976E4" w:rsidP="004976E4">
      <w:pPr>
        <w:tabs>
          <w:tab w:val="left" w:pos="-720"/>
        </w:tabs>
        <w:suppressAutoHyphens/>
        <w:spacing w:after="0" w:line="240" w:lineRule="auto"/>
        <w:ind w:right="-2"/>
        <w:jc w:val="both"/>
      </w:pPr>
    </w:p>
    <w:p w14:paraId="34E44963" w14:textId="77777777" w:rsidR="004976E4" w:rsidRDefault="004976E4" w:rsidP="004976E4">
      <w:pPr>
        <w:tabs>
          <w:tab w:val="left" w:pos="-720"/>
        </w:tabs>
        <w:suppressAutoHyphens/>
        <w:spacing w:after="0" w:line="240" w:lineRule="auto"/>
        <w:ind w:right="-2"/>
        <w:jc w:val="both"/>
        <w:rPr>
          <w:rFonts w:eastAsia="Times New Roman" w:cs="Calibri"/>
          <w:bCs/>
          <w:lang w:eastAsia="hr-HR"/>
        </w:rPr>
      </w:pPr>
      <w:r w:rsidRPr="002C5D8F">
        <w:rPr>
          <w:rFonts w:cs="Calibri"/>
          <w:b/>
          <w:iCs/>
        </w:rPr>
        <w:t>Knjižnična djelatnost</w:t>
      </w:r>
      <w:r w:rsidRPr="002C5D8F">
        <w:rPr>
          <w:rFonts w:cs="Calibri"/>
          <w:iCs/>
        </w:rPr>
        <w:t xml:space="preserve"> -</w:t>
      </w:r>
      <w:r>
        <w:rPr>
          <w:rFonts w:cs="Calibri"/>
          <w:i/>
        </w:rPr>
        <w:t xml:space="preserve"> </w:t>
      </w:r>
      <w:r>
        <w:rPr>
          <w:rFonts w:cs="Calibri"/>
        </w:rPr>
        <w:t>obuhvaća 1 javnu gradsku ustanovu, Knjižnice grada Zagreba,</w:t>
      </w:r>
      <w:r>
        <w:t xml:space="preserve"> </w:t>
      </w:r>
      <w:r>
        <w:rPr>
          <w:rFonts w:cs="Calibri"/>
        </w:rPr>
        <w:t>suvremeno organiziranu mrežu narodnih knjižnica, na 42 lokacije i  2 bibliobusa. Stanje knjižnog fonda na dan 31.12.2019. je 2.274.928 jedinica knjižne građe i 135.291 zvučne, video i elektroničke građe. U 2019.  priređena</w:t>
      </w:r>
      <w:r>
        <w:t xml:space="preserve"> su 2.423 kulturna programa i aktivnosti za odrasle sa 73.130 posjetitelja te 16.734 akcija za djecu i mlade koje su zahvaljujući besplatnom upisu iznimno dobro posjećene i na kojima je sudjelovalo 140.559 osoba. Knjižnice grada Zagreba u 2019. bilježe 245.440 registriranih korisnika, 157.197 članova te 1.174.808 posjetitelja mrežnih stranica. </w:t>
      </w:r>
      <w:r>
        <w:rPr>
          <w:rFonts w:eastAsia="Times New Roman" w:cs="Calibri"/>
          <w:bCs/>
          <w:lang w:eastAsia="hr-HR"/>
        </w:rPr>
        <w:t>U svrhu stjecanja navika čitanja, poticanja sveukupnog obrazovanja djece te radi zaštite standarda djece, učenika i njihovih roditelja u okviru ukupne demografske i pronatalitetne politike, Grad Zagreb omogućava svoj djeci od rođenja do konca kalendarske godine u kojoj navršavaju 15 godina života, a koji imaju prebivalište u Gradu Zagrebu, besplatno članstvo u Knjižnicama grada Zagreb.</w:t>
      </w:r>
    </w:p>
    <w:p w14:paraId="34E03481" w14:textId="77777777" w:rsidR="004976E4" w:rsidRDefault="004976E4" w:rsidP="004976E4">
      <w:pPr>
        <w:tabs>
          <w:tab w:val="left" w:pos="-720"/>
        </w:tabs>
        <w:suppressAutoHyphens/>
        <w:spacing w:after="0" w:line="240" w:lineRule="auto"/>
        <w:ind w:right="-2"/>
        <w:jc w:val="both"/>
        <w:rPr>
          <w:rFonts w:eastAsia="Times New Roman" w:cs="Calibri"/>
          <w:bCs/>
          <w:lang w:eastAsia="hr-HR"/>
        </w:rPr>
      </w:pPr>
    </w:p>
    <w:p w14:paraId="184B1507" w14:textId="77777777" w:rsidR="004976E4" w:rsidRDefault="004976E4" w:rsidP="004976E4">
      <w:pPr>
        <w:spacing w:line="240" w:lineRule="auto"/>
        <w:jc w:val="both"/>
      </w:pPr>
      <w:r w:rsidRPr="002C5D8F">
        <w:rPr>
          <w:rFonts w:cs="Calibri"/>
          <w:b/>
          <w:iCs/>
        </w:rPr>
        <w:t>Muzejska djelatnost - Muzejska djelatnost</w:t>
      </w:r>
      <w:r>
        <w:rPr>
          <w:rFonts w:cs="Calibri"/>
          <w:b/>
        </w:rPr>
        <w:t xml:space="preserve"> - </w:t>
      </w:r>
      <w:r>
        <w:rPr>
          <w:rFonts w:cs="Calibri"/>
        </w:rPr>
        <w:t xml:space="preserve">obuhvaća 11 javnih ustanova kojima je osnivač Grad Zagreb, 18 muzeja drugih osnivača (Republika Hrvatska, HAZU, udruga) te 8 privatnih muzeja. </w:t>
      </w:r>
      <w:r>
        <w:t>Muzeji kojima je osnivač Grad Zagreb su u 2019. priredili oko 40 velikih izložbi i više od 700 ostalih muzejskih programa, događanja, radionica i manifestacija te bilježe ukupno 1.066.503 posjetitelja.</w:t>
      </w:r>
    </w:p>
    <w:p w14:paraId="1372710E" w14:textId="77777777" w:rsidR="004976E4" w:rsidRDefault="004976E4" w:rsidP="004976E4">
      <w:pPr>
        <w:spacing w:line="240" w:lineRule="auto"/>
        <w:jc w:val="both"/>
      </w:pPr>
      <w:r w:rsidRPr="002C5D8F">
        <w:rPr>
          <w:rFonts w:cs="Calibri"/>
          <w:b/>
          <w:iCs/>
        </w:rPr>
        <w:t>Umjetničke i druge zbirke-donacije Gradu Zagrebu i otkupljene zbirke</w:t>
      </w:r>
      <w:r>
        <w:rPr>
          <w:rFonts w:cs="Calibri"/>
          <w:i/>
        </w:rPr>
        <w:t xml:space="preserve"> -</w:t>
      </w:r>
      <w:r>
        <w:rPr>
          <w:rFonts w:cs="Calibri"/>
          <w:b/>
        </w:rPr>
        <w:t xml:space="preserve"> </w:t>
      </w:r>
      <w:r>
        <w:t xml:space="preserve">Grad je vlasnik 30 zbirki i ostavština iznimne kulturno-povijesne i umjetničke vrijednosti koje su, u razdoblju od 1946., Gradu Zagrebu izravno darovali umjetnici ili privatni kolekcionari kao i njihovi nasljednici, te 3 velike umjetničke zbirke i ostavštine koje je Grad izravno otkupio. Time je Grad postao </w:t>
      </w:r>
      <w:r>
        <w:rPr>
          <w:rFonts w:cs="Calibri"/>
        </w:rPr>
        <w:t xml:space="preserve">vlasnikom više od 200.000 predmeta (slika, skulptura, fotografija, knjiga, predmeta umjetničkog obrta i dr.). </w:t>
      </w:r>
      <w:r>
        <w:t>Većina zbirki ima status zaštićenoga kulturnog dobra, a Grad ih je povjerio na upravljanje pojedinim muzejsko-galerijskim i drugim ustanovama.</w:t>
      </w:r>
    </w:p>
    <w:p w14:paraId="2867F2D0" w14:textId="77777777" w:rsidR="004976E4" w:rsidRDefault="004976E4" w:rsidP="004976E4">
      <w:pPr>
        <w:spacing w:line="240" w:lineRule="auto"/>
        <w:jc w:val="both"/>
      </w:pPr>
      <w:r w:rsidRPr="002C5D8F">
        <w:rPr>
          <w:rFonts w:cs="Calibri"/>
          <w:b/>
          <w:iCs/>
        </w:rPr>
        <w:t>Kazališna i plesna djelatnost</w:t>
      </w:r>
      <w:r>
        <w:rPr>
          <w:rFonts w:cs="Calibri"/>
        </w:rPr>
        <w:t xml:space="preserve"> - obuhvaća 7 javnih gradskih kazališta, Hrvatsko narodno kazalište u Zagrebu (suosnivači Grad Zagreb i Republika Hrvatska), </w:t>
      </w:r>
      <w:r>
        <w:t>profesionalne kazališne družine te plesne ansamble. U 2019. u javnim gradskim kazalištima je održano 1942 izvedbe, od čega 32 premijere koje je pogledalo 392.404 gledatelja, dok je u Hrvatskom narodnom kazalištu održano 303 izvedbi, od čega 11 premijera koje je pogledalo 146.755 gledatelja. Godišnje se realizira četrnaest velikih kazališnih i plesnih manifestacija, a programski su aktivne i strukovne udruge.</w:t>
      </w:r>
    </w:p>
    <w:p w14:paraId="36DAEF67" w14:textId="77777777" w:rsidR="004976E4" w:rsidRDefault="004976E4" w:rsidP="004976E4">
      <w:pPr>
        <w:spacing w:line="240" w:lineRule="auto"/>
        <w:jc w:val="both"/>
        <w:rPr>
          <w:rFonts w:cs="Calibri"/>
        </w:rPr>
      </w:pPr>
      <w:r w:rsidRPr="00A95A0A">
        <w:rPr>
          <w:rFonts w:cs="Calibri"/>
          <w:b/>
          <w:bCs/>
        </w:rPr>
        <w:t>Glazbena djelatnost</w:t>
      </w:r>
      <w:r w:rsidRPr="00A95A0A">
        <w:rPr>
          <w:rFonts w:cs="Calibri"/>
        </w:rPr>
        <w:t xml:space="preserve"> – </w:t>
      </w:r>
      <w:r w:rsidRPr="00A95A0A">
        <w:rPr>
          <w:rFonts w:cs="Calibri"/>
          <w:b/>
          <w:bCs/>
        </w:rPr>
        <w:t>Glazbena djelatnost</w:t>
      </w:r>
      <w:r>
        <w:rPr>
          <w:rFonts w:cs="Calibri"/>
        </w:rPr>
        <w:t> – obuhvaća 2 javne gradske ustanove, K.D. Vatroslav Lisinski koja je u 2019. realizirala 17 koncerata iz ciklusa Lisinski subotom koji su imali 22.041 posjetitelja i Zagrebačku filharmoniju koja je priredila 55 koncerata i imala 34.316 posjetitelja, te brojne komorne ansamble i programe koji se održavaju u centrima za kulturu. Održano je 11 velikih glazbenih festivala i manifestacija.</w:t>
      </w:r>
    </w:p>
    <w:p w14:paraId="081F1418" w14:textId="77777777" w:rsidR="004976E4" w:rsidRDefault="004976E4" w:rsidP="004976E4">
      <w:pPr>
        <w:spacing w:after="0" w:line="240" w:lineRule="auto"/>
        <w:jc w:val="both"/>
        <w:rPr>
          <w:rFonts w:eastAsia="Times New Roman" w:cs="Calibri"/>
          <w:lang w:eastAsia="hr-HR"/>
        </w:rPr>
      </w:pPr>
      <w:r w:rsidRPr="00A95A0A">
        <w:rPr>
          <w:rFonts w:cs="Calibri"/>
          <w:b/>
          <w:bCs/>
        </w:rPr>
        <w:t xml:space="preserve">Likovna djelatnost </w:t>
      </w:r>
      <w:r w:rsidRPr="00A95A0A">
        <w:rPr>
          <w:rFonts w:cs="Calibri"/>
        </w:rPr>
        <w:t>–</w:t>
      </w:r>
      <w:r>
        <w:rPr>
          <w:rFonts w:cs="Calibri"/>
          <w:b/>
          <w:bCs/>
        </w:rPr>
        <w:t xml:space="preserve"> </w:t>
      </w:r>
      <w:r>
        <w:t>obuhvaća javnu gradsku ustanovu Umjetnički paviljon te 18 muzejsko - galerijskih prostora kojima je osnivač Grad Zagreb, što uključuje galerijske prostore  muzeja, knjižnica i centara za kulturu. Programi likovne djelatnosti realiziraju se</w:t>
      </w:r>
      <w:r>
        <w:rPr>
          <w:rFonts w:eastAsia="Times New Roman" w:cs="Calibri"/>
          <w:lang w:eastAsia="hr-HR"/>
        </w:rPr>
        <w:t xml:space="preserve"> i u 38 zagrebačkih galerijskih prostora.</w:t>
      </w:r>
      <w:r>
        <w:t xml:space="preserve"> Uz izložbe održavaju se </w:t>
      </w:r>
      <w:r>
        <w:rPr>
          <w:rFonts w:eastAsia="Times New Roman" w:cs="Calibri"/>
          <w:lang w:eastAsia="hr-HR"/>
        </w:rPr>
        <w:t>razne akcije, manifestacije i predavanja s područja likovnih umjetnosti, dizajna i arhitekture, promocije umjetničkih knjiga i monografija, stručni simpoziji, te programi u alternativnim prostorima koji afirmiraju kulturnu različitost. Aktivno je 9 strukovnih udruga.</w:t>
      </w:r>
    </w:p>
    <w:p w14:paraId="2B528FBF" w14:textId="77777777" w:rsidR="004976E4" w:rsidRDefault="004976E4" w:rsidP="004976E4">
      <w:pPr>
        <w:spacing w:after="0" w:line="240" w:lineRule="auto"/>
        <w:jc w:val="both"/>
        <w:rPr>
          <w:rFonts w:cs="Calibri"/>
          <w:b/>
          <w:bCs/>
        </w:rPr>
      </w:pPr>
    </w:p>
    <w:p w14:paraId="1961609D" w14:textId="77777777" w:rsidR="004976E4" w:rsidRDefault="004976E4" w:rsidP="004976E4">
      <w:pPr>
        <w:pStyle w:val="Tijeloteksta2"/>
        <w:rPr>
          <w:rFonts w:ascii="Calibri" w:hAnsi="Calibri" w:cs="Calibri"/>
          <w:b w:val="0"/>
          <w:bCs w:val="0"/>
          <w:sz w:val="22"/>
          <w:szCs w:val="22"/>
        </w:rPr>
      </w:pPr>
      <w:r w:rsidRPr="00A95A0A">
        <w:rPr>
          <w:rFonts w:ascii="Calibri" w:hAnsi="Calibri" w:cs="Calibri"/>
          <w:sz w:val="22"/>
          <w:szCs w:val="22"/>
        </w:rPr>
        <w:t>Filmska djelatnost</w:t>
      </w:r>
      <w:r>
        <w:rPr>
          <w:rFonts w:ascii="Calibri" w:hAnsi="Calibri" w:cs="Calibri"/>
          <w:b w:val="0"/>
          <w:bCs w:val="0"/>
          <w:sz w:val="22"/>
          <w:szCs w:val="22"/>
        </w:rPr>
        <w:t xml:space="preserve"> - Grad je vlasnik Ustanove Zagreb film, koja je glavni producent i distributer animiranih filmova u Hrvatskoj, a bavi se edukacijom te restauracijom i digitalizacijom animirane filmske baštine. Grad Zagreb je vlasnik dvije kino dvorane - Kino Tuškanac i Kino Europa. Programe filmske i audio-vizualne kulture provode i Centri za kulturu te brojne udruge, umjetničke organizacije i ostali. Godišnje se realizira petnaest većih filmskih festivala.</w:t>
      </w:r>
    </w:p>
    <w:p w14:paraId="47C432CA" w14:textId="77777777" w:rsidR="004976E4" w:rsidRDefault="004976E4" w:rsidP="004976E4">
      <w:pPr>
        <w:pStyle w:val="Tijeloteksta2"/>
        <w:rPr>
          <w:rFonts w:ascii="Calibri" w:hAnsi="Calibri" w:cs="Calibri"/>
          <w:b w:val="0"/>
          <w:bCs w:val="0"/>
          <w:sz w:val="22"/>
          <w:szCs w:val="22"/>
        </w:rPr>
      </w:pPr>
    </w:p>
    <w:p w14:paraId="4CDD3B5C" w14:textId="77777777" w:rsidR="004976E4" w:rsidRDefault="004976E4" w:rsidP="004976E4">
      <w:pPr>
        <w:spacing w:line="240" w:lineRule="auto"/>
        <w:jc w:val="both"/>
        <w:rPr>
          <w:rFonts w:cs="Calibri"/>
        </w:rPr>
      </w:pPr>
      <w:r w:rsidRPr="00A95A0A">
        <w:rPr>
          <w:rFonts w:cs="Calibri"/>
          <w:b/>
          <w:bCs/>
        </w:rPr>
        <w:t>Djelatnost centara za kulturu</w:t>
      </w:r>
      <w:r>
        <w:rPr>
          <w:rFonts w:cs="Calibri"/>
        </w:rPr>
        <w:t xml:space="preserve"> – U gradu Zagrebu djeluje 15 centara za kulturu koji godišnje realiziraju gotovo 500 kulturnih aktivnosti (</w:t>
      </w:r>
      <w:r>
        <w:t>tribine, radionice, prezentacije, predstave, izložbe i edukativne tečajeve) te</w:t>
      </w:r>
      <w:r>
        <w:rPr>
          <w:rFonts w:cs="Calibri"/>
        </w:rPr>
        <w:t xml:space="preserve"> sudjeluju u organizacijskim poslovima svečanih manifestacija od značaja za Grad Zagreb. Centri za kulturu predstavljaju organizacijska i lokacijska središta u kojima se potiče i radi s građanima na lokalnoj razini i mikroprocesima uključivanja građana u kulturne programe i razvoj kulturne ponude grada Zagreba. </w:t>
      </w:r>
    </w:p>
    <w:p w14:paraId="5E3B194D" w14:textId="77777777" w:rsidR="004976E4" w:rsidRDefault="004976E4" w:rsidP="004976E4">
      <w:pPr>
        <w:spacing w:line="240" w:lineRule="auto"/>
        <w:jc w:val="both"/>
        <w:rPr>
          <w:rFonts w:eastAsia="Times New Roman"/>
          <w:szCs w:val="24"/>
        </w:rPr>
      </w:pPr>
      <w:r w:rsidRPr="00A95A0A">
        <w:rPr>
          <w:rFonts w:cs="Calibri"/>
          <w:b/>
          <w:iCs/>
        </w:rPr>
        <w:t>Djelatnost inovativnih umjetničkih i kulturnih praksi</w:t>
      </w:r>
      <w:r>
        <w:rPr>
          <w:rFonts w:cs="Calibri"/>
        </w:rPr>
        <w:t xml:space="preserve"> - odvija se kroz programe </w:t>
      </w:r>
      <w:r>
        <w:rPr>
          <w:rFonts w:eastAsia="Times New Roman"/>
          <w:szCs w:val="24"/>
        </w:rPr>
        <w:t xml:space="preserve">udruga i umjetničkih organizacija koje uključuju </w:t>
      </w:r>
      <w:r>
        <w:rPr>
          <w:lang w:eastAsia="hr-HR"/>
        </w:rPr>
        <w:t xml:space="preserve">inovativne i nove formate suvremenog umjetničkog izraza, interakciju tehnologije, umjetnosti i kulturne proizvodnje, </w:t>
      </w:r>
      <w:r>
        <w:rPr>
          <w:rFonts w:eastAsia="Times New Roman"/>
          <w:szCs w:val="24"/>
        </w:rPr>
        <w:t xml:space="preserve">istraživački </w:t>
      </w:r>
      <w:r>
        <w:rPr>
          <w:lang w:eastAsia="hr-HR"/>
        </w:rPr>
        <w:t xml:space="preserve">i eksperimentalni </w:t>
      </w:r>
      <w:r>
        <w:rPr>
          <w:rFonts w:eastAsia="Times New Roman"/>
          <w:szCs w:val="24"/>
        </w:rPr>
        <w:t>karakter te originalnost koncepta.</w:t>
      </w:r>
      <w:r>
        <w:t xml:space="preserve"> </w:t>
      </w:r>
      <w:r>
        <w:rPr>
          <w:rFonts w:eastAsia="Times New Roman"/>
          <w:szCs w:val="24"/>
        </w:rPr>
        <w:t>Programi su usmjereni i prema društveno angažiranim kulturnim aktivnostima, kao i promicanju umrežavanja i suradnje na lokalnoj, regionalnoj, nacionalnoj i  međunarodnoj razini. Programi se održavaju u klubovima, galerijama i netipičnim mjestima.</w:t>
      </w:r>
    </w:p>
    <w:p w14:paraId="1C4699DC" w14:textId="77777777" w:rsidR="004976E4" w:rsidRDefault="004976E4" w:rsidP="004976E4">
      <w:pPr>
        <w:spacing w:line="240" w:lineRule="auto"/>
        <w:jc w:val="both"/>
        <w:rPr>
          <w:rFonts w:cs="Calibri"/>
        </w:rPr>
      </w:pPr>
      <w:r w:rsidRPr="00A95A0A">
        <w:rPr>
          <w:rFonts w:cs="Calibri"/>
          <w:b/>
          <w:iCs/>
        </w:rPr>
        <w:t>Kulturno-umjetnički amaterizam</w:t>
      </w:r>
      <w:r w:rsidRPr="00A95A0A">
        <w:rPr>
          <w:rFonts w:cs="Calibri"/>
          <w:bCs/>
        </w:rPr>
        <w:t xml:space="preserve"> –</w:t>
      </w:r>
      <w:r>
        <w:rPr>
          <w:rFonts w:cs="Calibri"/>
          <w:b/>
        </w:rPr>
        <w:t xml:space="preserve"> </w:t>
      </w:r>
      <w:r>
        <w:rPr>
          <w:rFonts w:cs="Calibri"/>
        </w:rPr>
        <w:t>obuhvaća kulturne manifestacije, smotre i festivale i raznovrsne programe pojedinačnih amaterskih skupina te udruga koje njeguju glazbenu, kazališnu, plesnu, likovnu i običajnu kulturu. U Gradu Zagrebu djeluje oko 170 kulturno-umjetničkih društava te 4 folklorna ansambla. U 2019. je održano dvadesetak većih manifestacija, smotra i festivala. U provedbi programa folklornog kulturno-umjetničkog amaterizma veliki doprinos daje Zajednica folklornog amaterizma grada Zagreba (ZAFAZ) – strukovna organizacija koja objedinjuje rad sedamdesetak KUD-a.</w:t>
      </w:r>
    </w:p>
    <w:p w14:paraId="5B893C33" w14:textId="77777777" w:rsidR="004976E4" w:rsidRDefault="004976E4" w:rsidP="004976E4">
      <w:pPr>
        <w:spacing w:line="240" w:lineRule="auto"/>
        <w:jc w:val="both"/>
        <w:rPr>
          <w:rFonts w:cs="Calibri"/>
        </w:rPr>
      </w:pPr>
      <w:r w:rsidRPr="00A95A0A">
        <w:rPr>
          <w:rFonts w:cs="Calibri"/>
          <w:b/>
          <w:iCs/>
        </w:rPr>
        <w:t>Međunarodna kulturna</w:t>
      </w:r>
      <w:r>
        <w:rPr>
          <w:rFonts w:cs="Calibri"/>
          <w:b/>
          <w:i/>
        </w:rPr>
        <w:t xml:space="preserve"> </w:t>
      </w:r>
      <w:r w:rsidRPr="00A95A0A">
        <w:rPr>
          <w:rFonts w:cs="Calibri"/>
          <w:b/>
          <w:i/>
        </w:rPr>
        <w:t>s</w:t>
      </w:r>
      <w:r w:rsidRPr="00A95A0A">
        <w:rPr>
          <w:rFonts w:cs="Calibri"/>
          <w:b/>
          <w:iCs/>
        </w:rPr>
        <w:t>uradnja</w:t>
      </w:r>
      <w:r>
        <w:rPr>
          <w:rFonts w:cs="Calibri"/>
        </w:rPr>
        <w:t xml:space="preserve"> - uspostavljena je s brojnim uglednim europskim i svjetskim kulturnim institucijama i organizacijama te pojedincima. Grad Zagreb podupire gostovanja i sudjelovanja naših umjetnika na raznim europskim i svjetskim kulturnim manifestacijama. </w:t>
      </w:r>
      <w:r w:rsidRPr="007E15B4">
        <w:rPr>
          <w:rFonts w:cs="Calibri"/>
          <w:shd w:val="clear" w:color="auto" w:fill="FFFFFF"/>
        </w:rPr>
        <w:t xml:space="preserve">Zbog sve većeg  broja kulturnih programa i njihove prepoznatljivosti, </w:t>
      </w:r>
      <w:r w:rsidRPr="007E15B4">
        <w:rPr>
          <w:rFonts w:cs="Calibri"/>
        </w:rPr>
        <w:t>Grad Zagreb je domaćin i organizator</w:t>
      </w:r>
      <w:r>
        <w:rPr>
          <w:rFonts w:cs="Calibri"/>
        </w:rPr>
        <w:t xml:space="preserve"> nekoliko</w:t>
      </w:r>
      <w:r w:rsidRPr="007E15B4">
        <w:rPr>
          <w:rFonts w:cs="Calibri"/>
        </w:rPr>
        <w:t xml:space="preserve"> velikih kulturnih događaja, izložbi i festivala.</w:t>
      </w:r>
    </w:p>
    <w:p w14:paraId="3AD761F8" w14:textId="77777777" w:rsidR="004976E4" w:rsidRPr="007E15B4" w:rsidRDefault="004976E4" w:rsidP="004976E4">
      <w:pPr>
        <w:spacing w:line="240" w:lineRule="auto"/>
        <w:jc w:val="both"/>
        <w:rPr>
          <w:rFonts w:cs="Calibri"/>
        </w:rPr>
      </w:pPr>
      <w:r>
        <w:rPr>
          <w:rFonts w:cs="Calibri"/>
        </w:rPr>
        <w:t xml:space="preserve">Kulturna ponuda Grada Zagreba je kvalitetna i raznovrsna, međutim s obzirom na očekivani razvoj Grada te posebice povećanje i razvoj publike, postoji potreba za poboljšanjem odnosno tehničkim osuvremenjivanjem, intenzivnijom među i intersektorskom suradnjom te strateškim planiranjem. </w:t>
      </w:r>
    </w:p>
    <w:tbl>
      <w:tblPr>
        <w:tblW w:w="9238" w:type="dxa"/>
        <w:jc w:val="center"/>
        <w:tblLayout w:type="fixed"/>
        <w:tblCellMar>
          <w:left w:w="0" w:type="dxa"/>
          <w:right w:w="0" w:type="dxa"/>
        </w:tblCellMar>
        <w:tblLook w:val="00A0" w:firstRow="1" w:lastRow="0" w:firstColumn="1" w:lastColumn="0" w:noHBand="0" w:noVBand="0"/>
      </w:tblPr>
      <w:tblGrid>
        <w:gridCol w:w="4532"/>
        <w:gridCol w:w="4706"/>
      </w:tblGrid>
      <w:tr w:rsidR="004976E4" w14:paraId="1EBB836A" w14:textId="77777777" w:rsidTr="00F50578">
        <w:trPr>
          <w:jc w:val="center"/>
        </w:trPr>
        <w:tc>
          <w:tcPr>
            <w:tcW w:w="4532" w:type="dxa"/>
            <w:shd w:val="clear" w:color="auto" w:fill="CCCCCC"/>
            <w:tcMar>
              <w:top w:w="0" w:type="dxa"/>
              <w:left w:w="108" w:type="dxa"/>
              <w:bottom w:w="0" w:type="dxa"/>
              <w:right w:w="108" w:type="dxa"/>
            </w:tcMar>
            <w:hideMark/>
          </w:tcPr>
          <w:tbl>
            <w:tblPr>
              <w:tblW w:w="4649" w:type="dxa"/>
              <w:jc w:val="center"/>
              <w:tblLayout w:type="fixed"/>
              <w:tblCellMar>
                <w:left w:w="0" w:type="dxa"/>
                <w:right w:w="0" w:type="dxa"/>
              </w:tblCellMar>
              <w:tblLook w:val="00A0" w:firstRow="1" w:lastRow="0" w:firstColumn="1" w:lastColumn="0" w:noHBand="0" w:noVBand="0"/>
            </w:tblPr>
            <w:tblGrid>
              <w:gridCol w:w="4649"/>
            </w:tblGrid>
            <w:tr w:rsidR="004976E4" w:rsidRPr="00B9461B" w14:paraId="70DBCF4E" w14:textId="77777777" w:rsidTr="00F50578">
              <w:trPr>
                <w:jc w:val="center"/>
              </w:trPr>
              <w:tc>
                <w:tcPr>
                  <w:tcW w:w="4649" w:type="dxa"/>
                  <w:shd w:val="clear" w:color="auto" w:fill="CCCCCC"/>
                  <w:tcMar>
                    <w:top w:w="0" w:type="dxa"/>
                    <w:left w:w="108" w:type="dxa"/>
                    <w:bottom w:w="0" w:type="dxa"/>
                    <w:right w:w="108" w:type="dxa"/>
                  </w:tcMar>
                  <w:hideMark/>
                </w:tcPr>
                <w:p w14:paraId="73D64114" w14:textId="77777777" w:rsidR="004976E4" w:rsidRPr="00B9461B" w:rsidRDefault="004976E4" w:rsidP="00F50578">
                  <w:pPr>
                    <w:pStyle w:val="StandardWeb"/>
                    <w:spacing w:before="60" w:beforeAutospacing="0" w:after="0" w:afterAutospacing="0" w:line="360" w:lineRule="auto"/>
                    <w:rPr>
                      <w:rFonts w:ascii="Calibri" w:hAnsi="Calibri" w:cs="Calibri"/>
                      <w:b/>
                      <w:bCs/>
                      <w:sz w:val="18"/>
                      <w:szCs w:val="18"/>
                    </w:rPr>
                  </w:pPr>
                  <w:r w:rsidRPr="00B9461B">
                    <w:rPr>
                      <w:rFonts w:ascii="Calibri" w:hAnsi="Calibri" w:cs="Calibri"/>
                      <w:b/>
                      <w:bCs/>
                      <w:sz w:val="18"/>
                      <w:szCs w:val="18"/>
                    </w:rPr>
                    <w:t>RAZVOJNI PROBLEMI</w:t>
                  </w:r>
                </w:p>
                <w:p w14:paraId="7D8BA23C" w14:textId="77777777" w:rsidR="004976E4" w:rsidRPr="00B9461B" w:rsidRDefault="004976E4" w:rsidP="00F50578">
                  <w:pPr>
                    <w:pStyle w:val="StandardWeb"/>
                    <w:spacing w:before="60" w:beforeAutospacing="0" w:after="0" w:afterAutospacing="0" w:line="360" w:lineRule="auto"/>
                    <w:rPr>
                      <w:rFonts w:ascii="Calibri" w:hAnsi="Calibri" w:cs="Calibri"/>
                      <w:b/>
                      <w:bCs/>
                      <w:sz w:val="18"/>
                      <w:szCs w:val="18"/>
                    </w:rPr>
                  </w:pPr>
                </w:p>
              </w:tc>
            </w:tr>
            <w:tr w:rsidR="004976E4" w:rsidRPr="00B9461B" w14:paraId="2E8CCDBB" w14:textId="77777777" w:rsidTr="00F50578">
              <w:trPr>
                <w:jc w:val="center"/>
              </w:trPr>
              <w:tc>
                <w:tcPr>
                  <w:tcW w:w="4649" w:type="dxa"/>
                  <w:shd w:val="clear" w:color="auto" w:fill="CCCCCC"/>
                  <w:tcMar>
                    <w:top w:w="0" w:type="dxa"/>
                    <w:left w:w="108" w:type="dxa"/>
                    <w:bottom w:w="0" w:type="dxa"/>
                    <w:right w:w="108" w:type="dxa"/>
                  </w:tcMar>
                </w:tcPr>
                <w:p w14:paraId="3BACD8C0" w14:textId="5BE521A7" w:rsidR="004976E4"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w:t>
                  </w:r>
                  <w:r w:rsidR="004976E4" w:rsidRPr="00B9461B">
                    <w:rPr>
                      <w:rFonts w:ascii="Calibri" w:hAnsi="Calibri" w:cs="Calibri"/>
                      <w:sz w:val="18"/>
                      <w:szCs w:val="18"/>
                    </w:rPr>
                    <w:t>edovoljan interes građana za sudjelovanje u kulturnim događanjima</w:t>
                  </w:r>
                </w:p>
                <w:p w14:paraId="71040980" w14:textId="0AED01C9"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shd w:val="clear" w:color="auto" w:fill="FFFF00"/>
                    </w:rPr>
                  </w:pPr>
                  <w:r>
                    <w:rPr>
                      <w:rFonts w:asciiTheme="minorHAnsi" w:hAnsiTheme="minorHAnsi" w:cstheme="minorHAnsi"/>
                      <w:sz w:val="18"/>
                      <w:szCs w:val="18"/>
                    </w:rPr>
                    <w:t>n</w:t>
                  </w:r>
                  <w:r w:rsidR="004976E4" w:rsidRPr="006A0E87">
                    <w:rPr>
                      <w:rFonts w:asciiTheme="minorHAnsi" w:hAnsiTheme="minorHAnsi" w:cstheme="minorHAnsi"/>
                      <w:sz w:val="18"/>
                      <w:szCs w:val="18"/>
                    </w:rPr>
                    <w:t>edovoljno razvijene metode uključivanja građana i publike u kreativne procese</w:t>
                  </w:r>
                </w:p>
                <w:p w14:paraId="42ED65D7" w14:textId="1FEF6F3C"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trike/>
                      <w:sz w:val="18"/>
                      <w:szCs w:val="18"/>
                    </w:rPr>
                  </w:pPr>
                  <w:r>
                    <w:rPr>
                      <w:rFonts w:asciiTheme="minorHAnsi" w:hAnsiTheme="minorHAnsi" w:cstheme="minorHAnsi"/>
                      <w:sz w:val="18"/>
                      <w:szCs w:val="18"/>
                    </w:rPr>
                    <w:t>n</w:t>
                  </w:r>
                  <w:r w:rsidR="004976E4" w:rsidRPr="006A0E87">
                    <w:rPr>
                      <w:rFonts w:asciiTheme="minorHAnsi" w:hAnsiTheme="minorHAnsi" w:cstheme="minorHAnsi"/>
                      <w:sz w:val="18"/>
                      <w:szCs w:val="18"/>
                    </w:rPr>
                    <w:t>edovoljna vidljivost kulturnih programa</w:t>
                  </w:r>
                </w:p>
                <w:p w14:paraId="2868CA24" w14:textId="53D95B78"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n</w:t>
                  </w:r>
                  <w:r w:rsidR="004976E4" w:rsidRPr="006A0E87">
                    <w:rPr>
                      <w:rFonts w:asciiTheme="minorHAnsi" w:hAnsiTheme="minorHAnsi" w:cstheme="minorHAnsi"/>
                      <w:sz w:val="18"/>
                      <w:szCs w:val="18"/>
                    </w:rPr>
                    <w:t>edostatak inventivnih kulturnih programa</w:t>
                  </w:r>
                </w:p>
                <w:p w14:paraId="571F832B" w14:textId="3F837CEE"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b/>
                      <w:strike/>
                      <w:sz w:val="18"/>
                      <w:szCs w:val="18"/>
                    </w:rPr>
                  </w:pPr>
                  <w:r>
                    <w:rPr>
                      <w:rFonts w:asciiTheme="minorHAnsi" w:hAnsiTheme="minorHAnsi" w:cstheme="minorHAnsi"/>
                      <w:sz w:val="18"/>
                      <w:szCs w:val="18"/>
                    </w:rPr>
                    <w:t>n</w:t>
                  </w:r>
                  <w:r w:rsidR="004976E4" w:rsidRPr="006A0E87">
                    <w:rPr>
                      <w:rFonts w:asciiTheme="minorHAnsi" w:hAnsiTheme="minorHAnsi" w:cstheme="minorHAnsi"/>
                      <w:sz w:val="18"/>
                      <w:szCs w:val="18"/>
                    </w:rPr>
                    <w:t>edovoljno razvijena razmjena programa</w:t>
                  </w:r>
                  <w:r w:rsidR="004976E4" w:rsidRPr="006A0E87">
                    <w:rPr>
                      <w:rFonts w:asciiTheme="minorHAnsi" w:hAnsiTheme="minorHAnsi" w:cstheme="minorHAnsi"/>
                      <w:strike/>
                      <w:sz w:val="18"/>
                      <w:szCs w:val="18"/>
                    </w:rPr>
                    <w:t xml:space="preserve"> </w:t>
                  </w:r>
                </w:p>
                <w:p w14:paraId="07D592FF" w14:textId="77777777" w:rsid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n</w:t>
                  </w:r>
                  <w:r w:rsidR="004976E4" w:rsidRPr="006A0E87">
                    <w:rPr>
                      <w:rFonts w:asciiTheme="minorHAnsi" w:hAnsiTheme="minorHAnsi" w:cstheme="minorHAnsi"/>
                      <w:sz w:val="18"/>
                      <w:szCs w:val="18"/>
                    </w:rPr>
                    <w:t>eravnomjeran raspored kulturnih sadržaja po gradskim četvrtima</w:t>
                  </w:r>
                </w:p>
                <w:p w14:paraId="3A9A2DCB" w14:textId="2774E7E7" w:rsidR="004976E4"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o</w:t>
                  </w:r>
                  <w:r w:rsidR="004976E4" w:rsidRPr="00E17A07">
                    <w:rPr>
                      <w:rFonts w:asciiTheme="minorHAnsi" w:hAnsiTheme="minorHAnsi" w:cstheme="minorHAnsi"/>
                      <w:sz w:val="18"/>
                      <w:szCs w:val="18"/>
                    </w:rPr>
                    <w:t>prema prostora muzeja, kazališta, centara za kulturu, galerija, knjižnica, koncertnih dvorana je u mnogim slučajevima nepotpuna i neadekvatna</w:t>
                  </w:r>
                </w:p>
                <w:p w14:paraId="4E573E10" w14:textId="24AF3478"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n</w:t>
                  </w:r>
                  <w:r w:rsidR="004976E4" w:rsidRPr="006A0E87">
                    <w:rPr>
                      <w:rFonts w:asciiTheme="minorHAnsi" w:hAnsiTheme="minorHAnsi" w:cstheme="minorHAnsi"/>
                      <w:sz w:val="18"/>
                      <w:szCs w:val="18"/>
                    </w:rPr>
                    <w:t xml:space="preserve">edostatak prostornih kapaciteta za provođenje aktivnosti ustanova u kulturi </w:t>
                  </w:r>
                </w:p>
                <w:p w14:paraId="03F4C0B6" w14:textId="76BE2439"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n</w:t>
                  </w:r>
                  <w:r w:rsidR="004976E4" w:rsidRPr="006A0E87">
                    <w:rPr>
                      <w:rFonts w:asciiTheme="minorHAnsi" w:hAnsiTheme="minorHAnsi" w:cstheme="minorHAnsi"/>
                      <w:sz w:val="18"/>
                      <w:szCs w:val="18"/>
                    </w:rPr>
                    <w:t>edostatak radnog prostora za umjetnike, udruge i</w:t>
                  </w:r>
                  <w:r w:rsidR="004976E4" w:rsidRPr="006A0E87">
                    <w:rPr>
                      <w:rFonts w:asciiTheme="minorHAnsi" w:hAnsiTheme="minorHAnsi" w:cstheme="minorHAnsi"/>
                      <w:sz w:val="18"/>
                      <w:szCs w:val="18"/>
                      <w:shd w:val="clear" w:color="auto" w:fill="FFFF00"/>
                    </w:rPr>
                    <w:t xml:space="preserve"> </w:t>
                  </w:r>
                  <w:r w:rsidR="004976E4" w:rsidRPr="006A0E87">
                    <w:rPr>
                      <w:rFonts w:asciiTheme="minorHAnsi" w:hAnsiTheme="minorHAnsi" w:cstheme="minorHAnsi"/>
                      <w:sz w:val="18"/>
                      <w:szCs w:val="18"/>
                    </w:rPr>
                    <w:t>umjetničke organizacije</w:t>
                  </w:r>
                </w:p>
                <w:p w14:paraId="5F91B1E0" w14:textId="1D7115FA" w:rsidR="004976E4" w:rsidRPr="006A3D8F"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shd w:val="clear" w:color="auto" w:fill="FFFF00"/>
                    </w:rPr>
                  </w:pPr>
                  <w:r>
                    <w:rPr>
                      <w:rFonts w:asciiTheme="minorHAnsi" w:hAnsiTheme="minorHAnsi" w:cstheme="minorHAnsi"/>
                      <w:sz w:val="18"/>
                      <w:szCs w:val="18"/>
                    </w:rPr>
                    <w:t>n</w:t>
                  </w:r>
                  <w:r w:rsidR="004976E4" w:rsidRPr="006A0E87">
                    <w:rPr>
                      <w:rFonts w:asciiTheme="minorHAnsi" w:hAnsiTheme="minorHAnsi" w:cstheme="minorHAnsi"/>
                      <w:sz w:val="18"/>
                      <w:szCs w:val="18"/>
                    </w:rPr>
                    <w:t>edostatna suradnja između institucionalnog i nezavisnog sektora</w:t>
                  </w:r>
                </w:p>
                <w:p w14:paraId="4FC66D4D" w14:textId="391629F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shd w:val="clear" w:color="auto" w:fill="FFFF00"/>
                    </w:rPr>
                  </w:pPr>
                  <w:r>
                    <w:rPr>
                      <w:rFonts w:asciiTheme="minorHAnsi" w:hAnsiTheme="minorHAnsi" w:cstheme="minorHAnsi"/>
                      <w:sz w:val="18"/>
                      <w:szCs w:val="18"/>
                    </w:rPr>
                    <w:t>n</w:t>
                  </w:r>
                  <w:r w:rsidR="004976E4">
                    <w:rPr>
                      <w:rFonts w:asciiTheme="minorHAnsi" w:hAnsiTheme="minorHAnsi" w:cstheme="minorHAnsi"/>
                      <w:sz w:val="18"/>
                      <w:szCs w:val="18"/>
                    </w:rPr>
                    <w:t>edostatna međusektorska suradnja (poduzetništvo, KKI i dr.)</w:t>
                  </w:r>
                </w:p>
                <w:p w14:paraId="519856D5" w14:textId="2A17DCEF"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n</w:t>
                  </w:r>
                  <w:r w:rsidR="004976E4" w:rsidRPr="006A0E87">
                    <w:rPr>
                      <w:rFonts w:asciiTheme="minorHAnsi" w:hAnsiTheme="minorHAnsi" w:cstheme="minorHAnsi"/>
                      <w:sz w:val="18"/>
                      <w:szCs w:val="18"/>
                    </w:rPr>
                    <w:t xml:space="preserve">edovoljno povlačenje bespovratnih sredstava </w:t>
                  </w:r>
                </w:p>
                <w:p w14:paraId="5C481486" w14:textId="028B5131"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shd w:val="clear" w:color="auto" w:fill="FFFF00"/>
                    </w:rPr>
                  </w:pPr>
                  <w:r>
                    <w:rPr>
                      <w:rFonts w:asciiTheme="minorHAnsi" w:hAnsiTheme="minorHAnsi" w:cstheme="minorHAnsi"/>
                      <w:sz w:val="18"/>
                      <w:szCs w:val="18"/>
                    </w:rPr>
                    <w:t>n</w:t>
                  </w:r>
                  <w:r w:rsidR="004976E4" w:rsidRPr="006A0E87">
                    <w:rPr>
                      <w:rFonts w:asciiTheme="minorHAnsi" w:hAnsiTheme="minorHAnsi" w:cstheme="minorHAnsi"/>
                      <w:sz w:val="18"/>
                      <w:szCs w:val="18"/>
                    </w:rPr>
                    <w:t>edovoljna poduzetnost ustanova u kulturi i umjetnosti</w:t>
                  </w:r>
                </w:p>
                <w:p w14:paraId="54484F24" w14:textId="36B4F080"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shd w:val="clear" w:color="auto" w:fill="FFFF00"/>
                    </w:rPr>
                  </w:pPr>
                  <w:r>
                    <w:rPr>
                      <w:rFonts w:asciiTheme="minorHAnsi" w:hAnsiTheme="minorHAnsi" w:cstheme="minorHAnsi"/>
                      <w:sz w:val="18"/>
                      <w:szCs w:val="18"/>
                    </w:rPr>
                    <w:t>n</w:t>
                  </w:r>
                  <w:r w:rsidR="004976E4" w:rsidRPr="006A0E87">
                    <w:rPr>
                      <w:rFonts w:asciiTheme="minorHAnsi" w:hAnsiTheme="minorHAnsi" w:cstheme="minorHAnsi"/>
                      <w:sz w:val="18"/>
                      <w:szCs w:val="18"/>
                    </w:rPr>
                    <w:t>edostatak dugoročnog planiranja u kulturi</w:t>
                  </w:r>
                </w:p>
                <w:p w14:paraId="7510F895" w14:textId="4D72B2B4" w:rsidR="004976E4" w:rsidRPr="006A0E8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shd w:val="clear" w:color="auto" w:fill="FFFF00"/>
                    </w:rPr>
                  </w:pPr>
                  <w:r>
                    <w:rPr>
                      <w:rFonts w:asciiTheme="minorHAnsi" w:hAnsiTheme="minorHAnsi" w:cstheme="minorHAnsi"/>
                      <w:sz w:val="18"/>
                      <w:szCs w:val="18"/>
                    </w:rPr>
                    <w:t>n</w:t>
                  </w:r>
                  <w:r w:rsidR="004976E4" w:rsidRPr="006A0E87">
                    <w:rPr>
                      <w:rFonts w:asciiTheme="minorHAnsi" w:hAnsiTheme="minorHAnsi" w:cstheme="minorHAnsi"/>
                      <w:sz w:val="18"/>
                      <w:szCs w:val="18"/>
                    </w:rPr>
                    <w:t xml:space="preserve">edovoljna uključenost u europski kulturni prostor </w:t>
                  </w:r>
                </w:p>
                <w:p w14:paraId="271D6A89" w14:textId="77777777" w:rsidR="004976E4" w:rsidRPr="00B9461B" w:rsidRDefault="004976E4" w:rsidP="00F50578">
                  <w:pPr>
                    <w:pStyle w:val="StandardWeb"/>
                    <w:spacing w:before="60" w:beforeAutospacing="0" w:after="60" w:afterAutospacing="0"/>
                    <w:ind w:right="-2"/>
                    <w:rPr>
                      <w:rFonts w:ascii="Calibri" w:hAnsi="Calibri" w:cs="Calibri"/>
                      <w:sz w:val="18"/>
                      <w:szCs w:val="18"/>
                      <w:shd w:val="clear" w:color="auto" w:fill="FFFF00"/>
                    </w:rPr>
                  </w:pPr>
                </w:p>
              </w:tc>
            </w:tr>
          </w:tbl>
          <w:p w14:paraId="6ABD4F1B" w14:textId="77777777" w:rsidR="004976E4" w:rsidRPr="00B9461B" w:rsidRDefault="004976E4" w:rsidP="00F50578">
            <w:pPr>
              <w:pStyle w:val="StandardWeb"/>
              <w:spacing w:before="60" w:beforeAutospacing="0" w:after="0" w:afterAutospacing="0" w:line="360" w:lineRule="auto"/>
              <w:rPr>
                <w:rFonts w:ascii="Calibri" w:hAnsi="Calibri" w:cs="Calibri"/>
                <w:b/>
                <w:bCs/>
                <w:strike/>
                <w:sz w:val="18"/>
                <w:szCs w:val="18"/>
              </w:rPr>
            </w:pPr>
          </w:p>
        </w:tc>
        <w:tc>
          <w:tcPr>
            <w:tcW w:w="4706" w:type="dxa"/>
            <w:shd w:val="clear" w:color="auto" w:fill="99CCFF"/>
            <w:tcMar>
              <w:top w:w="0" w:type="dxa"/>
              <w:left w:w="108" w:type="dxa"/>
              <w:bottom w:w="0" w:type="dxa"/>
              <w:right w:w="108" w:type="dxa"/>
            </w:tcMar>
            <w:hideMark/>
          </w:tcPr>
          <w:p w14:paraId="7B90A648" w14:textId="77777777" w:rsidR="004976E4" w:rsidRPr="00F83655" w:rsidRDefault="004976E4" w:rsidP="00F50578">
            <w:pPr>
              <w:pStyle w:val="StandardWeb"/>
              <w:tabs>
                <w:tab w:val="num" w:pos="284"/>
                <w:tab w:val="num" w:pos="720"/>
              </w:tabs>
              <w:spacing w:before="60" w:beforeAutospacing="0" w:after="60" w:afterAutospacing="0" w:line="360" w:lineRule="auto"/>
              <w:ind w:right="-2"/>
              <w:rPr>
                <w:rFonts w:ascii="Calibri" w:hAnsi="Calibri" w:cs="Calibri"/>
                <w:b/>
                <w:bCs/>
                <w:sz w:val="18"/>
                <w:szCs w:val="18"/>
              </w:rPr>
            </w:pPr>
            <w:r w:rsidRPr="00F83655">
              <w:rPr>
                <w:rFonts w:ascii="Calibri" w:hAnsi="Calibri" w:cs="Calibri"/>
                <w:b/>
                <w:bCs/>
                <w:sz w:val="18"/>
                <w:szCs w:val="18"/>
              </w:rPr>
              <w:t>RAZVOJNE POTREBE</w:t>
            </w:r>
          </w:p>
          <w:p w14:paraId="77481270" w14:textId="2CDE2C07" w:rsidR="004976E4" w:rsidRPr="00E17A07" w:rsidRDefault="00E17A07" w:rsidP="00165C16">
            <w:pPr>
              <w:numPr>
                <w:ilvl w:val="0"/>
                <w:numId w:val="1"/>
              </w:numPr>
              <w:tabs>
                <w:tab w:val="clear" w:pos="720"/>
                <w:tab w:val="num" w:pos="284"/>
                <w:tab w:val="num" w:pos="360"/>
              </w:tabs>
              <w:spacing w:before="60" w:after="60" w:line="240" w:lineRule="auto"/>
              <w:ind w:left="284" w:right="-2" w:hanging="284"/>
              <w:rPr>
                <w:rFonts w:eastAsia="Times New Roman" w:cstheme="minorHAnsi"/>
                <w:sz w:val="18"/>
                <w:szCs w:val="18"/>
              </w:rPr>
            </w:pPr>
            <w:r w:rsidRPr="00E17A07">
              <w:rPr>
                <w:rFonts w:eastAsia="Times New Roman" w:cstheme="minorHAnsi"/>
                <w:sz w:val="18"/>
                <w:szCs w:val="18"/>
              </w:rPr>
              <w:t>p</w:t>
            </w:r>
            <w:r w:rsidR="004976E4" w:rsidRPr="00E17A07">
              <w:rPr>
                <w:rFonts w:eastAsia="Times New Roman" w:cstheme="minorHAnsi"/>
                <w:sz w:val="18"/>
                <w:szCs w:val="18"/>
              </w:rPr>
              <w:t>ovećati interes građana za umjetnost i kulturu te ih potaknuti na kreativno stvaralaštvo kroz povezivanje edukativnih i kulturnih programa</w:t>
            </w:r>
          </w:p>
          <w:p w14:paraId="22F83D50" w14:textId="13DF7F49" w:rsidR="004976E4" w:rsidRPr="00E17A07" w:rsidRDefault="00E17A07" w:rsidP="00165C16">
            <w:pPr>
              <w:numPr>
                <w:ilvl w:val="0"/>
                <w:numId w:val="1"/>
              </w:numPr>
              <w:tabs>
                <w:tab w:val="clear" w:pos="720"/>
                <w:tab w:val="num" w:pos="284"/>
                <w:tab w:val="num" w:pos="360"/>
              </w:tabs>
              <w:spacing w:before="60" w:after="60" w:line="240" w:lineRule="auto"/>
              <w:ind w:left="284" w:right="-2" w:hanging="284"/>
              <w:rPr>
                <w:rFonts w:eastAsia="Times New Roman" w:cstheme="minorHAnsi"/>
                <w:sz w:val="18"/>
                <w:szCs w:val="18"/>
              </w:rPr>
            </w:pPr>
            <w:r w:rsidRPr="00E17A07">
              <w:rPr>
                <w:rFonts w:eastAsia="Times New Roman" w:cstheme="minorHAnsi"/>
                <w:sz w:val="18"/>
                <w:szCs w:val="18"/>
              </w:rPr>
              <w:t>o</w:t>
            </w:r>
            <w:r w:rsidR="004976E4" w:rsidRPr="00E17A07">
              <w:rPr>
                <w:rFonts w:eastAsia="Times New Roman" w:cstheme="minorHAnsi"/>
                <w:sz w:val="18"/>
                <w:szCs w:val="18"/>
              </w:rPr>
              <w:t>siguravati prostore i sadržaje putem kojih bi gradsko stanovništvo moglo zadovoljiti svoje kulturne potrebe u svim gradskim četvrtima</w:t>
            </w:r>
          </w:p>
          <w:p w14:paraId="2854EBD3" w14:textId="530D813A" w:rsidR="004976E4" w:rsidRPr="00E17A07" w:rsidRDefault="00E17A07" w:rsidP="00165C16">
            <w:pPr>
              <w:numPr>
                <w:ilvl w:val="0"/>
                <w:numId w:val="1"/>
              </w:numPr>
              <w:tabs>
                <w:tab w:val="clear" w:pos="720"/>
                <w:tab w:val="num" w:pos="284"/>
                <w:tab w:val="num" w:pos="360"/>
              </w:tabs>
              <w:spacing w:before="60" w:after="60" w:line="240" w:lineRule="auto"/>
              <w:ind w:left="284" w:right="-2" w:hanging="284"/>
              <w:rPr>
                <w:rFonts w:eastAsia="Times New Roman" w:cstheme="minorHAnsi"/>
                <w:sz w:val="18"/>
                <w:szCs w:val="18"/>
              </w:rPr>
            </w:pPr>
            <w:r w:rsidRPr="00E17A07">
              <w:rPr>
                <w:rFonts w:eastAsia="Times New Roman" w:cstheme="minorHAnsi"/>
                <w:sz w:val="18"/>
                <w:szCs w:val="18"/>
              </w:rPr>
              <w:t>o</w:t>
            </w:r>
            <w:r w:rsidR="004976E4" w:rsidRPr="00E17A07">
              <w:rPr>
                <w:rFonts w:eastAsia="Times New Roman" w:cstheme="minorHAnsi"/>
                <w:sz w:val="18"/>
                <w:szCs w:val="18"/>
              </w:rPr>
              <w:t xml:space="preserve">sigurati suvremenu tehnologiju za rad ustanova u kulturi </w:t>
            </w:r>
          </w:p>
          <w:p w14:paraId="5CE7B53F" w14:textId="554E9832" w:rsidR="004976E4" w:rsidRPr="00FE3F4A" w:rsidRDefault="004976E4" w:rsidP="00165C16">
            <w:pPr>
              <w:numPr>
                <w:ilvl w:val="0"/>
                <w:numId w:val="1"/>
              </w:numPr>
              <w:tabs>
                <w:tab w:val="clear" w:pos="720"/>
                <w:tab w:val="num" w:pos="284"/>
                <w:tab w:val="num" w:pos="360"/>
              </w:tabs>
              <w:spacing w:before="60" w:after="60" w:line="240" w:lineRule="auto"/>
              <w:ind w:left="284" w:right="-2" w:hanging="284"/>
              <w:rPr>
                <w:rFonts w:eastAsia="Times New Roman" w:cstheme="minorHAnsi"/>
                <w:sz w:val="18"/>
                <w:szCs w:val="18"/>
              </w:rPr>
            </w:pPr>
            <w:r w:rsidRPr="00FE3F4A">
              <w:rPr>
                <w:rFonts w:eastAsia="Times New Roman" w:cstheme="minorHAnsi"/>
                <w:sz w:val="18"/>
                <w:szCs w:val="18"/>
              </w:rPr>
              <w:t>novi izvor</w:t>
            </w:r>
            <w:r w:rsidR="00FE3F4A" w:rsidRPr="00FE3F4A">
              <w:rPr>
                <w:rFonts w:eastAsia="Times New Roman" w:cstheme="minorHAnsi"/>
                <w:sz w:val="18"/>
                <w:szCs w:val="18"/>
              </w:rPr>
              <w:t>i</w:t>
            </w:r>
            <w:r w:rsidRPr="00FE3F4A">
              <w:rPr>
                <w:rFonts w:eastAsia="Times New Roman" w:cstheme="minorHAnsi"/>
                <w:sz w:val="18"/>
                <w:szCs w:val="18"/>
              </w:rPr>
              <w:t xml:space="preserve"> financiranja</w:t>
            </w:r>
          </w:p>
          <w:p w14:paraId="4021298C" w14:textId="14167605" w:rsidR="004976E4" w:rsidRPr="00E17A07" w:rsidRDefault="00E17A07" w:rsidP="00165C16">
            <w:pPr>
              <w:numPr>
                <w:ilvl w:val="0"/>
                <w:numId w:val="1"/>
              </w:numPr>
              <w:tabs>
                <w:tab w:val="clear" w:pos="720"/>
                <w:tab w:val="num" w:pos="284"/>
                <w:tab w:val="num" w:pos="360"/>
              </w:tabs>
              <w:spacing w:before="60" w:after="60" w:line="240" w:lineRule="auto"/>
              <w:ind w:left="284" w:right="-2" w:hanging="284"/>
              <w:rPr>
                <w:rFonts w:eastAsia="Times New Roman" w:cstheme="minorHAnsi"/>
                <w:sz w:val="18"/>
                <w:szCs w:val="18"/>
              </w:rPr>
            </w:pPr>
            <w:r w:rsidRPr="00E17A07">
              <w:rPr>
                <w:rFonts w:eastAsia="Times New Roman" w:cstheme="minorHAnsi"/>
                <w:sz w:val="18"/>
                <w:szCs w:val="18"/>
              </w:rPr>
              <w:t>k</w:t>
            </w:r>
            <w:r w:rsidR="004976E4" w:rsidRPr="00E17A07">
              <w:rPr>
                <w:rFonts w:eastAsia="Times New Roman" w:cstheme="minorHAnsi"/>
                <w:sz w:val="18"/>
                <w:szCs w:val="18"/>
              </w:rPr>
              <w:t xml:space="preserve">ontinuirano educirati i informirati ustanove u kulturi i nezavisan sektor o mogućnostima financiranja programa i projekata infrastrukturnih projekata </w:t>
            </w:r>
            <w:r w:rsidR="004976E4" w:rsidRPr="00E17A07">
              <w:rPr>
                <w:rFonts w:cstheme="minorHAnsi"/>
                <w:sz w:val="18"/>
                <w:szCs w:val="18"/>
              </w:rPr>
              <w:t>bespovratnim sredstvima EU i/ili sredstvima drugih nacionalnih i/ili međunarodnih institucija</w:t>
            </w:r>
          </w:p>
          <w:p w14:paraId="5343BCC5" w14:textId="55EF77D6" w:rsidR="004976E4" w:rsidRPr="00E17A07" w:rsidRDefault="00E17A07" w:rsidP="00165C16">
            <w:pPr>
              <w:numPr>
                <w:ilvl w:val="0"/>
                <w:numId w:val="1"/>
              </w:numPr>
              <w:tabs>
                <w:tab w:val="clear" w:pos="720"/>
                <w:tab w:val="num" w:pos="284"/>
                <w:tab w:val="num" w:pos="360"/>
              </w:tabs>
              <w:spacing w:before="60" w:after="60" w:line="240" w:lineRule="auto"/>
              <w:ind w:left="284" w:right="-2" w:hanging="284"/>
              <w:rPr>
                <w:rFonts w:eastAsia="Times New Roman" w:cstheme="minorHAnsi"/>
                <w:sz w:val="18"/>
                <w:szCs w:val="18"/>
              </w:rPr>
            </w:pPr>
            <w:r w:rsidRPr="00E17A07">
              <w:rPr>
                <w:rFonts w:eastAsia="Times New Roman" w:cstheme="minorHAnsi"/>
                <w:sz w:val="18"/>
                <w:szCs w:val="18"/>
              </w:rPr>
              <w:t>i</w:t>
            </w:r>
            <w:r w:rsidR="004976E4" w:rsidRPr="00E17A07">
              <w:rPr>
                <w:rFonts w:eastAsia="Times New Roman" w:cstheme="minorHAnsi"/>
                <w:sz w:val="18"/>
                <w:szCs w:val="18"/>
              </w:rPr>
              <w:t xml:space="preserve">zgraditi nove objekte sukladno specifičnim potrebama ustanova, te poticati revitalizaciju zapuštenih industrijskih objekata </w:t>
            </w:r>
          </w:p>
          <w:p w14:paraId="68ADB465" w14:textId="324FD2A3" w:rsidR="004976E4" w:rsidRPr="00E17A07" w:rsidRDefault="00E17A07"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shd w:val="clear" w:color="auto" w:fill="FFFF00"/>
              </w:rPr>
            </w:pPr>
            <w:r w:rsidRPr="00E17A07">
              <w:rPr>
                <w:rFonts w:asciiTheme="minorHAnsi" w:hAnsiTheme="minorHAnsi" w:cstheme="minorHAnsi"/>
                <w:sz w:val="18"/>
                <w:szCs w:val="18"/>
              </w:rPr>
              <w:t>o</w:t>
            </w:r>
            <w:r w:rsidR="004976E4" w:rsidRPr="00E17A07">
              <w:rPr>
                <w:rFonts w:asciiTheme="minorHAnsi" w:hAnsiTheme="minorHAnsi" w:cstheme="minorHAnsi"/>
                <w:sz w:val="18"/>
                <w:szCs w:val="18"/>
              </w:rPr>
              <w:t>sigurati zajedničku čuvaonicu za pohranu građe za potrebe ustanova kulture kojima je osnivač Grad Zagreb, a u skladu s potrebama pojedinih kulturnih djelatnosti (osobito muzejske)</w:t>
            </w:r>
            <w:r w:rsidR="004976E4" w:rsidRPr="00E17A07">
              <w:rPr>
                <w:rFonts w:asciiTheme="minorHAnsi" w:hAnsiTheme="minorHAnsi" w:cstheme="minorHAnsi"/>
                <w:lang w:eastAsia="hr-HR"/>
              </w:rPr>
              <w:t xml:space="preserve"> </w:t>
            </w:r>
          </w:p>
          <w:p w14:paraId="7BE3E6A5" w14:textId="7777777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o</w:t>
            </w:r>
            <w:r w:rsidR="004976E4" w:rsidRPr="00E17A07">
              <w:rPr>
                <w:rFonts w:asciiTheme="minorHAnsi" w:hAnsiTheme="minorHAnsi" w:cstheme="minorHAnsi"/>
                <w:sz w:val="18"/>
                <w:szCs w:val="18"/>
              </w:rPr>
              <w:t>sigurati radne prostore za umjetnike, udruge i umjetničke organizacije</w:t>
            </w:r>
          </w:p>
          <w:p w14:paraId="7DCE022F" w14:textId="7777777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p</w:t>
            </w:r>
            <w:r w:rsidR="004976E4" w:rsidRPr="00E17A07">
              <w:rPr>
                <w:rFonts w:asciiTheme="minorHAnsi" w:hAnsiTheme="minorHAnsi" w:cstheme="minorHAnsi"/>
                <w:sz w:val="18"/>
                <w:szCs w:val="18"/>
              </w:rPr>
              <w:t>oticati nacionalnu i međunarodnu suradnju umjetnika i organizacija u kulturi i razmjenu programa</w:t>
            </w:r>
          </w:p>
          <w:p w14:paraId="34837509" w14:textId="7777777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p</w:t>
            </w:r>
            <w:r w:rsidR="004976E4" w:rsidRPr="00E17A07">
              <w:rPr>
                <w:rFonts w:asciiTheme="minorHAnsi" w:hAnsiTheme="minorHAnsi" w:cstheme="minorHAnsi"/>
                <w:sz w:val="18"/>
                <w:szCs w:val="18"/>
              </w:rPr>
              <w:t>romicati ugled Grada Zagreba u svijetu podupiranjem realizacije međunarodnih kulturnih manifestacija i time pridonositi turističkoj ponudi grada</w:t>
            </w:r>
          </w:p>
          <w:p w14:paraId="33BDF1A4" w14:textId="7777777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p</w:t>
            </w:r>
            <w:r w:rsidR="004976E4" w:rsidRPr="00E17A07">
              <w:rPr>
                <w:rFonts w:asciiTheme="minorHAnsi" w:hAnsiTheme="minorHAnsi" w:cstheme="minorHAnsi"/>
                <w:sz w:val="18"/>
                <w:szCs w:val="18"/>
              </w:rPr>
              <w:t>oticati  otvorenost institucija u realizaciji suradničkih projekata s nezavisnim kulturnim sektorom</w:t>
            </w:r>
          </w:p>
          <w:p w14:paraId="6BA70EA4" w14:textId="7777777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p</w:t>
            </w:r>
            <w:r w:rsidR="004976E4" w:rsidRPr="00E17A07">
              <w:rPr>
                <w:rFonts w:asciiTheme="minorHAnsi" w:hAnsiTheme="minorHAnsi" w:cstheme="minorHAnsi"/>
                <w:sz w:val="18"/>
                <w:szCs w:val="18"/>
              </w:rPr>
              <w:t>oticati poduzetništvo u kulturi</w:t>
            </w:r>
          </w:p>
          <w:p w14:paraId="385913F0" w14:textId="7777777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p</w:t>
            </w:r>
            <w:r w:rsidR="004976E4" w:rsidRPr="00E17A07">
              <w:rPr>
                <w:rFonts w:asciiTheme="minorHAnsi" w:hAnsiTheme="minorHAnsi" w:cstheme="minorHAnsi"/>
                <w:sz w:val="18"/>
                <w:szCs w:val="18"/>
              </w:rPr>
              <w:t>romovirati zagrebačku kulturu u europskom kulturnom prostoru</w:t>
            </w:r>
          </w:p>
          <w:p w14:paraId="3DE6CAEB" w14:textId="77777777" w:rsidR="00E17A07" w:rsidRP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o</w:t>
            </w:r>
            <w:r w:rsidR="004976E4" w:rsidRPr="00E17A07">
              <w:rPr>
                <w:rFonts w:asciiTheme="minorHAnsi" w:hAnsiTheme="minorHAnsi" w:cstheme="minorHAnsi"/>
                <w:sz w:val="18"/>
                <w:szCs w:val="18"/>
              </w:rPr>
              <w:t>sigurati informacijske i komunikacijske tehnologije za povećanje dostupnosti programskih sadržaja</w:t>
            </w:r>
          </w:p>
          <w:p w14:paraId="17BE276D" w14:textId="77777777" w:rsidR="00E17A07" w:rsidRDefault="00E17A07" w:rsidP="00E17A07">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E17A07">
              <w:rPr>
                <w:rFonts w:asciiTheme="minorHAnsi" w:hAnsiTheme="minorHAnsi" w:cstheme="minorHAnsi"/>
                <w:sz w:val="18"/>
                <w:szCs w:val="18"/>
              </w:rPr>
              <w:t>p</w:t>
            </w:r>
            <w:r w:rsidR="004976E4" w:rsidRPr="00E17A07">
              <w:rPr>
                <w:rFonts w:asciiTheme="minorHAnsi" w:hAnsiTheme="minorHAnsi" w:cstheme="minorHAnsi"/>
                <w:sz w:val="18"/>
                <w:szCs w:val="18"/>
              </w:rPr>
              <w:t>rilagoditi kulturne sadržaje osobama sa senzoričkim oštećenjima</w:t>
            </w:r>
          </w:p>
          <w:p w14:paraId="69F3C122" w14:textId="77777777" w:rsidR="00747EC9" w:rsidRDefault="00E17A07" w:rsidP="00747EC9">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pr</w:t>
            </w:r>
            <w:r w:rsidR="004976E4" w:rsidRPr="00E17A07">
              <w:rPr>
                <w:rFonts w:asciiTheme="minorHAnsi" w:hAnsiTheme="minorHAnsi" w:cstheme="minorHAnsi"/>
                <w:sz w:val="18"/>
                <w:szCs w:val="18"/>
              </w:rPr>
              <w:t>omi</w:t>
            </w:r>
            <w:r w:rsidRPr="00E17A07">
              <w:rPr>
                <w:rFonts w:asciiTheme="minorHAnsi" w:hAnsiTheme="minorHAnsi" w:cstheme="minorHAnsi"/>
                <w:sz w:val="18"/>
                <w:szCs w:val="18"/>
              </w:rPr>
              <w:t>cati</w:t>
            </w:r>
            <w:r w:rsidR="004976E4" w:rsidRPr="00E17A07">
              <w:rPr>
                <w:rFonts w:asciiTheme="minorHAnsi" w:hAnsiTheme="minorHAnsi" w:cstheme="minorHAnsi"/>
                <w:sz w:val="18"/>
                <w:szCs w:val="18"/>
              </w:rPr>
              <w:t xml:space="preserve"> kulturne pisane riječi, kulturne baštine  primjenom digitalnih, suvremenih tehnologija</w:t>
            </w:r>
          </w:p>
          <w:p w14:paraId="48DD863C" w14:textId="77777777" w:rsidR="00747EC9" w:rsidRDefault="00747EC9" w:rsidP="00747EC9">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747EC9">
              <w:rPr>
                <w:rFonts w:asciiTheme="minorHAnsi" w:hAnsiTheme="minorHAnsi" w:cstheme="minorHAnsi"/>
                <w:color w:val="000000" w:themeColor="text1"/>
                <w:sz w:val="18"/>
                <w:szCs w:val="18"/>
              </w:rPr>
              <w:t>stvarati okruženje</w:t>
            </w:r>
            <w:r w:rsidR="004976E4" w:rsidRPr="00747EC9">
              <w:rPr>
                <w:rFonts w:asciiTheme="minorHAnsi" w:hAnsiTheme="minorHAnsi" w:cstheme="minorHAnsi"/>
                <w:color w:val="000000" w:themeColor="text1"/>
                <w:sz w:val="18"/>
                <w:szCs w:val="18"/>
              </w:rPr>
              <w:t xml:space="preserve"> za primjenu suvremenih informacijsko komunikacijskih tehnologija u učenju, poučavanju </w:t>
            </w:r>
          </w:p>
          <w:p w14:paraId="4134B975" w14:textId="75738316" w:rsidR="004976E4" w:rsidRPr="00747EC9" w:rsidRDefault="00747EC9" w:rsidP="00747EC9">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Pr>
                <w:rFonts w:asciiTheme="minorHAnsi" w:hAnsiTheme="minorHAnsi" w:cstheme="minorHAnsi"/>
                <w:sz w:val="18"/>
                <w:szCs w:val="18"/>
              </w:rPr>
              <w:t>i</w:t>
            </w:r>
            <w:r w:rsidR="004976E4" w:rsidRPr="00747EC9">
              <w:rPr>
                <w:rFonts w:asciiTheme="minorHAnsi" w:hAnsiTheme="minorHAnsi" w:cstheme="minorHAnsi"/>
                <w:color w:val="000000" w:themeColor="text1"/>
                <w:sz w:val="18"/>
                <w:szCs w:val="18"/>
              </w:rPr>
              <w:t xml:space="preserve">nicirati inovativne i kreativne procese u domeni razvoja i prezentacije kulturnih i kreativnih sadržaja kako bi se potaknuo interes za čitanjem prvenstveno mlađe populacije </w:t>
            </w:r>
          </w:p>
        </w:tc>
      </w:tr>
    </w:tbl>
    <w:p w14:paraId="0214BCD4" w14:textId="6C357748" w:rsidR="004976E4" w:rsidRDefault="004976E4" w:rsidP="007B22DB">
      <w:pPr>
        <w:pStyle w:val="Stil2"/>
      </w:pPr>
      <w:bookmarkStart w:id="31" w:name="_Toc97123791"/>
      <w:r>
        <w:t>2.1.5. Sport i rekreacija</w:t>
      </w:r>
      <w:bookmarkEnd w:id="31"/>
    </w:p>
    <w:p w14:paraId="47D1F6F7" w14:textId="77777777" w:rsidR="004976E4" w:rsidRDefault="004976E4" w:rsidP="004976E4">
      <w:pPr>
        <w:spacing w:line="240" w:lineRule="auto"/>
        <w:jc w:val="both"/>
      </w:pPr>
      <w:bookmarkStart w:id="32" w:name="_Hlk34824950"/>
      <w:r w:rsidRPr="004D23B7">
        <w:rPr>
          <w:rFonts w:cs="Calibri"/>
          <w:bCs/>
        </w:rPr>
        <w:t>U suvremenom svijetu sportska djelatnost sve manje služi za dokolicu i zabavu, a sve je više svakodnevna potreba čovjeka kao aktivnog vježbača. Stalno se i brzo povećava broj sudionika u raznovrsnim sportsko-rekreativnim aktivnostima zbog osobnih spoznaja o  prijekoj potrebi za bavljenje sportom u suvremenom i urbanom načinu života.  Bavljenje sportom, sportskom rekreacijom, promidžba kroz sportske priredbe i postizanje vrhunskih sportskih rezultata osnovni su motivi ulaganja u sport za svaku naprednu sredinu. Sport sukladno svojim ciljevima i društvenim funkcijama predstavlja javno dobro čije korištenje doprinosi blagostanju pojedinaca i društva, stoga sportska djelatnost spada u osob</w:t>
      </w:r>
      <w:r>
        <w:rPr>
          <w:rFonts w:cs="Calibri"/>
          <w:bCs/>
        </w:rPr>
        <w:t>iti interes Grada Zagreba.</w:t>
      </w:r>
      <w:r w:rsidRPr="004D23B7">
        <w:t xml:space="preserve"> </w:t>
      </w:r>
    </w:p>
    <w:p w14:paraId="5CFC4E00" w14:textId="77777777" w:rsidR="004976E4" w:rsidRDefault="004976E4" w:rsidP="004976E4">
      <w:pPr>
        <w:spacing w:line="240" w:lineRule="auto"/>
        <w:jc w:val="both"/>
      </w:pPr>
      <w:r w:rsidRPr="003453DC">
        <w:t>Poticanje građana na sudjelovanje u sportsko-rekreacijskim aktivnostima te</w:t>
      </w:r>
      <w:r>
        <w:t xml:space="preserve"> </w:t>
      </w:r>
      <w:r w:rsidRPr="003453DC">
        <w:t>promidžba Grada kroz organizaciju sportskih priredbi i postizanje vrhunskih sportskih rezultata osnovni su motivi ulaganja u sport za svaku naprednu sredinu. Sport  aktivno doprinosi zdravlju građana, a samim time i njihovu produktivnost u društv</w:t>
      </w:r>
      <w:r>
        <w:t>u.</w:t>
      </w:r>
    </w:p>
    <w:p w14:paraId="564941E5" w14:textId="77777777" w:rsidR="004976E4" w:rsidRPr="004D23B7" w:rsidRDefault="004976E4" w:rsidP="004976E4">
      <w:pPr>
        <w:spacing w:line="240" w:lineRule="auto"/>
        <w:jc w:val="both"/>
        <w:rPr>
          <w:rFonts w:cs="Calibri"/>
          <w:bCs/>
        </w:rPr>
      </w:pPr>
      <w:r w:rsidRPr="004D23B7">
        <w:rPr>
          <w:rFonts w:cs="Calibri"/>
          <w:bCs/>
        </w:rPr>
        <w:t xml:space="preserve">Zagreb se vrhunskim športskim rezultatima može mjeriti i dokazivati na svjetskom planu, a sve većem broju građana omogućava bavljenje mnogim športsko-rekreativnim aktivnostima. </w:t>
      </w:r>
    </w:p>
    <w:p w14:paraId="5371DD9C" w14:textId="77777777" w:rsidR="004976E4" w:rsidRPr="004D23B7" w:rsidRDefault="004976E4" w:rsidP="004976E4">
      <w:pPr>
        <w:spacing w:line="240" w:lineRule="auto"/>
        <w:jc w:val="both"/>
        <w:rPr>
          <w:rFonts w:cs="Calibri"/>
          <w:bCs/>
        </w:rPr>
      </w:pPr>
      <w:r w:rsidRPr="004D23B7">
        <w:rPr>
          <w:rFonts w:cs="Calibri"/>
          <w:bCs/>
        </w:rPr>
        <w:t>Sportske aktivnosti Grada Zagreba odvijaju se u zajedničkoj sinergiji sa Sportskim savezom Grada Zagreba i pridruženim članovima kroz djelovanje:</w:t>
      </w:r>
    </w:p>
    <w:p w14:paraId="524F8755" w14:textId="77777777" w:rsidR="004976E4" w:rsidRPr="004D23B7" w:rsidRDefault="004976E4" w:rsidP="004976E4">
      <w:pPr>
        <w:spacing w:after="0" w:line="240" w:lineRule="auto"/>
        <w:jc w:val="both"/>
        <w:rPr>
          <w:rFonts w:cs="Calibri"/>
          <w:bCs/>
        </w:rPr>
      </w:pPr>
      <w:r w:rsidRPr="004D23B7">
        <w:rPr>
          <w:rFonts w:cs="Calibri"/>
          <w:bCs/>
        </w:rPr>
        <w:t>-</w:t>
      </w:r>
      <w:r w:rsidRPr="004D23B7">
        <w:rPr>
          <w:rFonts w:cs="Calibri"/>
          <w:bCs/>
        </w:rPr>
        <w:tab/>
        <w:t>66 redovne i 3 pridružene članice – gradska sportska saveza</w:t>
      </w:r>
    </w:p>
    <w:p w14:paraId="5007A3AA" w14:textId="77777777" w:rsidR="004976E4" w:rsidRPr="004D23B7" w:rsidRDefault="004976E4" w:rsidP="004976E4">
      <w:pPr>
        <w:spacing w:after="0" w:line="240" w:lineRule="auto"/>
        <w:jc w:val="both"/>
        <w:rPr>
          <w:rFonts w:cs="Calibri"/>
          <w:bCs/>
        </w:rPr>
      </w:pPr>
      <w:r w:rsidRPr="004D23B7">
        <w:rPr>
          <w:rFonts w:cs="Calibri"/>
          <w:bCs/>
        </w:rPr>
        <w:t>-</w:t>
      </w:r>
      <w:r w:rsidRPr="004D23B7">
        <w:rPr>
          <w:rFonts w:cs="Calibri"/>
          <w:bCs/>
        </w:rPr>
        <w:tab/>
        <w:t>Više od 980 sportskih klubova</w:t>
      </w:r>
    </w:p>
    <w:p w14:paraId="501E9E27" w14:textId="77777777" w:rsidR="004976E4" w:rsidRPr="004D23B7" w:rsidRDefault="004976E4" w:rsidP="004976E4">
      <w:pPr>
        <w:spacing w:after="0" w:line="240" w:lineRule="auto"/>
        <w:jc w:val="both"/>
        <w:rPr>
          <w:rFonts w:cs="Calibri"/>
          <w:bCs/>
        </w:rPr>
      </w:pPr>
      <w:r w:rsidRPr="004D23B7">
        <w:rPr>
          <w:rFonts w:cs="Calibri"/>
          <w:bCs/>
        </w:rPr>
        <w:t>-</w:t>
      </w:r>
      <w:r w:rsidRPr="004D23B7">
        <w:rPr>
          <w:rFonts w:cs="Calibri"/>
          <w:bCs/>
        </w:rPr>
        <w:tab/>
        <w:t>Više od 46.500 registriranih aktivnih sportaša u gradskim savezima</w:t>
      </w:r>
    </w:p>
    <w:p w14:paraId="41A61F80" w14:textId="77777777" w:rsidR="004976E4" w:rsidRPr="004D23B7" w:rsidRDefault="004976E4" w:rsidP="004976E4">
      <w:pPr>
        <w:spacing w:after="0" w:line="240" w:lineRule="auto"/>
        <w:jc w:val="both"/>
        <w:rPr>
          <w:rFonts w:cs="Calibri"/>
          <w:bCs/>
        </w:rPr>
      </w:pPr>
      <w:r w:rsidRPr="004D23B7">
        <w:rPr>
          <w:rFonts w:cs="Calibri"/>
          <w:bCs/>
        </w:rPr>
        <w:t>-</w:t>
      </w:r>
      <w:r w:rsidRPr="004D23B7">
        <w:rPr>
          <w:rFonts w:cs="Calibri"/>
          <w:bCs/>
        </w:rPr>
        <w:tab/>
        <w:t>Više od 12.500 učenika na međuškolskim natjecanjima</w:t>
      </w:r>
    </w:p>
    <w:p w14:paraId="1D134978" w14:textId="77777777" w:rsidR="004976E4" w:rsidRPr="004D23B7" w:rsidRDefault="004976E4" w:rsidP="004976E4">
      <w:pPr>
        <w:spacing w:after="0" w:line="240" w:lineRule="auto"/>
        <w:jc w:val="both"/>
        <w:rPr>
          <w:rFonts w:cs="Calibri"/>
          <w:bCs/>
        </w:rPr>
      </w:pPr>
      <w:r w:rsidRPr="004D23B7">
        <w:rPr>
          <w:rFonts w:cs="Calibri"/>
          <w:bCs/>
        </w:rPr>
        <w:t>-</w:t>
      </w:r>
      <w:r w:rsidRPr="004D23B7">
        <w:rPr>
          <w:rFonts w:cs="Calibri"/>
          <w:bCs/>
        </w:rPr>
        <w:tab/>
        <w:t>Više od 8.400 studenata na studentskim natjecanjima u 24 različita sporta</w:t>
      </w:r>
    </w:p>
    <w:p w14:paraId="07F63D84" w14:textId="77777777" w:rsidR="004976E4" w:rsidRPr="004D23B7" w:rsidRDefault="004976E4" w:rsidP="004976E4">
      <w:pPr>
        <w:spacing w:after="0" w:line="240" w:lineRule="auto"/>
        <w:jc w:val="both"/>
        <w:rPr>
          <w:rFonts w:cs="Calibri"/>
          <w:bCs/>
        </w:rPr>
      </w:pPr>
      <w:r w:rsidRPr="004D23B7">
        <w:rPr>
          <w:rFonts w:cs="Calibri"/>
          <w:bCs/>
        </w:rPr>
        <w:t>-</w:t>
      </w:r>
      <w:r w:rsidRPr="004D23B7">
        <w:rPr>
          <w:rFonts w:cs="Calibri"/>
          <w:bCs/>
        </w:rPr>
        <w:tab/>
        <w:t>1.100 aktivnih sportaša osoba s invaliditetom</w:t>
      </w:r>
    </w:p>
    <w:p w14:paraId="0CA297EB" w14:textId="77777777" w:rsidR="004976E4" w:rsidRPr="004D23B7" w:rsidRDefault="004976E4" w:rsidP="004976E4">
      <w:pPr>
        <w:spacing w:after="0" w:line="240" w:lineRule="auto"/>
        <w:jc w:val="both"/>
        <w:rPr>
          <w:rFonts w:cs="Calibri"/>
          <w:bCs/>
        </w:rPr>
      </w:pPr>
      <w:r w:rsidRPr="004D23B7">
        <w:rPr>
          <w:rFonts w:cs="Calibri"/>
          <w:bCs/>
        </w:rPr>
        <w:t>-</w:t>
      </w:r>
      <w:r w:rsidRPr="004D23B7">
        <w:rPr>
          <w:rFonts w:cs="Calibri"/>
          <w:bCs/>
        </w:rPr>
        <w:tab/>
        <w:t>202 gluha i nagluha sportaša</w:t>
      </w:r>
    </w:p>
    <w:p w14:paraId="54AAD73B" w14:textId="77777777" w:rsidR="004976E4" w:rsidRDefault="004976E4" w:rsidP="004976E4">
      <w:pPr>
        <w:spacing w:after="0" w:line="240" w:lineRule="auto"/>
        <w:jc w:val="both"/>
        <w:rPr>
          <w:rFonts w:cs="Calibri"/>
          <w:bCs/>
        </w:rPr>
      </w:pPr>
      <w:r w:rsidRPr="004D23B7">
        <w:rPr>
          <w:rFonts w:cs="Calibri"/>
          <w:bCs/>
        </w:rPr>
        <w:t>-</w:t>
      </w:r>
      <w:r w:rsidRPr="004D23B7">
        <w:rPr>
          <w:rFonts w:cs="Calibri"/>
          <w:bCs/>
        </w:rPr>
        <w:tab/>
        <w:t>Oko 50.000 građana koji sudjeluju u sustavu sportske</w:t>
      </w:r>
      <w:r>
        <w:rPr>
          <w:rFonts w:cs="Calibri"/>
          <w:bCs/>
        </w:rPr>
        <w:t xml:space="preserve"> rekreacije</w:t>
      </w:r>
    </w:p>
    <w:p w14:paraId="390FC980" w14:textId="77777777" w:rsidR="004976E4" w:rsidRDefault="004976E4" w:rsidP="004976E4">
      <w:pPr>
        <w:spacing w:after="0" w:line="240" w:lineRule="auto"/>
        <w:jc w:val="both"/>
        <w:rPr>
          <w:rFonts w:cs="Calibri"/>
          <w:bCs/>
        </w:rPr>
      </w:pPr>
    </w:p>
    <w:p w14:paraId="2DB20FE3" w14:textId="77777777" w:rsidR="004976E4" w:rsidRDefault="004976E4" w:rsidP="004976E4">
      <w:pPr>
        <w:spacing w:line="240" w:lineRule="auto"/>
        <w:jc w:val="both"/>
        <w:rPr>
          <w:rFonts w:cs="Calibri"/>
          <w:bCs/>
        </w:rPr>
      </w:pPr>
      <w:r w:rsidRPr="004D23B7">
        <w:rPr>
          <w:rFonts w:cs="Calibri"/>
          <w:bCs/>
        </w:rPr>
        <w:t>Ukupno kroz zagrebački sport aktivno je u sustavima natjecanja i različitim rekreativnim programima blizu 100.000 građana</w:t>
      </w:r>
      <w:r>
        <w:rPr>
          <w:rFonts w:cs="Calibri"/>
          <w:bCs/>
        </w:rPr>
        <w:t>.</w:t>
      </w:r>
    </w:p>
    <w:p w14:paraId="23184FE2" w14:textId="77777777" w:rsidR="004976E4" w:rsidRDefault="004976E4" w:rsidP="004976E4">
      <w:pPr>
        <w:spacing w:line="240" w:lineRule="auto"/>
        <w:jc w:val="both"/>
        <w:rPr>
          <w:rFonts w:cs="Calibri"/>
          <w:bCs/>
        </w:rPr>
      </w:pPr>
      <w:r w:rsidRPr="004D23B7">
        <w:rPr>
          <w:rFonts w:cs="Calibri"/>
          <w:bCs/>
        </w:rPr>
        <w:t>Programi sportskih saveza i klubova različiti su po programskom opsegu i obuhvatu sudionika, kao i po sportskim rezultatima. Grad Zagreb prati te programe primjenjujući sportske kriterije koji se dopunjavaju i izmjenjuju iz godine u godinu. U zajedničkoj sinergiji</w:t>
      </w:r>
      <w:r>
        <w:rPr>
          <w:rFonts w:cs="Calibri"/>
          <w:bCs/>
        </w:rPr>
        <w:t xml:space="preserve"> </w:t>
      </w:r>
      <w:r w:rsidRPr="004D23B7">
        <w:rPr>
          <w:rFonts w:cs="Calibri"/>
          <w:bCs/>
        </w:rPr>
        <w:t>Sportskog saveza Grada Zagreba i pridruženi</w:t>
      </w:r>
      <w:r>
        <w:rPr>
          <w:rFonts w:cs="Calibri"/>
          <w:bCs/>
        </w:rPr>
        <w:t xml:space="preserve">h </w:t>
      </w:r>
      <w:r w:rsidRPr="004D23B7">
        <w:rPr>
          <w:rFonts w:cs="Calibri"/>
          <w:bCs/>
        </w:rPr>
        <w:t>članovima (savezi i klubovi), nastoje se osmisliti kvalitetni razvojni programi, koji bi predstavljali impuls razvoja zagrebačkog sporta, kako u smislu kvalitete postojećih sportaša, tako i u smislu afirmacije sporta unutar populacije djece i mladih</w:t>
      </w:r>
      <w:r>
        <w:rPr>
          <w:rFonts w:cs="Calibri"/>
          <w:bCs/>
        </w:rPr>
        <w:t>.</w:t>
      </w:r>
    </w:p>
    <w:p w14:paraId="76BD5176" w14:textId="77777777" w:rsidR="004976E4" w:rsidRPr="004D23B7" w:rsidRDefault="004976E4" w:rsidP="004976E4">
      <w:pPr>
        <w:spacing w:line="240" w:lineRule="auto"/>
        <w:jc w:val="both"/>
        <w:rPr>
          <w:rFonts w:cs="Calibri"/>
          <w:bCs/>
        </w:rPr>
      </w:pPr>
      <w:r w:rsidRPr="004D23B7">
        <w:rPr>
          <w:rFonts w:cs="Calibri"/>
          <w:bCs/>
        </w:rPr>
        <w:t>Programska područja sustava sporta:</w:t>
      </w:r>
    </w:p>
    <w:p w14:paraId="57EB1D31"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Ulaganje u razvoj mlađih sportaša, s naročitom pažnjom na darovite sportaše radi stvaranja široke kvalitativne osnove kao uvjeta daljnjega napretka, odnosno očuvanja dostignute razine kvalitete zagrebačkog sporta</w:t>
      </w:r>
    </w:p>
    <w:p w14:paraId="71CBCE6B"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Sportska priprema, organiziranje i provođenje sustava domaćih i međunarodnih natjecanja te opća i posebna zdravstvena zaštita sportaša</w:t>
      </w:r>
    </w:p>
    <w:p w14:paraId="32BAD51C"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Vrhunski sport odnosno vrhunska sportska kvaliteta koja potiče razvoj sporta, stvara kontinuitet vrhunskih sportskih dometa te pridonosi ugledu Grada.</w:t>
      </w:r>
    </w:p>
    <w:p w14:paraId="448E5EED" w14:textId="77777777" w:rsidR="004976E4" w:rsidRDefault="004976E4" w:rsidP="00165C16">
      <w:pPr>
        <w:pStyle w:val="Odlomakpopisa"/>
        <w:numPr>
          <w:ilvl w:val="0"/>
          <w:numId w:val="12"/>
        </w:numPr>
        <w:spacing w:after="0" w:line="240" w:lineRule="auto"/>
        <w:jc w:val="both"/>
        <w:rPr>
          <w:rFonts w:cs="Calibri"/>
          <w:bCs/>
        </w:rPr>
      </w:pPr>
      <w:r w:rsidRPr="004D23B7">
        <w:rPr>
          <w:rFonts w:cs="Calibri"/>
          <w:bCs/>
        </w:rPr>
        <w:t>Poticanje i promicanje sporta organizacijom velikih sportskih priredbi i priredbi od gradskog značaja</w:t>
      </w:r>
    </w:p>
    <w:p w14:paraId="24DC7614"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Stipendije i nagrade za sportske rezultate na osnovi mjerila o vrednovanju sportskih rezultata</w:t>
      </w:r>
    </w:p>
    <w:p w14:paraId="38AA97C9"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Poticanje i promicanje provođenja školskih sportskih aktivnosti osobito djece i mladeži, koji za cilj imaju stvaranje zdravih navika redovitog vježbanja i organizacija sustava natjecanja</w:t>
      </w:r>
    </w:p>
    <w:p w14:paraId="038DCE8B"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Djelovanje zajednice sportskih saveza i udruga Grada Zagreba koje obuhvaćaju promicanje sportskih djelatnosti, stručnog rada u sportu, informacijske djelatnosti u sportu, provođenje dodatnih aktivnosti koje nisu natjecateljskog karaktera</w:t>
      </w:r>
    </w:p>
    <w:p w14:paraId="723959C6"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Izdavačka i promidžbena djelatnost s ciljem senzibiliziranja javnosti o brojnim vrijednostima sporta</w:t>
      </w:r>
    </w:p>
    <w:p w14:paraId="1D35F260"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Sportska rekreacija građana</w:t>
      </w:r>
    </w:p>
    <w:p w14:paraId="39A000A7" w14:textId="77777777" w:rsidR="004976E4" w:rsidRPr="004D23B7" w:rsidRDefault="004976E4" w:rsidP="00165C16">
      <w:pPr>
        <w:pStyle w:val="Odlomakpopisa"/>
        <w:numPr>
          <w:ilvl w:val="0"/>
          <w:numId w:val="12"/>
        </w:numPr>
        <w:spacing w:after="0" w:line="240" w:lineRule="auto"/>
        <w:jc w:val="both"/>
        <w:rPr>
          <w:rFonts w:cs="Calibri"/>
          <w:bCs/>
        </w:rPr>
      </w:pPr>
      <w:r w:rsidRPr="004D23B7">
        <w:rPr>
          <w:rFonts w:cs="Calibri"/>
          <w:bCs/>
        </w:rPr>
        <w:t>Sportske aktivnosti osoba s teškoćama u razvoju i osoba s invaliditetom</w:t>
      </w:r>
    </w:p>
    <w:p w14:paraId="4A45CDD9" w14:textId="77777777" w:rsidR="004976E4" w:rsidRPr="004D23B7" w:rsidRDefault="004976E4" w:rsidP="004976E4">
      <w:pPr>
        <w:pStyle w:val="Odlomakpopisa"/>
        <w:spacing w:after="0" w:line="240" w:lineRule="auto"/>
        <w:ind w:left="405"/>
        <w:jc w:val="both"/>
        <w:rPr>
          <w:rFonts w:cs="Calibri"/>
          <w:bCs/>
        </w:rPr>
      </w:pPr>
    </w:p>
    <w:p w14:paraId="05F2CE2C" w14:textId="77777777" w:rsidR="004976E4" w:rsidRDefault="004976E4" w:rsidP="004976E4">
      <w:pPr>
        <w:spacing w:after="100" w:afterAutospacing="1" w:line="240" w:lineRule="auto"/>
        <w:contextualSpacing/>
        <w:jc w:val="both"/>
        <w:rPr>
          <w:rFonts w:cs="Calibri"/>
          <w:bCs/>
        </w:rPr>
      </w:pPr>
      <w:r w:rsidRPr="00EB404F">
        <w:rPr>
          <w:rFonts w:cs="Calibri"/>
          <w:bCs/>
        </w:rPr>
        <w:t>Sportske aktivnosti Grada Zagreba odvijaju se djelovanjem sportske zajednice koja trenutačno obuhvaća 66 redovna gradska sportska saveza i 3 pridružene članice gradskih sportskih saveza, više od 983 sportska kluba te više od 46.500 registriranih aktivnih sportaša u gradskim savezima. Ukupno 12.522 učenika uključeno je u međuškolska natjecanja te više od 8.452 studenta sudjeluje na sveučilišnim natjecanjima. Rekreacijom se povremeno bavi 50-ak tisuća građana, u sportske aktivnosti osoba s invaliditetom uključeno je 1.100 aktivnih sportaša, a u sport gluhih 202 gluhe i nagluhe osobe. Sportski savezi i klubovi provode programe u 70-ak sportova.</w:t>
      </w:r>
    </w:p>
    <w:p w14:paraId="4EDC2BA6" w14:textId="77777777" w:rsidR="004976E4" w:rsidRDefault="004976E4" w:rsidP="004976E4">
      <w:pPr>
        <w:spacing w:after="100" w:afterAutospacing="1" w:line="240" w:lineRule="auto"/>
        <w:contextualSpacing/>
        <w:jc w:val="both"/>
        <w:rPr>
          <w:rFonts w:cs="Calibri"/>
          <w:bCs/>
        </w:rPr>
      </w:pPr>
    </w:p>
    <w:p w14:paraId="6F836BF3" w14:textId="77777777" w:rsidR="004976E4" w:rsidRDefault="004976E4" w:rsidP="004976E4">
      <w:pPr>
        <w:spacing w:after="100" w:afterAutospacing="1" w:line="240" w:lineRule="auto"/>
        <w:contextualSpacing/>
        <w:jc w:val="both"/>
        <w:rPr>
          <w:rFonts w:cs="Calibri"/>
          <w:bCs/>
        </w:rPr>
      </w:pPr>
      <w:r w:rsidRPr="00EB404F">
        <w:rPr>
          <w:rFonts w:cs="Calibri"/>
          <w:bCs/>
        </w:rPr>
        <w:t>Sportsku infrastrukturu Grada Zagreba čine 164 sportske građevine u vlasništvu Grada Zagreba, te 8 sportskih građevina koje je Grad Zagreb dvostrano obveznim ugovornim odnosom uzeo u zakup. Na tim građevinama sportska populacija provodi svoj obimni program. Ustanova Upravljanje sportskim objektima upravlja i održava 31 sportskom građevinom u kojima se odvijaju sportski programi. Materijalna osnova gradskog sporta je neizostavan čimbenik u povećanju ukupnog broja sudionika u sportsko rekreativnim aktivnostima  kao i stvaranju vrhunskih sportskih rezultata. Ponuda sportskih građevina djelomično udovoljava suvremenim potrebama, ali je nužno istu ujednačiti i rasporediti prema potrebama sporta i rekreacije na području grada Zagreba. Za potrebe sporta grada Zagreba nužno je predvidjeti izgradnju sportskih objekata koji će pridonijeti razvoju sporta i rekreacije, a odnosi se na dvoranske borilačke sportove, nogomet, tenis, klizanje, hokej na travi, hokej na ledu, rukomet, sportove u vodi, sportove na vodi, košarku itd. Budući planovi gradnje usmjereni su na strateške objekte grada Zagreba, gradnju novih zatvorenih i otvorenih sportskih objekata, energetsku obnovu te obnovu i rekonstrukciju postojećih objekata kako bi se ispunili visoki standardi za održavanje najzahtjevnijih međunarodnih natjecanja i redovnih treninga sportaša. Zbog potresa koji se dogodio u ožujku 2020.g. oštećeno je 49 sportskih objekata u gradu Zagrebu. Oštećene objekte potrebno je sanirati sukladno prioritetima i pravilima struke. Također, posebnu pozornost treba obratiti na sport i rekreaciju osoba s invaliditetom, prilagoditi postojeće sportsko-rekreacijske sadržaje njihovim potrebama.</w:t>
      </w:r>
    </w:p>
    <w:p w14:paraId="1FD131A8" w14:textId="77777777" w:rsidR="004976E4" w:rsidRDefault="004976E4" w:rsidP="004976E4">
      <w:pPr>
        <w:spacing w:after="100" w:afterAutospacing="1" w:line="240" w:lineRule="auto"/>
        <w:contextualSpacing/>
        <w:jc w:val="both"/>
        <w:rPr>
          <w:rFonts w:cs="Calibri"/>
          <w:bCs/>
        </w:rPr>
      </w:pPr>
    </w:p>
    <w:bookmarkEnd w:id="32"/>
    <w:p w14:paraId="12B76417" w14:textId="044354E7" w:rsidR="004976E4" w:rsidRDefault="004976E4" w:rsidP="004976E4">
      <w:pPr>
        <w:spacing w:line="240" w:lineRule="auto"/>
        <w:jc w:val="both"/>
        <w:rPr>
          <w:rFonts w:cs="Calibri"/>
          <w:bCs/>
        </w:rPr>
      </w:pPr>
      <w:r w:rsidRPr="00687C7E">
        <w:rPr>
          <w:rFonts w:cs="Calibri"/>
          <w:b/>
        </w:rPr>
        <w:t>Sport u sustavu odgoja i obrazovanja</w:t>
      </w:r>
      <w:r w:rsidR="007773DF">
        <w:rPr>
          <w:rFonts w:cs="Calibri"/>
          <w:bCs/>
        </w:rPr>
        <w:t xml:space="preserve">. </w:t>
      </w:r>
      <w:r w:rsidRPr="00E26C00">
        <w:rPr>
          <w:rFonts w:cs="Calibri"/>
          <w:bCs/>
        </w:rPr>
        <w:t>Osnovni cilj sportskih programa za učenike je stvaranje navika redovitog vježbanja te pozitivan utjecaj na opći rast i razvoj s naglaskom na zdravstveno usmjerene tjelesne aktivnosti. Ovaj segment sportske djelatnosti iznimno je važan jer se preko njega prožima zajednički interes školskog i sportskog sustava u ostvarivanju zajedničkog cilja, a to je unapređenje zdravoga i kreativnog načina života učenika osnovnih i srednjih škola Grada Zagreba. Uz redovnu nastavu tjelesne i zdravstvene kulture u školama zadaća je svih institucija nadležnih za sport uključiti što veći broj učenika u sportske aktivnosti. Većina programa sportskih škola i sportskih obuka provodi se u školskim sportskim dvorana za što se termini osiguravaju putem Programa javnih potreba u sportu Grada Zagreba. Na taj način se provodi  omasovljenje, budući da su gradski sportski i školski objekti dostupniji školskoj populaciji za organizirano bavljenje sportom. Natjecanja osnovnih škola (126) organiziraju se za dječake i djevojčice u tri uzrasne kategorije u 16 sportova, odnosno 36 natjecateljskih programa u atletici, badmintonu, futsalu, graničaru, hrvanju, judu, košarci, krosu, maloj odbojci, odbojci, odbojci na pijesku, plivanju, rukometu, skijanju, stolnom tenisu, šahu i taekwondo-u na kojima nastupa na godišnjoj razini 1200 ekipa sa 8.500 djevojčica i dječaka. Natjecanja srednjih škola (72) održavaju se u konkurenciji djevojaka i mladića u 14 sportova, odnosno 25 natjecateljskih programa: atletika, badminton, futsal, košarka, kros, odbojka, odbojka na pijesku, orijentacijski sport, plivanje, rukomet, plesne skupine, skijanje, stolni tenis i vaterpolo na kojima će nastupiti 600 ekipa s 4.100 djevojaka i mladića. U sportskim objektima kojim upravlja Ustanova Upravljanje sportskim objektima organiziraju se prikladne aktivnosti koje obuhvaćaju velik broj učenika, na godišnjoj razini sudjeluje oko 22.000 učenika od čega je 17.397 učenika uključeno je u program „Odmorko“. Školski sportski savez Grada Zagreba provodi i godišnje programe Univerzalne sportske škole i sportske Vježbaonice u 125 odjeljenja sa sudjelovanjem preko 6.000 učenika godišnje.</w:t>
      </w:r>
    </w:p>
    <w:p w14:paraId="20878C6A" w14:textId="77777777" w:rsidR="004976E4" w:rsidRPr="00E26C00" w:rsidRDefault="004976E4" w:rsidP="004976E4">
      <w:pPr>
        <w:spacing w:line="240" w:lineRule="auto"/>
        <w:jc w:val="both"/>
        <w:rPr>
          <w:rFonts w:cs="Calibri"/>
          <w:bCs/>
        </w:rPr>
      </w:pPr>
      <w:r w:rsidRPr="00E26C00">
        <w:rPr>
          <w:rFonts w:cs="Calibri"/>
          <w:bCs/>
        </w:rPr>
        <w:t xml:space="preserve">Predškolske ustanove - u vlasništvu Grada je 60 predškolskih ustanova koje rade na 226 lokacija. 60 </w:t>
      </w:r>
      <w:r w:rsidRPr="00E26C00">
        <w:rPr>
          <w:rFonts w:cs="Calibri"/>
          <w:bCs/>
          <w:color w:val="000000" w:themeColor="text1"/>
        </w:rPr>
        <w:t xml:space="preserve">predškolskih ustanova koje rade na 225 lokacija. </w:t>
      </w:r>
      <w:r w:rsidRPr="00E26C00">
        <w:rPr>
          <w:rFonts w:cs="Calibri"/>
          <w:bCs/>
        </w:rPr>
        <w:t>Na 105 lokacije postoje polivalentni prostori za sportske aktivnosti, na 21 nema takvih prostora, a preostale lokacije su, u pravilu, stanovi koji se koriste za rad odgojnih skupina. Veličina polivalentnih prostora kreće se od 60 do 250 m2. U prostorima se nalazi osnovna oprema, neki imaju i opremu za senzomotoriku.</w:t>
      </w:r>
    </w:p>
    <w:p w14:paraId="0B2291FB" w14:textId="77777777" w:rsidR="004976E4" w:rsidRPr="00E26C00" w:rsidRDefault="004976E4" w:rsidP="004976E4">
      <w:pPr>
        <w:spacing w:line="240" w:lineRule="auto"/>
        <w:jc w:val="both"/>
        <w:rPr>
          <w:rFonts w:cs="Calibri"/>
          <w:bCs/>
        </w:rPr>
      </w:pPr>
      <w:r w:rsidRPr="00E26C00">
        <w:rPr>
          <w:rFonts w:cs="Calibri"/>
          <w:bCs/>
        </w:rPr>
        <w:t>Osnovne škole - od 111 redovnih osnovnih škola, kojima je osnivač Grad Zagreb, dvije nemaju svoju sportsku dvoranu, a od 18 područnih škola, 13 ih nema sportsku dvoranu.</w:t>
      </w:r>
    </w:p>
    <w:p w14:paraId="48470AFF" w14:textId="77777777" w:rsidR="004976E4" w:rsidRDefault="004976E4" w:rsidP="004976E4">
      <w:pPr>
        <w:spacing w:line="240" w:lineRule="auto"/>
        <w:jc w:val="both"/>
        <w:rPr>
          <w:rFonts w:cs="Calibri"/>
          <w:bCs/>
        </w:rPr>
      </w:pPr>
      <w:r w:rsidRPr="00E26C00">
        <w:rPr>
          <w:rFonts w:cs="Calibri"/>
          <w:bCs/>
        </w:rPr>
        <w:t>Srednje škole - Grad Zagreb je osnivač 66 srednjih škola, od toga 20 gimnazija, 35 strukovnih škola, 10 umjetničkih škola i jedne ustanove za djecu s teškoćama u razvoju. Od 55 redovnih srednjih škola, 14 nema svoju sportsku dvoranu odnosno koriste sportske dvorane drugih škola ili unajmljuju prostor.</w:t>
      </w:r>
    </w:p>
    <w:p w14:paraId="687DB70B" w14:textId="77777777" w:rsidR="004976E4" w:rsidRDefault="004976E4" w:rsidP="004976E4">
      <w:pPr>
        <w:spacing w:line="240" w:lineRule="auto"/>
        <w:jc w:val="both"/>
        <w:rPr>
          <w:rFonts w:cs="Calibri"/>
          <w:bCs/>
        </w:rPr>
      </w:pPr>
      <w:r w:rsidRPr="00E26C00">
        <w:rPr>
          <w:rFonts w:cs="Calibri"/>
          <w:b/>
        </w:rPr>
        <w:t>Sveučilište</w:t>
      </w:r>
      <w:r w:rsidRPr="00E26C00">
        <w:rPr>
          <w:rFonts w:cs="Calibri"/>
          <w:bCs/>
        </w:rPr>
        <w:t xml:space="preserve"> - Zagrebački sveučilišni sportski savez u suradnji s Uredom za sport Sveučilišta u Zagrebu zadužen je za organizaciju i provedbu studentskog sporta i rekreativnih aktivnosti studentske populacije kao sastavnog dijela akademskog života kojim se podiže kvaliteta studiranja i življenja. Zagrebački sveučilišni sportski savez organizira i provodi sportska natjecanja u 24 različita sporta kojim je obuhvaćeno oko 8500 studenata, a konstantan rast sportaša bilježi se svake godine. Zagrebački sveučilišni sportski savez konstantno uvodi novine te je među prvima u svijetu uveo e-sport u sustav studentskog natjecanja. Osim toga, rekreativnim programima i promotivnim zdravstvenim i sportsko-rekreativnim akcijama, tribinama i konferencijama obuhvaćeno je još toliko studenata. Nedostatak sportskih građevina namijenjenih studentima osnovni je ograničavajući faktor razvoja ovog segmenta sporta.</w:t>
      </w:r>
    </w:p>
    <w:p w14:paraId="7F16FBFD" w14:textId="5F1953DC" w:rsidR="004976E4" w:rsidRDefault="004976E4" w:rsidP="004976E4">
      <w:pPr>
        <w:spacing w:line="240" w:lineRule="auto"/>
        <w:jc w:val="both"/>
        <w:rPr>
          <w:rFonts w:cs="Calibri"/>
        </w:rPr>
      </w:pPr>
      <w:r>
        <w:rPr>
          <w:rFonts w:cs="Calibri"/>
          <w:b/>
        </w:rPr>
        <w:t>Sportska rekreacija</w:t>
      </w:r>
      <w:r w:rsidR="007773DF">
        <w:rPr>
          <w:rFonts w:cs="Calibri"/>
        </w:rPr>
        <w:t xml:space="preserve">. </w:t>
      </w:r>
      <w:r w:rsidRPr="00E26C00">
        <w:rPr>
          <w:rFonts w:cs="Calibri"/>
        </w:rPr>
        <w:t>U Zagrebu je u sustav sportske rekreacije uključeno oko 10 000 građana, a u povremenim sportsko-rekreacijskim aktivnostima (Svjetski dan sporta, Svjetski dan pješačenja, Europski tjedan kretanja i sl.) sudjeluje oko 50.000 Zagrepčana. Pokret "Sport za sve" primarna je društvena kategorija u osmišljavanju stvaralačkog načina i stila života, očuvanju svekolikog zdravlja i primarne realizacije ljudske potrebe za kretanjem, fizičkom aktivnošću i igrom. U dijelu koji se odnosi na poticanje sportske rekreacije zajedno se realizira dvjestotinjak programa „Sporta za sve“ na skoro sto gradskih lokacija i uključuje oko 6000 članova i 20000 korisnika. U usporedbi s gradovima razvijenih europskih zemalja, u kojima je u „Sport za sve“ aktivno uključeno od 30-70% građana, Zagreb znatno zaostaje jer je u rekreaciju uključeno samo 20% građana (djeca i odrasli, bez sportaša). Sadašnji objekti ne zadovoljavaju potrebe Zagrepčana niti prostorno niti kvalitetom.</w:t>
      </w:r>
    </w:p>
    <w:p w14:paraId="12556BE3" w14:textId="05F9CCFD" w:rsidR="004976E4" w:rsidRDefault="004976E4" w:rsidP="004976E4">
      <w:pPr>
        <w:spacing w:line="240" w:lineRule="auto"/>
        <w:jc w:val="both"/>
        <w:rPr>
          <w:rFonts w:cs="Calibri"/>
          <w:bCs/>
        </w:rPr>
      </w:pPr>
      <w:r>
        <w:rPr>
          <w:rFonts w:cs="Calibri"/>
          <w:b/>
        </w:rPr>
        <w:t>Sport osoba s invaliditetom</w:t>
      </w:r>
      <w:r w:rsidR="007773DF">
        <w:rPr>
          <w:rFonts w:cs="Calibri"/>
          <w:bCs/>
        </w:rPr>
        <w:t xml:space="preserve">. </w:t>
      </w:r>
      <w:r w:rsidRPr="00E26C00">
        <w:rPr>
          <w:rFonts w:cs="Calibri"/>
          <w:bCs/>
        </w:rPr>
        <w:t xml:space="preserve">Program obuhvaća članove koji pokazuju sklonosti i sposobnosti za redovito treniranje i natjecanje te im omogućuje sportsko usavršavanje pod stručnim nadzorom. U Gradu Zagrebu živi oko 86.274  osoba s raznim kategorijama invaliditeta. U sportskim programima koje </w:t>
      </w:r>
      <w:r w:rsidRPr="009E779A">
        <w:rPr>
          <w:rFonts w:cs="Calibri"/>
          <w:bCs/>
          <w:color w:val="000000" w:themeColor="text1"/>
        </w:rPr>
        <w:t xml:space="preserve">Savez invalida </w:t>
      </w:r>
      <w:r w:rsidRPr="00E26C00">
        <w:rPr>
          <w:rFonts w:cs="Calibri"/>
          <w:bCs/>
        </w:rPr>
        <w:t>i Savez gluhih i nagluhih grada Zagreba provodi u atletici, plivanju, košarci, tenisu, šahu, kuglanju, nogometu, rukometu i sl. sudjeluje oko 11% sportaša-osoba s invaliditetom.</w:t>
      </w:r>
    </w:p>
    <w:p w14:paraId="5B39B916" w14:textId="77777777" w:rsidR="00450164" w:rsidRDefault="00450164" w:rsidP="004976E4">
      <w:pPr>
        <w:spacing w:line="240" w:lineRule="auto"/>
        <w:jc w:val="both"/>
        <w:rPr>
          <w:rFonts w:cs="Calibri"/>
          <w:bCs/>
        </w:rPr>
      </w:pPr>
    </w:p>
    <w:tbl>
      <w:tblPr>
        <w:tblW w:w="9394" w:type="dxa"/>
        <w:jc w:val="center"/>
        <w:tblLayout w:type="fixed"/>
        <w:tblLook w:val="04A0" w:firstRow="1" w:lastRow="0" w:firstColumn="1" w:lastColumn="0" w:noHBand="0" w:noVBand="1"/>
      </w:tblPr>
      <w:tblGrid>
        <w:gridCol w:w="4677"/>
        <w:gridCol w:w="4717"/>
      </w:tblGrid>
      <w:tr w:rsidR="004976E4" w:rsidRPr="002447B9" w14:paraId="683D3180" w14:textId="77777777" w:rsidTr="00F50578">
        <w:trPr>
          <w:jc w:val="center"/>
        </w:trPr>
        <w:tc>
          <w:tcPr>
            <w:tcW w:w="4677" w:type="dxa"/>
            <w:shd w:val="clear" w:color="auto" w:fill="D9D9D9"/>
            <w:vAlign w:val="center"/>
            <w:hideMark/>
          </w:tcPr>
          <w:p w14:paraId="34B6C979" w14:textId="77777777" w:rsidR="004976E4" w:rsidRPr="00D96549" w:rsidRDefault="004976E4" w:rsidP="00F50578">
            <w:pPr>
              <w:spacing w:before="60" w:after="0" w:line="240" w:lineRule="auto"/>
              <w:rPr>
                <w:rFonts w:eastAsia="Times New Roman" w:cstheme="minorHAnsi"/>
                <w:b/>
                <w:bCs/>
                <w:sz w:val="18"/>
                <w:szCs w:val="18"/>
              </w:rPr>
            </w:pPr>
            <w:r w:rsidRPr="00D96549">
              <w:rPr>
                <w:rFonts w:eastAsia="Times New Roman" w:cstheme="minorHAnsi"/>
                <w:b/>
                <w:bCs/>
                <w:sz w:val="18"/>
                <w:szCs w:val="18"/>
              </w:rPr>
              <w:t xml:space="preserve">  </w:t>
            </w:r>
            <w:r w:rsidRPr="00BA09AB">
              <w:rPr>
                <w:rFonts w:eastAsia="Times New Roman" w:cstheme="minorHAnsi"/>
                <w:b/>
                <w:bCs/>
                <w:color w:val="000000" w:themeColor="text1"/>
                <w:sz w:val="18"/>
                <w:szCs w:val="18"/>
              </w:rPr>
              <w:t>RAZVOJNI PROBLEMI</w:t>
            </w:r>
          </w:p>
          <w:p w14:paraId="635BFC00" w14:textId="77777777" w:rsidR="004976E4" w:rsidRPr="00D96549" w:rsidRDefault="004976E4" w:rsidP="00F50578">
            <w:pPr>
              <w:spacing w:before="60" w:after="0" w:line="240" w:lineRule="auto"/>
              <w:rPr>
                <w:rFonts w:eastAsia="Times New Roman" w:cstheme="minorHAnsi"/>
                <w:b/>
                <w:bCs/>
                <w:sz w:val="18"/>
                <w:szCs w:val="18"/>
              </w:rPr>
            </w:pPr>
          </w:p>
          <w:p w14:paraId="5ADF6C0F" w14:textId="77777777" w:rsidR="004976E4" w:rsidRPr="00D96549" w:rsidRDefault="004976E4" w:rsidP="00F50578">
            <w:pPr>
              <w:spacing w:before="60" w:after="0" w:line="240" w:lineRule="auto"/>
              <w:rPr>
                <w:rFonts w:eastAsia="Times New Roman" w:cstheme="minorHAnsi"/>
                <w:b/>
                <w:bCs/>
                <w:sz w:val="18"/>
                <w:szCs w:val="18"/>
              </w:rPr>
            </w:pPr>
          </w:p>
        </w:tc>
        <w:tc>
          <w:tcPr>
            <w:tcW w:w="4717" w:type="dxa"/>
            <w:vMerge w:val="restart"/>
            <w:shd w:val="clear" w:color="auto" w:fill="99CCFF"/>
          </w:tcPr>
          <w:p w14:paraId="4841500B" w14:textId="77777777" w:rsidR="004976E4" w:rsidRPr="00BA09AB" w:rsidRDefault="004976E4" w:rsidP="00F50578">
            <w:pPr>
              <w:spacing w:before="60" w:line="360" w:lineRule="auto"/>
              <w:jc w:val="both"/>
              <w:rPr>
                <w:rFonts w:cstheme="minorHAnsi"/>
                <w:b/>
                <w:color w:val="000000" w:themeColor="text1"/>
                <w:sz w:val="18"/>
                <w:szCs w:val="18"/>
              </w:rPr>
            </w:pPr>
            <w:r w:rsidRPr="00BA09AB">
              <w:rPr>
                <w:rFonts w:cstheme="minorHAnsi"/>
                <w:b/>
                <w:color w:val="000000" w:themeColor="text1"/>
                <w:sz w:val="18"/>
                <w:szCs w:val="18"/>
              </w:rPr>
              <w:t>RAZVOJNE POTREBE</w:t>
            </w:r>
          </w:p>
          <w:p w14:paraId="0CA8929C" w14:textId="7CF5CFE2" w:rsidR="004976E4" w:rsidRPr="006A0E87" w:rsidRDefault="00747EC9" w:rsidP="00165C16">
            <w:pPr>
              <w:pStyle w:val="Odlomakpopisa"/>
              <w:numPr>
                <w:ilvl w:val="0"/>
                <w:numId w:val="19"/>
              </w:numPr>
              <w:spacing w:after="100" w:afterAutospacing="1" w:line="240" w:lineRule="auto"/>
              <w:jc w:val="both"/>
              <w:rPr>
                <w:rFonts w:cstheme="minorHAnsi"/>
                <w:sz w:val="18"/>
                <w:szCs w:val="18"/>
              </w:rPr>
            </w:pPr>
            <w:r>
              <w:rPr>
                <w:rFonts w:cstheme="minorHAnsi"/>
                <w:sz w:val="18"/>
                <w:szCs w:val="18"/>
              </w:rPr>
              <w:t>p</w:t>
            </w:r>
            <w:r w:rsidR="004976E4" w:rsidRPr="006A0E87">
              <w:rPr>
                <w:rFonts w:cstheme="minorHAnsi"/>
                <w:sz w:val="18"/>
                <w:szCs w:val="18"/>
              </w:rPr>
              <w:t xml:space="preserve">oticati zdravstveno usmjereno tjelesno vježbanje i povećati broj sudionika u sportsko-rekreacijskim aktivnostima </w:t>
            </w:r>
          </w:p>
          <w:p w14:paraId="3A0D31A1" w14:textId="7A6BF54E" w:rsidR="004976E4" w:rsidRPr="006A0E87" w:rsidRDefault="00747EC9" w:rsidP="00165C16">
            <w:pPr>
              <w:pStyle w:val="Odlomakpopisa"/>
              <w:numPr>
                <w:ilvl w:val="0"/>
                <w:numId w:val="19"/>
              </w:numPr>
              <w:spacing w:after="200" w:line="276" w:lineRule="auto"/>
              <w:rPr>
                <w:rFonts w:cstheme="minorHAnsi"/>
                <w:sz w:val="18"/>
                <w:szCs w:val="18"/>
              </w:rPr>
            </w:pPr>
            <w:r>
              <w:rPr>
                <w:rFonts w:cstheme="minorHAnsi"/>
                <w:sz w:val="18"/>
                <w:szCs w:val="18"/>
              </w:rPr>
              <w:t>jačati</w:t>
            </w:r>
            <w:r w:rsidR="004976E4" w:rsidRPr="006A0E87">
              <w:rPr>
                <w:rFonts w:cstheme="minorHAnsi"/>
                <w:sz w:val="18"/>
                <w:szCs w:val="18"/>
              </w:rPr>
              <w:t xml:space="preserve"> svijest o dodatnim vrijednostima sporta i o ulozi sporta u promicanju socijalne inkluzije i jednakih mogućnosti za sve</w:t>
            </w:r>
          </w:p>
          <w:p w14:paraId="2735C7DB" w14:textId="3ADAED16" w:rsidR="004976E4" w:rsidRPr="006A0E87" w:rsidRDefault="00747EC9" w:rsidP="00165C16">
            <w:pPr>
              <w:pStyle w:val="Odlomakpopisa"/>
              <w:numPr>
                <w:ilvl w:val="0"/>
                <w:numId w:val="19"/>
              </w:numPr>
              <w:spacing w:after="200" w:line="276" w:lineRule="auto"/>
              <w:rPr>
                <w:rFonts w:cstheme="minorHAnsi"/>
                <w:sz w:val="18"/>
                <w:szCs w:val="18"/>
              </w:rPr>
            </w:pPr>
            <w:r>
              <w:rPr>
                <w:rFonts w:cstheme="minorHAnsi"/>
                <w:sz w:val="18"/>
                <w:szCs w:val="18"/>
              </w:rPr>
              <w:t>r</w:t>
            </w:r>
            <w:r w:rsidR="004976E4" w:rsidRPr="006A0E87">
              <w:rPr>
                <w:rFonts w:cstheme="minorHAnsi"/>
                <w:sz w:val="18"/>
                <w:szCs w:val="18"/>
              </w:rPr>
              <w:t>azvijati specijalizirane sportske, rekreativne i rehabilitacijske sadržaje za osobe s invaliditetom, te uključiti sportaše-osobe s invaliditetom u sportske programe</w:t>
            </w:r>
          </w:p>
          <w:p w14:paraId="5540D248" w14:textId="7C4906DF" w:rsidR="004976E4" w:rsidRPr="006A0E87" w:rsidRDefault="00747EC9" w:rsidP="00165C16">
            <w:pPr>
              <w:pStyle w:val="Odlomakpopisa"/>
              <w:numPr>
                <w:ilvl w:val="0"/>
                <w:numId w:val="19"/>
              </w:numPr>
              <w:spacing w:after="200" w:line="276" w:lineRule="auto"/>
              <w:rPr>
                <w:rFonts w:cstheme="minorHAnsi"/>
                <w:sz w:val="18"/>
                <w:szCs w:val="18"/>
              </w:rPr>
            </w:pPr>
            <w:r>
              <w:rPr>
                <w:rFonts w:cstheme="minorHAnsi"/>
                <w:sz w:val="18"/>
                <w:szCs w:val="18"/>
              </w:rPr>
              <w:t>u</w:t>
            </w:r>
            <w:r w:rsidR="004976E4" w:rsidRPr="006A0E87">
              <w:rPr>
                <w:rFonts w:cstheme="minorHAnsi"/>
                <w:sz w:val="18"/>
                <w:szCs w:val="18"/>
              </w:rPr>
              <w:t>činkovitije organizirati sportske sadržaje za djecu i mladež putem sportske obuke i sportskih škola</w:t>
            </w:r>
          </w:p>
          <w:p w14:paraId="32CFF710" w14:textId="0C734C4E" w:rsidR="004976E4" w:rsidRPr="006A0E87" w:rsidRDefault="00747EC9" w:rsidP="00165C16">
            <w:pPr>
              <w:pStyle w:val="Odlomakpopisa"/>
              <w:numPr>
                <w:ilvl w:val="0"/>
                <w:numId w:val="19"/>
              </w:numPr>
              <w:spacing w:after="200" w:line="276" w:lineRule="auto"/>
              <w:rPr>
                <w:rFonts w:cstheme="minorHAnsi"/>
                <w:sz w:val="18"/>
                <w:szCs w:val="18"/>
              </w:rPr>
            </w:pPr>
            <w:r>
              <w:rPr>
                <w:rFonts w:cstheme="minorHAnsi"/>
                <w:sz w:val="18"/>
                <w:szCs w:val="18"/>
              </w:rPr>
              <w:t>ulagati</w:t>
            </w:r>
            <w:r w:rsidR="004976E4" w:rsidRPr="006A0E87">
              <w:rPr>
                <w:rFonts w:cstheme="minorHAnsi"/>
                <w:sz w:val="18"/>
                <w:szCs w:val="18"/>
              </w:rPr>
              <w:t xml:space="preserve"> u edukaciju i stručnost sportskih djelatnika te u edukaciju volontera u sportu</w:t>
            </w:r>
          </w:p>
          <w:p w14:paraId="6F45F1A8" w14:textId="2B28E290" w:rsidR="004976E4" w:rsidRPr="006A0E87" w:rsidRDefault="00747EC9" w:rsidP="00165C16">
            <w:pPr>
              <w:pStyle w:val="Odlomakpopisa"/>
              <w:numPr>
                <w:ilvl w:val="0"/>
                <w:numId w:val="19"/>
              </w:numPr>
              <w:spacing w:after="200" w:line="276" w:lineRule="auto"/>
              <w:rPr>
                <w:rFonts w:cstheme="minorHAnsi"/>
                <w:sz w:val="18"/>
                <w:szCs w:val="18"/>
              </w:rPr>
            </w:pPr>
            <w:r>
              <w:rPr>
                <w:rFonts w:cstheme="minorHAnsi"/>
                <w:sz w:val="18"/>
                <w:szCs w:val="18"/>
              </w:rPr>
              <w:t>p</w:t>
            </w:r>
            <w:r w:rsidR="004976E4" w:rsidRPr="006A0E87">
              <w:rPr>
                <w:rFonts w:cstheme="minorHAnsi"/>
                <w:sz w:val="18"/>
                <w:szCs w:val="18"/>
              </w:rPr>
              <w:t xml:space="preserve">romicati obrazovanje u sportu i preko sporta, s posebnim naglaskom na provedbi Smjernica EU-a o dvojnim karijerama sportaša </w:t>
            </w:r>
          </w:p>
          <w:p w14:paraId="6954B9DB" w14:textId="42691703" w:rsidR="004976E4" w:rsidRPr="006A0E87" w:rsidRDefault="00747EC9" w:rsidP="00165C16">
            <w:pPr>
              <w:pStyle w:val="Odlomakpopisa"/>
              <w:numPr>
                <w:ilvl w:val="0"/>
                <w:numId w:val="19"/>
              </w:numPr>
              <w:spacing w:after="200" w:line="276" w:lineRule="auto"/>
              <w:rPr>
                <w:rFonts w:cstheme="minorHAnsi"/>
                <w:sz w:val="18"/>
                <w:szCs w:val="18"/>
              </w:rPr>
            </w:pPr>
            <w:r>
              <w:rPr>
                <w:rFonts w:cstheme="minorHAnsi"/>
                <w:sz w:val="18"/>
                <w:szCs w:val="18"/>
              </w:rPr>
              <w:t>u</w:t>
            </w:r>
            <w:r w:rsidR="004976E4" w:rsidRPr="006A0E87">
              <w:rPr>
                <w:rFonts w:cstheme="minorHAnsi"/>
                <w:sz w:val="18"/>
                <w:szCs w:val="18"/>
              </w:rPr>
              <w:t xml:space="preserve">naprijediti uvjete za kvalitetniju zdravstvenu skrb svim zagrebačkim sportašima </w:t>
            </w:r>
          </w:p>
          <w:p w14:paraId="726B0243" w14:textId="4D6ED440" w:rsidR="004976E4" w:rsidRPr="006A0E87" w:rsidRDefault="00747EC9" w:rsidP="00165C16">
            <w:pPr>
              <w:pStyle w:val="Odlomakpopisa"/>
              <w:numPr>
                <w:ilvl w:val="0"/>
                <w:numId w:val="19"/>
              </w:numPr>
              <w:spacing w:after="200" w:line="276" w:lineRule="auto"/>
              <w:rPr>
                <w:rFonts w:cstheme="minorHAnsi"/>
                <w:sz w:val="18"/>
                <w:szCs w:val="18"/>
              </w:rPr>
            </w:pPr>
            <w:r>
              <w:rPr>
                <w:rFonts w:cstheme="minorHAnsi"/>
                <w:sz w:val="18"/>
                <w:szCs w:val="18"/>
              </w:rPr>
              <w:t>o</w:t>
            </w:r>
            <w:r w:rsidR="004976E4" w:rsidRPr="006A0E87">
              <w:rPr>
                <w:rFonts w:cstheme="minorHAnsi"/>
                <w:sz w:val="18"/>
                <w:szCs w:val="18"/>
              </w:rPr>
              <w:t>sigurati sredstva za izgradnju novih sportsko – rekreacijskih građevina, koristeći vlastita sredstva i razvojne fondove EU, poglavito sa stajališta smo održivosti</w:t>
            </w:r>
          </w:p>
          <w:p w14:paraId="0E42C046" w14:textId="52AD31B4" w:rsidR="004976E4" w:rsidRPr="006A0E87" w:rsidRDefault="00747EC9" w:rsidP="00165C16">
            <w:pPr>
              <w:pStyle w:val="Odlomakpopisa"/>
              <w:numPr>
                <w:ilvl w:val="0"/>
                <w:numId w:val="19"/>
              </w:numPr>
              <w:spacing w:after="100" w:afterAutospacing="1" w:line="240" w:lineRule="auto"/>
              <w:jc w:val="both"/>
              <w:rPr>
                <w:rFonts w:cstheme="minorHAnsi"/>
                <w:sz w:val="18"/>
                <w:szCs w:val="18"/>
              </w:rPr>
            </w:pPr>
            <w:r>
              <w:rPr>
                <w:rFonts w:cstheme="minorHAnsi"/>
                <w:sz w:val="18"/>
                <w:szCs w:val="18"/>
              </w:rPr>
              <w:t>jačati</w:t>
            </w:r>
            <w:r w:rsidR="004976E4" w:rsidRPr="006A0E87">
              <w:rPr>
                <w:rFonts w:cstheme="minorHAnsi"/>
                <w:sz w:val="18"/>
                <w:szCs w:val="18"/>
              </w:rPr>
              <w:t xml:space="preserve"> suradnje među ustanovama i organizacijama koje u svom djelokrugu rada obuhvaćaju i tjelesnu aktivnost </w:t>
            </w:r>
          </w:p>
          <w:p w14:paraId="31D701B1" w14:textId="403F041E" w:rsidR="004976E4" w:rsidRPr="006A0E87" w:rsidRDefault="00747EC9" w:rsidP="00165C16">
            <w:pPr>
              <w:pStyle w:val="Odlomakpopisa"/>
              <w:numPr>
                <w:ilvl w:val="0"/>
                <w:numId w:val="19"/>
              </w:numPr>
              <w:spacing w:after="100" w:afterAutospacing="1" w:line="240" w:lineRule="auto"/>
              <w:jc w:val="both"/>
              <w:rPr>
                <w:rFonts w:cstheme="minorHAnsi"/>
                <w:sz w:val="18"/>
                <w:szCs w:val="18"/>
              </w:rPr>
            </w:pPr>
            <w:r>
              <w:rPr>
                <w:rFonts w:cstheme="minorHAnsi"/>
                <w:sz w:val="18"/>
                <w:szCs w:val="18"/>
              </w:rPr>
              <w:t xml:space="preserve">unaprijediti </w:t>
            </w:r>
            <w:r w:rsidR="004976E4" w:rsidRPr="006A0E87">
              <w:rPr>
                <w:rFonts w:cstheme="minorHAnsi"/>
                <w:sz w:val="18"/>
                <w:szCs w:val="18"/>
              </w:rPr>
              <w:t>energetsk</w:t>
            </w:r>
            <w:r>
              <w:rPr>
                <w:rFonts w:cstheme="minorHAnsi"/>
                <w:sz w:val="18"/>
                <w:szCs w:val="18"/>
              </w:rPr>
              <w:t>u</w:t>
            </w:r>
            <w:r w:rsidR="004976E4" w:rsidRPr="006A0E87">
              <w:rPr>
                <w:rFonts w:cstheme="minorHAnsi"/>
                <w:sz w:val="18"/>
                <w:szCs w:val="18"/>
              </w:rPr>
              <w:t xml:space="preserve"> učinkovitosti sportskih građevina (koristeći razvojne fondove EU) te prilag</w:t>
            </w:r>
            <w:r>
              <w:rPr>
                <w:rFonts w:cstheme="minorHAnsi"/>
                <w:sz w:val="18"/>
                <w:szCs w:val="18"/>
              </w:rPr>
              <w:t>oditi</w:t>
            </w:r>
            <w:r w:rsidR="004976E4" w:rsidRPr="006A0E87">
              <w:rPr>
                <w:rFonts w:cstheme="minorHAnsi"/>
                <w:sz w:val="18"/>
                <w:szCs w:val="18"/>
              </w:rPr>
              <w:t xml:space="preserve"> ist</w:t>
            </w:r>
            <w:r>
              <w:rPr>
                <w:rFonts w:cstheme="minorHAnsi"/>
                <w:sz w:val="18"/>
                <w:szCs w:val="18"/>
              </w:rPr>
              <w:t>e</w:t>
            </w:r>
            <w:r w:rsidR="004976E4" w:rsidRPr="006A0E87">
              <w:rPr>
                <w:rFonts w:cstheme="minorHAnsi"/>
                <w:sz w:val="18"/>
                <w:szCs w:val="18"/>
              </w:rPr>
              <w:t xml:space="preserve"> osobama s invaliditetom i smanjen</w:t>
            </w:r>
            <w:r w:rsidR="00933DEB">
              <w:rPr>
                <w:rFonts w:cstheme="minorHAnsi"/>
                <w:sz w:val="18"/>
                <w:szCs w:val="18"/>
              </w:rPr>
              <w:t>om</w:t>
            </w:r>
            <w:r w:rsidR="004976E4" w:rsidRPr="006A0E87">
              <w:rPr>
                <w:rFonts w:cstheme="minorHAnsi"/>
                <w:sz w:val="18"/>
                <w:szCs w:val="18"/>
              </w:rPr>
              <w:t xml:space="preserve"> pokretljivosti</w:t>
            </w:r>
          </w:p>
          <w:p w14:paraId="2068A8FD" w14:textId="37F969C1" w:rsidR="004976E4" w:rsidRPr="006A0E87" w:rsidRDefault="00747EC9" w:rsidP="00165C16">
            <w:pPr>
              <w:pStyle w:val="Odlomakpopisa"/>
              <w:numPr>
                <w:ilvl w:val="0"/>
                <w:numId w:val="19"/>
              </w:numPr>
              <w:spacing w:after="60" w:line="240" w:lineRule="auto"/>
              <w:ind w:right="-2"/>
              <w:jc w:val="both"/>
              <w:rPr>
                <w:rFonts w:cstheme="minorHAnsi"/>
                <w:sz w:val="18"/>
                <w:szCs w:val="18"/>
              </w:rPr>
            </w:pPr>
            <w:r>
              <w:rPr>
                <w:rFonts w:cstheme="minorHAnsi"/>
                <w:sz w:val="18"/>
                <w:szCs w:val="18"/>
              </w:rPr>
              <w:t>r</w:t>
            </w:r>
            <w:r w:rsidR="004976E4" w:rsidRPr="006A0E87">
              <w:rPr>
                <w:rFonts w:cstheme="minorHAnsi"/>
                <w:sz w:val="18"/>
                <w:szCs w:val="18"/>
              </w:rPr>
              <w:t>azvojnim programima poboljšati selekcijske postupke  potencijalnih perspektivnih i vrhunskih sportaša i poboljšati uvjete rada sportaša i sportašica</w:t>
            </w:r>
          </w:p>
          <w:p w14:paraId="6A27A289" w14:textId="1639E3BE" w:rsidR="004976E4" w:rsidRPr="00BA606E" w:rsidRDefault="00747EC9" w:rsidP="00BA606E">
            <w:pPr>
              <w:pStyle w:val="Odlomakpopisa"/>
              <w:numPr>
                <w:ilvl w:val="0"/>
                <w:numId w:val="19"/>
              </w:numPr>
              <w:spacing w:after="60" w:line="240" w:lineRule="auto"/>
              <w:ind w:right="-2"/>
              <w:jc w:val="both"/>
              <w:rPr>
                <w:rFonts w:cstheme="minorHAnsi"/>
                <w:sz w:val="18"/>
                <w:szCs w:val="18"/>
              </w:rPr>
            </w:pPr>
            <w:r>
              <w:rPr>
                <w:rFonts w:cstheme="minorHAnsi"/>
                <w:sz w:val="18"/>
                <w:szCs w:val="18"/>
              </w:rPr>
              <w:t>p</w:t>
            </w:r>
            <w:r w:rsidR="004976E4" w:rsidRPr="006A0E87">
              <w:rPr>
                <w:rFonts w:cstheme="minorHAnsi"/>
                <w:sz w:val="18"/>
                <w:szCs w:val="18"/>
              </w:rPr>
              <w:t>romicati ugled i doprinositi turističkoj ponudi Zagreba organizacijom značajnih svjetskih sportskih priredbi</w:t>
            </w:r>
            <w:r w:rsidR="00107AE8" w:rsidRPr="006A0E87">
              <w:rPr>
                <w:rFonts w:cstheme="minorHAnsi"/>
                <w:sz w:val="18"/>
                <w:szCs w:val="18"/>
              </w:rPr>
              <w:t xml:space="preserve"> </w:t>
            </w:r>
          </w:p>
          <w:p w14:paraId="0D935D8E" w14:textId="3D353F61" w:rsidR="004976E4" w:rsidRPr="006A0E87" w:rsidRDefault="00747EC9" w:rsidP="00165C16">
            <w:pPr>
              <w:pStyle w:val="Odlomakpopisa"/>
              <w:numPr>
                <w:ilvl w:val="0"/>
                <w:numId w:val="19"/>
              </w:numPr>
              <w:spacing w:before="60" w:after="60" w:line="240" w:lineRule="auto"/>
              <w:ind w:right="-2"/>
              <w:jc w:val="both"/>
              <w:rPr>
                <w:rFonts w:cstheme="minorHAnsi"/>
                <w:sz w:val="18"/>
                <w:szCs w:val="18"/>
              </w:rPr>
            </w:pPr>
            <w:r>
              <w:rPr>
                <w:rFonts w:cstheme="minorHAnsi"/>
                <w:sz w:val="18"/>
                <w:szCs w:val="18"/>
              </w:rPr>
              <w:t>izraditi i donijeti</w:t>
            </w:r>
            <w:r w:rsidR="004976E4" w:rsidRPr="006A0E87">
              <w:rPr>
                <w:rFonts w:cstheme="minorHAnsi"/>
                <w:sz w:val="18"/>
                <w:szCs w:val="18"/>
              </w:rPr>
              <w:t xml:space="preserve"> sveobuhvatne studije za planiranje i izgradnju sportskih građevina (koj</w:t>
            </w:r>
            <w:r>
              <w:rPr>
                <w:rFonts w:cstheme="minorHAnsi"/>
                <w:sz w:val="18"/>
                <w:szCs w:val="18"/>
              </w:rPr>
              <w:t xml:space="preserve">e će odrediti </w:t>
            </w:r>
            <w:r w:rsidR="004976E4" w:rsidRPr="006A0E87">
              <w:rPr>
                <w:rFonts w:cstheme="minorHAnsi"/>
                <w:sz w:val="18"/>
                <w:szCs w:val="18"/>
              </w:rPr>
              <w:t>plan izgradnje, obnove, održavanja i upravljanja</w:t>
            </w:r>
            <w:r>
              <w:rPr>
                <w:rFonts w:cstheme="minorHAnsi"/>
                <w:sz w:val="18"/>
                <w:szCs w:val="18"/>
              </w:rPr>
              <w:t xml:space="preserve"> kao </w:t>
            </w:r>
            <w:r w:rsidR="004976E4" w:rsidRPr="006A0E87">
              <w:rPr>
                <w:rFonts w:cstheme="minorHAnsi"/>
                <w:sz w:val="18"/>
                <w:szCs w:val="18"/>
              </w:rPr>
              <w:t>podloga za izradu dokumenata prostornog uređenja), kao osnova za daljnje planiranje</w:t>
            </w:r>
          </w:p>
          <w:p w14:paraId="6978C6C2" w14:textId="29D68E93" w:rsidR="004976E4" w:rsidRPr="006A0E87" w:rsidRDefault="00747EC9" w:rsidP="00165C16">
            <w:pPr>
              <w:pStyle w:val="Odlomakpopisa"/>
              <w:numPr>
                <w:ilvl w:val="0"/>
                <w:numId w:val="19"/>
              </w:numPr>
              <w:spacing w:before="60" w:after="60" w:line="240" w:lineRule="auto"/>
              <w:ind w:right="-2"/>
              <w:jc w:val="both"/>
              <w:rPr>
                <w:rFonts w:cstheme="minorHAnsi"/>
                <w:bCs/>
                <w:sz w:val="18"/>
                <w:szCs w:val="18"/>
              </w:rPr>
            </w:pPr>
            <w:r>
              <w:rPr>
                <w:rFonts w:cstheme="minorHAnsi"/>
                <w:bCs/>
                <w:sz w:val="18"/>
                <w:szCs w:val="18"/>
              </w:rPr>
              <w:t>sanirati</w:t>
            </w:r>
            <w:r w:rsidR="004976E4" w:rsidRPr="006A0E87">
              <w:rPr>
                <w:rFonts w:cstheme="minorHAnsi"/>
                <w:bCs/>
                <w:sz w:val="18"/>
                <w:szCs w:val="18"/>
              </w:rPr>
              <w:t xml:space="preserve"> štete izazvane potresom, revitaliz</w:t>
            </w:r>
            <w:r>
              <w:rPr>
                <w:rFonts w:cstheme="minorHAnsi"/>
                <w:bCs/>
                <w:sz w:val="18"/>
                <w:szCs w:val="18"/>
              </w:rPr>
              <w:t>irati</w:t>
            </w:r>
            <w:r w:rsidR="004976E4" w:rsidRPr="006A0E87">
              <w:rPr>
                <w:rFonts w:cstheme="minorHAnsi"/>
                <w:bCs/>
                <w:sz w:val="18"/>
                <w:szCs w:val="18"/>
              </w:rPr>
              <w:t xml:space="preserve"> zapušte</w:t>
            </w:r>
            <w:r w:rsidR="00933DEB">
              <w:rPr>
                <w:rFonts w:cstheme="minorHAnsi"/>
                <w:bCs/>
                <w:sz w:val="18"/>
                <w:szCs w:val="18"/>
              </w:rPr>
              <w:t>ne</w:t>
            </w:r>
            <w:r w:rsidR="004976E4" w:rsidRPr="006A0E87">
              <w:rPr>
                <w:rFonts w:cstheme="minorHAnsi"/>
                <w:bCs/>
                <w:sz w:val="18"/>
                <w:szCs w:val="18"/>
              </w:rPr>
              <w:t xml:space="preserve"> građevin</w:t>
            </w:r>
            <w:r w:rsidR="00933DEB">
              <w:rPr>
                <w:rFonts w:cstheme="minorHAnsi"/>
                <w:bCs/>
                <w:sz w:val="18"/>
                <w:szCs w:val="18"/>
              </w:rPr>
              <w:t>e</w:t>
            </w:r>
            <w:r w:rsidR="004976E4" w:rsidRPr="006A0E87">
              <w:rPr>
                <w:rFonts w:cstheme="minorHAnsi"/>
                <w:bCs/>
                <w:sz w:val="18"/>
                <w:szCs w:val="18"/>
              </w:rPr>
              <w:t>, unapr</w:t>
            </w:r>
            <w:r w:rsidR="00933DEB">
              <w:rPr>
                <w:rFonts w:cstheme="minorHAnsi"/>
                <w:bCs/>
                <w:sz w:val="18"/>
                <w:szCs w:val="18"/>
              </w:rPr>
              <w:t>ijediti</w:t>
            </w:r>
            <w:r w:rsidR="004976E4" w:rsidRPr="006A0E87">
              <w:rPr>
                <w:rFonts w:cstheme="minorHAnsi"/>
                <w:bCs/>
                <w:sz w:val="18"/>
                <w:szCs w:val="18"/>
              </w:rPr>
              <w:t xml:space="preserve"> kvalitet</w:t>
            </w:r>
            <w:r w:rsidR="00933DEB">
              <w:rPr>
                <w:rFonts w:cstheme="minorHAnsi"/>
                <w:bCs/>
                <w:sz w:val="18"/>
                <w:szCs w:val="18"/>
              </w:rPr>
              <w:t>u</w:t>
            </w:r>
            <w:r w:rsidR="004976E4" w:rsidRPr="006A0E87">
              <w:rPr>
                <w:rFonts w:cstheme="minorHAnsi"/>
                <w:bCs/>
                <w:sz w:val="18"/>
                <w:szCs w:val="18"/>
              </w:rPr>
              <w:t xml:space="preserve"> postojećih sportskih građevina, te prilago</w:t>
            </w:r>
            <w:r w:rsidR="00933DEB">
              <w:rPr>
                <w:rFonts w:cstheme="minorHAnsi"/>
                <w:bCs/>
                <w:sz w:val="18"/>
                <w:szCs w:val="18"/>
              </w:rPr>
              <w:t>diti</w:t>
            </w:r>
            <w:r w:rsidR="004976E4" w:rsidRPr="006A0E87">
              <w:rPr>
                <w:rFonts w:cstheme="minorHAnsi"/>
                <w:bCs/>
                <w:sz w:val="18"/>
                <w:szCs w:val="18"/>
              </w:rPr>
              <w:t xml:space="preserve"> osobama s invaliditetom i smanje</w:t>
            </w:r>
            <w:r w:rsidR="00933DEB">
              <w:rPr>
                <w:rFonts w:cstheme="minorHAnsi"/>
                <w:bCs/>
                <w:sz w:val="18"/>
                <w:szCs w:val="18"/>
              </w:rPr>
              <w:t>nom</w:t>
            </w:r>
            <w:r w:rsidR="004976E4" w:rsidRPr="006A0E87">
              <w:rPr>
                <w:rFonts w:cstheme="minorHAnsi"/>
                <w:bCs/>
                <w:sz w:val="18"/>
                <w:szCs w:val="18"/>
              </w:rPr>
              <w:t xml:space="preserve"> pokretljivosti</w:t>
            </w:r>
          </w:p>
          <w:p w14:paraId="596DE6D4" w14:textId="77777777" w:rsidR="004976E4" w:rsidRPr="00D96549" w:rsidRDefault="004976E4" w:rsidP="00F50578">
            <w:pPr>
              <w:spacing w:after="60" w:line="240" w:lineRule="auto"/>
              <w:ind w:right="-2"/>
              <w:contextualSpacing/>
              <w:jc w:val="both"/>
              <w:rPr>
                <w:rFonts w:cstheme="minorHAnsi"/>
                <w:bCs/>
                <w:sz w:val="18"/>
                <w:szCs w:val="18"/>
              </w:rPr>
            </w:pPr>
          </w:p>
        </w:tc>
      </w:tr>
      <w:tr w:rsidR="004976E4" w:rsidRPr="002447B9" w14:paraId="396575D0" w14:textId="77777777" w:rsidTr="00F50578">
        <w:trPr>
          <w:trHeight w:val="284"/>
          <w:jc w:val="center"/>
        </w:trPr>
        <w:tc>
          <w:tcPr>
            <w:tcW w:w="4677" w:type="dxa"/>
            <w:shd w:val="clear" w:color="auto" w:fill="D9D9D9"/>
          </w:tcPr>
          <w:p w14:paraId="0EA0D737" w14:textId="1574C093" w:rsidR="004976E4" w:rsidRPr="00D96549" w:rsidRDefault="00747EC9" w:rsidP="00165C16">
            <w:pPr>
              <w:numPr>
                <w:ilvl w:val="0"/>
                <w:numId w:val="7"/>
              </w:numPr>
              <w:spacing w:after="100" w:afterAutospacing="1" w:line="240" w:lineRule="auto"/>
              <w:contextualSpacing/>
              <w:jc w:val="both"/>
              <w:rPr>
                <w:rFonts w:cstheme="minorHAnsi"/>
                <w:sz w:val="18"/>
                <w:szCs w:val="18"/>
              </w:rPr>
            </w:pPr>
            <w:r>
              <w:rPr>
                <w:rFonts w:cstheme="minorHAnsi"/>
                <w:sz w:val="18"/>
                <w:szCs w:val="18"/>
              </w:rPr>
              <w:t>n</w:t>
            </w:r>
            <w:r w:rsidR="004976E4" w:rsidRPr="00D96549">
              <w:rPr>
                <w:rFonts w:cstheme="minorHAnsi"/>
                <w:sz w:val="18"/>
                <w:szCs w:val="18"/>
              </w:rPr>
              <w:t>edostatna osviještenosti o nužnosti bavljenja zdravstveno usmjerenim tjelesnim vježbanjem te sportsko-rekreacijskim aktivnostima</w:t>
            </w:r>
          </w:p>
          <w:p w14:paraId="4B6D190B" w14:textId="7CE95030" w:rsidR="004976E4" w:rsidRPr="00D96549" w:rsidRDefault="00747EC9" w:rsidP="00165C16">
            <w:pPr>
              <w:numPr>
                <w:ilvl w:val="0"/>
                <w:numId w:val="7"/>
              </w:numPr>
              <w:spacing w:after="100" w:afterAutospacing="1" w:line="240" w:lineRule="auto"/>
              <w:contextualSpacing/>
              <w:jc w:val="both"/>
              <w:rPr>
                <w:rFonts w:cstheme="minorHAnsi"/>
                <w:sz w:val="18"/>
                <w:szCs w:val="18"/>
              </w:rPr>
            </w:pPr>
            <w:r>
              <w:rPr>
                <w:rFonts w:cstheme="minorHAnsi"/>
                <w:sz w:val="18"/>
                <w:szCs w:val="18"/>
              </w:rPr>
              <w:t>m</w:t>
            </w:r>
            <w:r w:rsidR="004976E4" w:rsidRPr="00D96549">
              <w:rPr>
                <w:rFonts w:cstheme="minorHAnsi"/>
                <w:sz w:val="18"/>
                <w:szCs w:val="18"/>
              </w:rPr>
              <w:t xml:space="preserve">anjak osviještenosti šire javnosti o dodatnoj vrijednosti sporta, njegovoj ulozi u promicanju socijalnog uključivanja i jednakih mogućnosti za sve </w:t>
            </w:r>
          </w:p>
          <w:p w14:paraId="3366A073" w14:textId="1D183FDF" w:rsidR="004976E4" w:rsidRPr="00D96549" w:rsidRDefault="00747EC9" w:rsidP="00165C16">
            <w:pPr>
              <w:pStyle w:val="Odlomakpopisa"/>
              <w:numPr>
                <w:ilvl w:val="0"/>
                <w:numId w:val="7"/>
              </w:numPr>
              <w:spacing w:after="100" w:afterAutospacing="1" w:line="240" w:lineRule="auto"/>
              <w:jc w:val="both"/>
              <w:rPr>
                <w:rFonts w:cstheme="minorHAnsi"/>
                <w:sz w:val="18"/>
                <w:szCs w:val="18"/>
              </w:rPr>
            </w:pPr>
            <w:r>
              <w:rPr>
                <w:rFonts w:cstheme="minorHAnsi"/>
                <w:sz w:val="18"/>
                <w:szCs w:val="18"/>
              </w:rPr>
              <w:t>n</w:t>
            </w:r>
            <w:r w:rsidR="004976E4" w:rsidRPr="00D96549">
              <w:rPr>
                <w:rFonts w:cstheme="minorHAnsi"/>
                <w:sz w:val="18"/>
                <w:szCs w:val="18"/>
              </w:rPr>
              <w:t>edostatna uključenost sportaša – osoba s invaliditetom u sportskim programima</w:t>
            </w:r>
          </w:p>
          <w:p w14:paraId="0326335F" w14:textId="151CF059" w:rsidR="004976E4" w:rsidRPr="00D96549" w:rsidRDefault="00747EC9" w:rsidP="00165C16">
            <w:pPr>
              <w:numPr>
                <w:ilvl w:val="0"/>
                <w:numId w:val="7"/>
              </w:numPr>
              <w:spacing w:after="60" w:line="240" w:lineRule="auto"/>
              <w:ind w:right="-2"/>
              <w:jc w:val="both"/>
              <w:rPr>
                <w:rFonts w:cstheme="minorHAnsi"/>
                <w:sz w:val="18"/>
                <w:szCs w:val="18"/>
              </w:rPr>
            </w:pPr>
            <w:r>
              <w:rPr>
                <w:rFonts w:cstheme="minorHAnsi"/>
                <w:sz w:val="18"/>
                <w:szCs w:val="18"/>
              </w:rPr>
              <w:t>v</w:t>
            </w:r>
            <w:r w:rsidR="004976E4" w:rsidRPr="00D96549">
              <w:rPr>
                <w:rFonts w:cstheme="minorHAnsi"/>
                <w:sz w:val="18"/>
                <w:szCs w:val="18"/>
              </w:rPr>
              <w:t>rhunski sport na međunarodnoj razini iziskuje velika ulaganja obzirom da sustav tzv. profesionalnog sporta u Hrvatskoj nije do kraja definiran</w:t>
            </w:r>
          </w:p>
          <w:p w14:paraId="6B8D83F3" w14:textId="55634364" w:rsidR="004976E4" w:rsidRPr="00D96549" w:rsidRDefault="00747EC9" w:rsidP="00165C16">
            <w:pPr>
              <w:numPr>
                <w:ilvl w:val="0"/>
                <w:numId w:val="7"/>
              </w:numPr>
              <w:spacing w:after="60" w:line="240" w:lineRule="auto"/>
              <w:ind w:right="-2"/>
              <w:jc w:val="both"/>
              <w:rPr>
                <w:rFonts w:cstheme="minorHAnsi"/>
                <w:sz w:val="18"/>
                <w:szCs w:val="18"/>
              </w:rPr>
            </w:pPr>
            <w:r>
              <w:rPr>
                <w:rFonts w:cstheme="minorHAnsi"/>
                <w:sz w:val="18"/>
                <w:szCs w:val="18"/>
              </w:rPr>
              <w:t>n</w:t>
            </w:r>
            <w:r w:rsidR="004976E4" w:rsidRPr="00D96549">
              <w:rPr>
                <w:rFonts w:cstheme="minorHAnsi"/>
                <w:sz w:val="18"/>
                <w:szCs w:val="18"/>
              </w:rPr>
              <w:t>edostatno unapređenje zdravog i kreativnog načina života učenika osnovnih i srednjih škola</w:t>
            </w:r>
          </w:p>
          <w:p w14:paraId="2F0BE336" w14:textId="6874241B" w:rsidR="004976E4" w:rsidRPr="00D96549" w:rsidRDefault="00747EC9" w:rsidP="00165C16">
            <w:pPr>
              <w:numPr>
                <w:ilvl w:val="0"/>
                <w:numId w:val="7"/>
              </w:numPr>
              <w:spacing w:after="100" w:afterAutospacing="1" w:line="240" w:lineRule="auto"/>
              <w:contextualSpacing/>
              <w:jc w:val="both"/>
              <w:rPr>
                <w:rFonts w:cstheme="minorHAnsi"/>
                <w:sz w:val="18"/>
                <w:szCs w:val="18"/>
              </w:rPr>
            </w:pPr>
            <w:r>
              <w:rPr>
                <w:rFonts w:cstheme="minorHAnsi"/>
                <w:sz w:val="18"/>
                <w:szCs w:val="18"/>
              </w:rPr>
              <w:t>n</w:t>
            </w:r>
            <w:r w:rsidR="004976E4" w:rsidRPr="00D96549">
              <w:rPr>
                <w:rFonts w:cstheme="minorHAnsi"/>
                <w:sz w:val="18"/>
                <w:szCs w:val="18"/>
              </w:rPr>
              <w:t>edostatna edukacija i stručnost sportskih djelatnika te nedostatan broj uključenih, educiranih i opremljenih volontera</w:t>
            </w:r>
          </w:p>
          <w:p w14:paraId="7618689A" w14:textId="15384B5C" w:rsidR="004976E4" w:rsidRPr="00D96549" w:rsidRDefault="00747EC9" w:rsidP="00165C16">
            <w:pPr>
              <w:numPr>
                <w:ilvl w:val="0"/>
                <w:numId w:val="7"/>
              </w:numPr>
              <w:spacing w:after="100" w:afterAutospacing="1" w:line="240" w:lineRule="auto"/>
              <w:contextualSpacing/>
              <w:jc w:val="both"/>
              <w:rPr>
                <w:rFonts w:cstheme="minorHAnsi"/>
                <w:sz w:val="18"/>
                <w:szCs w:val="18"/>
              </w:rPr>
            </w:pPr>
            <w:r>
              <w:rPr>
                <w:rFonts w:cstheme="minorHAnsi"/>
                <w:sz w:val="18"/>
                <w:szCs w:val="18"/>
              </w:rPr>
              <w:t>n</w:t>
            </w:r>
            <w:r w:rsidR="004976E4" w:rsidRPr="00D96549">
              <w:rPr>
                <w:rFonts w:cstheme="minorHAnsi"/>
                <w:sz w:val="18"/>
                <w:szCs w:val="18"/>
              </w:rPr>
              <w:t>erazvijen sustav podrške dvojnim karijerama sportaša na lokalnoj/regionalnoj razini</w:t>
            </w:r>
          </w:p>
          <w:p w14:paraId="2171E1EB" w14:textId="12773952" w:rsidR="004976E4" w:rsidRPr="00D96549" w:rsidRDefault="00747EC9" w:rsidP="00165C16">
            <w:pPr>
              <w:numPr>
                <w:ilvl w:val="0"/>
                <w:numId w:val="7"/>
              </w:numPr>
              <w:spacing w:after="100" w:afterAutospacing="1" w:line="240" w:lineRule="auto"/>
              <w:contextualSpacing/>
              <w:jc w:val="both"/>
              <w:rPr>
                <w:rFonts w:cstheme="minorHAnsi"/>
                <w:sz w:val="18"/>
                <w:szCs w:val="18"/>
              </w:rPr>
            </w:pPr>
            <w:r>
              <w:rPr>
                <w:rFonts w:cstheme="minorHAnsi"/>
                <w:sz w:val="18"/>
                <w:szCs w:val="18"/>
              </w:rPr>
              <w:t>n</w:t>
            </w:r>
            <w:r w:rsidR="004976E4" w:rsidRPr="00D96549">
              <w:rPr>
                <w:rFonts w:cstheme="minorHAnsi"/>
                <w:sz w:val="18"/>
                <w:szCs w:val="18"/>
              </w:rPr>
              <w:t>eprilagođenost zdravstvenog sustava skrbi za sportaše</w:t>
            </w:r>
          </w:p>
          <w:p w14:paraId="28F4C585" w14:textId="3638778E" w:rsidR="004976E4" w:rsidRPr="00D96549" w:rsidRDefault="00747EC9" w:rsidP="00165C16">
            <w:pPr>
              <w:numPr>
                <w:ilvl w:val="0"/>
                <w:numId w:val="7"/>
              </w:numPr>
              <w:spacing w:after="200" w:line="276" w:lineRule="auto"/>
              <w:contextualSpacing/>
              <w:rPr>
                <w:rFonts w:cstheme="minorHAnsi"/>
                <w:sz w:val="18"/>
                <w:szCs w:val="18"/>
              </w:rPr>
            </w:pPr>
            <w:r>
              <w:rPr>
                <w:rFonts w:cstheme="minorHAnsi"/>
                <w:sz w:val="18"/>
                <w:szCs w:val="18"/>
                <w:lang w:eastAsia="x-none"/>
              </w:rPr>
              <w:t>o</w:t>
            </w:r>
            <w:r w:rsidR="004976E4" w:rsidRPr="00D96549">
              <w:rPr>
                <w:rFonts w:cstheme="minorHAnsi"/>
                <w:sz w:val="18"/>
                <w:szCs w:val="18"/>
                <w:lang w:eastAsia="x-none"/>
              </w:rPr>
              <w:t>pterećenost i prekapacitiranost postojećih sportsko-rekreacijskih građevina (otvorenog i zatvorenog tipa), te neproporcionalan raspored istih po gradskim četvrtima</w:t>
            </w:r>
          </w:p>
          <w:p w14:paraId="514A4E4A" w14:textId="77777777" w:rsidR="004976E4" w:rsidRPr="00D96549" w:rsidRDefault="004976E4" w:rsidP="00165C16">
            <w:pPr>
              <w:numPr>
                <w:ilvl w:val="0"/>
                <w:numId w:val="7"/>
              </w:numPr>
              <w:spacing w:after="200" w:line="276" w:lineRule="auto"/>
              <w:contextualSpacing/>
              <w:rPr>
                <w:rFonts w:cstheme="minorHAnsi"/>
                <w:sz w:val="18"/>
                <w:szCs w:val="18"/>
              </w:rPr>
            </w:pPr>
            <w:r w:rsidRPr="00D96549">
              <w:rPr>
                <w:rFonts w:cstheme="minorHAnsi"/>
                <w:sz w:val="18"/>
                <w:szCs w:val="18"/>
                <w:lang w:eastAsia="x-none"/>
              </w:rPr>
              <w:t>Zakonom o sportu iz 2006., predviđeno je propisivanje</w:t>
            </w:r>
            <w:r w:rsidRPr="00D96549">
              <w:rPr>
                <w:rFonts w:cstheme="minorHAnsi"/>
                <w:sz w:val="18"/>
                <w:szCs w:val="18"/>
                <w:u w:val="single"/>
                <w:lang w:eastAsia="x-none"/>
              </w:rPr>
              <w:t xml:space="preserve"> </w:t>
            </w:r>
            <w:r w:rsidRPr="00D96549">
              <w:rPr>
                <w:rFonts w:cstheme="minorHAnsi"/>
                <w:sz w:val="18"/>
                <w:szCs w:val="18"/>
                <w:lang w:eastAsia="x-none"/>
              </w:rPr>
              <w:t>pravilnika od strane čelnika državne uprave nadležnog za sport (kojim se propisuju prostorni uvjeti, standardi i normativi sportskih građevina, te posebni uvjeti za planiranje, programiranje, projektiranje, gradnju, održavanje i sigurnost korisnika), a koji još uvijek nije donesen</w:t>
            </w:r>
          </w:p>
          <w:p w14:paraId="2AAA57F5" w14:textId="10D65E94" w:rsidR="004976E4" w:rsidRPr="00D96549" w:rsidRDefault="00747EC9" w:rsidP="00165C16">
            <w:pPr>
              <w:numPr>
                <w:ilvl w:val="0"/>
                <w:numId w:val="7"/>
              </w:numPr>
              <w:spacing w:after="200" w:line="276" w:lineRule="auto"/>
              <w:contextualSpacing/>
              <w:rPr>
                <w:rFonts w:cstheme="minorHAnsi"/>
                <w:sz w:val="18"/>
                <w:szCs w:val="18"/>
              </w:rPr>
            </w:pPr>
            <w:r>
              <w:rPr>
                <w:rFonts w:cstheme="minorHAnsi"/>
                <w:sz w:val="18"/>
                <w:szCs w:val="18"/>
                <w:lang w:eastAsia="x-none"/>
              </w:rPr>
              <w:t>n</w:t>
            </w:r>
            <w:r w:rsidR="004976E4" w:rsidRPr="00D96549">
              <w:rPr>
                <w:rFonts w:cstheme="minorHAnsi"/>
                <w:sz w:val="18"/>
                <w:szCs w:val="18"/>
                <w:lang w:eastAsia="x-none"/>
              </w:rPr>
              <w:t>edostatan udio energetski učinkovitih sportskih građevina, te nedovoljno osigurana pristupačnost građevina osobama s invaliditetom i smanjene pokretljivosti</w:t>
            </w:r>
          </w:p>
          <w:p w14:paraId="63FD1B22" w14:textId="4569FE54" w:rsidR="004976E4" w:rsidRPr="00D96549" w:rsidRDefault="00747EC9" w:rsidP="00165C16">
            <w:pPr>
              <w:numPr>
                <w:ilvl w:val="0"/>
                <w:numId w:val="7"/>
              </w:numPr>
              <w:spacing w:after="200" w:line="276" w:lineRule="auto"/>
              <w:contextualSpacing/>
              <w:rPr>
                <w:rFonts w:cstheme="minorHAnsi"/>
                <w:sz w:val="18"/>
                <w:szCs w:val="18"/>
              </w:rPr>
            </w:pPr>
            <w:r>
              <w:rPr>
                <w:rFonts w:cstheme="minorHAnsi"/>
                <w:sz w:val="18"/>
                <w:szCs w:val="18"/>
              </w:rPr>
              <w:t>v</w:t>
            </w:r>
            <w:r w:rsidR="004976E4" w:rsidRPr="00D96549">
              <w:rPr>
                <w:rFonts w:cstheme="minorHAnsi"/>
                <w:sz w:val="18"/>
                <w:szCs w:val="18"/>
              </w:rPr>
              <w:t>elik broj oštećenih sportskih objekata nastalih uslijed potresa u ožujku 2020. godine,</w:t>
            </w:r>
          </w:p>
          <w:p w14:paraId="0006CBFC" w14:textId="77777777" w:rsidR="004976E4" w:rsidRPr="00D96549" w:rsidRDefault="004976E4" w:rsidP="00F50578">
            <w:pPr>
              <w:spacing w:line="240" w:lineRule="auto"/>
              <w:jc w:val="both"/>
              <w:rPr>
                <w:rFonts w:cstheme="minorHAnsi"/>
                <w:sz w:val="18"/>
                <w:szCs w:val="18"/>
              </w:rPr>
            </w:pPr>
          </w:p>
          <w:p w14:paraId="1FCC33DA" w14:textId="77777777" w:rsidR="004976E4" w:rsidRPr="00D96549" w:rsidRDefault="004976E4" w:rsidP="00F50578">
            <w:pPr>
              <w:spacing w:line="240" w:lineRule="auto"/>
              <w:ind w:left="360"/>
              <w:jc w:val="both"/>
              <w:rPr>
                <w:rFonts w:cstheme="minorHAnsi"/>
                <w:sz w:val="18"/>
                <w:szCs w:val="18"/>
              </w:rPr>
            </w:pPr>
          </w:p>
          <w:p w14:paraId="77EDF99A" w14:textId="77777777" w:rsidR="004976E4" w:rsidRPr="00D96549" w:rsidRDefault="004976E4" w:rsidP="00F50578">
            <w:pPr>
              <w:spacing w:line="240" w:lineRule="auto"/>
              <w:jc w:val="both"/>
              <w:rPr>
                <w:rFonts w:cstheme="minorHAnsi"/>
                <w:sz w:val="18"/>
                <w:szCs w:val="18"/>
              </w:rPr>
            </w:pPr>
          </w:p>
          <w:p w14:paraId="7F8D7464" w14:textId="77777777" w:rsidR="004976E4" w:rsidRPr="00D96549" w:rsidRDefault="004976E4" w:rsidP="00F50578">
            <w:pPr>
              <w:spacing w:before="60" w:after="60" w:line="240" w:lineRule="auto"/>
              <w:ind w:right="-2"/>
              <w:jc w:val="both"/>
              <w:rPr>
                <w:rFonts w:cstheme="minorHAnsi"/>
                <w:sz w:val="18"/>
                <w:szCs w:val="18"/>
              </w:rPr>
            </w:pPr>
          </w:p>
        </w:tc>
        <w:tc>
          <w:tcPr>
            <w:tcW w:w="4717" w:type="dxa"/>
            <w:vMerge/>
            <w:vAlign w:val="center"/>
            <w:hideMark/>
          </w:tcPr>
          <w:p w14:paraId="70B70C72" w14:textId="77777777" w:rsidR="004976E4" w:rsidRPr="00D96549" w:rsidRDefault="004976E4" w:rsidP="00F50578">
            <w:pPr>
              <w:spacing w:after="0" w:line="240" w:lineRule="auto"/>
              <w:rPr>
                <w:rFonts w:cstheme="minorHAnsi"/>
                <w:b/>
                <w:sz w:val="18"/>
                <w:szCs w:val="18"/>
              </w:rPr>
            </w:pPr>
          </w:p>
        </w:tc>
      </w:tr>
    </w:tbl>
    <w:p w14:paraId="046584E8" w14:textId="77777777" w:rsidR="004976E4" w:rsidRDefault="004976E4" w:rsidP="004976E4">
      <w:pPr>
        <w:spacing w:line="240" w:lineRule="auto"/>
        <w:jc w:val="both"/>
        <w:rPr>
          <w:rFonts w:cs="Calibri"/>
          <w:bCs/>
        </w:rPr>
      </w:pPr>
    </w:p>
    <w:p w14:paraId="45A871AD" w14:textId="0B2165FC" w:rsidR="004976E4" w:rsidRDefault="004976E4" w:rsidP="007B22DB">
      <w:pPr>
        <w:pStyle w:val="Stil2"/>
      </w:pPr>
      <w:bookmarkStart w:id="33" w:name="_Toc97123792"/>
      <w:r>
        <w:t>2.1.6. Zdravstvo</w:t>
      </w:r>
      <w:bookmarkEnd w:id="33"/>
      <w:r>
        <w:t xml:space="preserve"> </w:t>
      </w:r>
    </w:p>
    <w:p w14:paraId="44388227" w14:textId="77777777" w:rsidR="003A0E03" w:rsidRDefault="004976E4" w:rsidP="003A0E03">
      <w:pPr>
        <w:jc w:val="both"/>
      </w:pPr>
      <w:r>
        <w:rPr>
          <w:b/>
        </w:rPr>
        <w:t xml:space="preserve">Sustav zdravstvene zaštite. </w:t>
      </w:r>
      <w:r>
        <w:t>Zdravstvena zaštita organizirana je na tri razine koje su međusobno povezane i surađuju u pružanju zdravstvene skrbi građanima Grada Zagreba. Te razine čine primarna, sekundarna i tercijarna zdravstvena zaštita</w:t>
      </w:r>
      <w:r>
        <w:rPr>
          <w:b/>
        </w:rPr>
        <w:t xml:space="preserve">. </w:t>
      </w:r>
      <w:r>
        <w:rPr>
          <w:bCs/>
        </w:rPr>
        <w:t>Na primarnoj razini</w:t>
      </w:r>
      <w:r>
        <w:t xml:space="preserve"> zdravstvenu zaštitu organiziraju i provode domovi zdravlja kojih je osnivač Grad Zagreb: Dom zdravlja Zagreb - Centar, Dom zdravlja Zagreb - Istok, Dom zdravlja Zagreb - Zapad, te Dom zdravlja MUP-a u vlasništvu Republike Hrvatske. Usluge zdravstvene zaštite pružaju i privatni zdravstveni djelatnici, ljekarne (249 ljekarni na području Grada Zagreba, od toga Gradska ljekarn</w:t>
      </w:r>
      <w:r w:rsidR="00F930B7">
        <w:t>e Z</w:t>
      </w:r>
      <w:r>
        <w:t xml:space="preserve">agreb </w:t>
      </w:r>
      <w:r w:rsidRPr="005B3913">
        <w:t xml:space="preserve">s 42 </w:t>
      </w:r>
      <w:r>
        <w:t xml:space="preserve">ljekarničke jedinice, uključujući galenski i analitički laboratorij), Nastavni zavod za hitnu medicinu Grada Zagreba, Nastavni zavod za javno zdravstvo „Dr. Andrija Štampar“ i Ustanova za zdravstvenu njegu u kući. Nastavni zavod za hitnu medicinu Grada Zagreba, Nastavni zavod za javno zdravstvo „Dr. Andrija Štampar“ i Ustanova za zdravstvenu njegu u kući zdravstvene su ustanove u vlasništvu Grada Zagreba. U domovima zdravlja u djelatnosti obiteljske (opće) medicine, dentalne zdravstvene zaštite, zdravstvene zaštite predškolske djece, zdravstvene zaštite žena, laboratorijske dijagnostike, medicine rada i zdravstvene njege u kući, dio timova je u koncesiji, a dio timova su zaposlenici domova zdravlja. </w:t>
      </w:r>
      <w:bookmarkStart w:id="34" w:name="_Toc96880027"/>
    </w:p>
    <w:p w14:paraId="66BF97C2" w14:textId="77777777" w:rsidR="003A0E03" w:rsidRDefault="004976E4" w:rsidP="003A0E03">
      <w:pPr>
        <w:jc w:val="both"/>
      </w:pPr>
      <w:r w:rsidRPr="00F930B7">
        <w:t>Na sekundarnoj razini zdravstvenu skrb pružaju specijalne bolnice, poliklinike te dijelom Nastavni zavod za javno zdravstvo „Dr. Andrija Štampar“. Zdravstvene ustanove (poliklinike) na sekundarnoj razini zdravstvene djelatnosti osnivač kojih je Grad Zagreb su: Poliklinika za rehabilitaciju slušanja i govora „SUVAG“, Poliklinika za zaštitu djece i mladih Grada Zagreba, Poliklinika Zagreb, Poliklinika za reumatske bolesti, fizikalnu medicinu i rehabilitaciju ‘Dr. Drago Čop’, Poliklinika za prevenciju kardiovaskularnih bolesti i rehabilitaciju ( tzv. Srčana ), Stomatološka poliklinika Zagreb, Poliklinika za bolesti dišnog sustava. Zdravstvene ustanove (specijalne bolnice) na sekundarnoj razini zdravstvene djelatnosti kojih je osnivač Grad Zagreb su: Psihijatrijska bolnica Sveti Ivan, Dječja bolnica Srebrnjak, Specijalna bolnica za plućne bolesti, Psihijatrijska bolnica za djecu i mladež, te Specijalna bolnica za zdravstvenu zaštitu djece s neurorazvojnim i motoričkim smetnjama</w:t>
      </w:r>
      <w:bookmarkStart w:id="35" w:name="_Toc96880028"/>
      <w:bookmarkEnd w:id="34"/>
      <w:r w:rsidR="003A0E03">
        <w:t>.</w:t>
      </w:r>
    </w:p>
    <w:p w14:paraId="3419A669" w14:textId="602AD87A" w:rsidR="004976E4" w:rsidRPr="00F930B7" w:rsidRDefault="004976E4" w:rsidP="003A0E03">
      <w:pPr>
        <w:jc w:val="both"/>
      </w:pPr>
      <w:r w:rsidRPr="00F930B7">
        <w:t>Zdravstvenu djelatnost na tercijarnoj razini građanima pružaju kliničke bolnice, klinički bolnički centri, od toga dvije gradske bolnice - Klinička bolnica Sveti Duh i Klinika za psihijatriju Vrapče, pet kliničkih zdravstvenih ustanova kojima je osnivač Republika Hrvatska: Klinički bolnički centar Zagreb, Klinički bolnički centar Sestre milosrdnice, Klinička bolnica Dubrava, Klinička bolnica Merkur, Klinika za infektivne bolesti ‘Dr. Fran Mihaljević’ i Klinika za dječje bolesti te nacionalni zavodi (Hrvatski zavod za javno zdravstvo, Hrvatski zavod za transfuzijsku medicinu  i Hrvatski zavod za hitnu medicinu ).</w:t>
      </w:r>
      <w:bookmarkEnd w:id="35"/>
      <w:r w:rsidRPr="00F930B7">
        <w:t xml:space="preserve"> </w:t>
      </w:r>
    </w:p>
    <w:p w14:paraId="3E78174D" w14:textId="2EA9BD13" w:rsidR="003A0E03" w:rsidRDefault="004976E4" w:rsidP="003A0E03">
      <w:pPr>
        <w:jc w:val="both"/>
      </w:pPr>
      <w:r w:rsidRPr="003A0E03">
        <w:rPr>
          <w:b/>
          <w:bCs/>
        </w:rPr>
        <w:t>Odabrani zdravstveni pokazatelji.</w:t>
      </w:r>
      <w:r w:rsidRPr="00F930B7">
        <w:t xml:space="preserve"> Očekivano trajanje života za stanovnika Grada Zagreba iznosilo je u </w:t>
      </w:r>
      <w:r w:rsidR="0024445D" w:rsidRPr="0024445D">
        <w:t xml:space="preserve">2018. </w:t>
      </w:r>
      <w:r w:rsidRPr="00F930B7">
        <w:t>godini 79,3 godina, što je za 4 godine dulje nego u 2003. kada je iznosilo 75,6 godina. Očekivano trajanje života za muškarce je 76,3 godine, a za žene 81,9 godina</w:t>
      </w:r>
      <w:bookmarkStart w:id="36" w:name="_Toc96880029"/>
      <w:r w:rsidR="003A0E03">
        <w:t>.</w:t>
      </w:r>
    </w:p>
    <w:p w14:paraId="60047A64" w14:textId="46D0C246" w:rsidR="004976E4" w:rsidRPr="00F930B7" w:rsidRDefault="004976E4" w:rsidP="003A0E03">
      <w:pPr>
        <w:jc w:val="both"/>
      </w:pPr>
      <w:r w:rsidRPr="00F930B7">
        <w:t>Tijekom</w:t>
      </w:r>
      <w:r w:rsidR="0024445D">
        <w:t xml:space="preserve"> </w:t>
      </w:r>
      <w:r w:rsidR="0024445D" w:rsidRPr="0024445D">
        <w:rPr>
          <w:rFonts w:cs="Calibri"/>
        </w:rPr>
        <w:t>2018</w:t>
      </w:r>
      <w:r w:rsidR="0024445D">
        <w:t xml:space="preserve"> </w:t>
      </w:r>
      <w:r w:rsidRPr="00F930B7">
        <w:t>. u Zagrebu umrlo je 9.036 osoba, od čega 47,29 %  muškaraca i 52,71 % žena. Stopa smrtnosti iznosila je 1.123,17 umrlih na 100.000 stanovnika. Vodeće skupine uzroka smrti u 2018. bile su cirkulacijske bolesti (3.830 umrlih ili 42,39%), a prema broju slučajeva slijede ih novotvorine (2.593 ili 28,70%), što ukazuje na potrebu daljnje promocije zdravih načina života odnosno prevencije i ranog otkrivanja novotvorina.   Unutar ove skupine najbrojnije su bile ishemijske bolesti srca i cerebrovaskularne bolesti. Na drugom mjestu nalazi se skupina novotvorina, a najčešće unutar ove skupine su zloćudne novotvorine traheje, bronha i pluća, zloćudne novotvorine debelog crijeva te zloćudne novotvorine dojke. Od ostalih skupina bolesti, kao uzroka smrti, na trećem su mjestu bolesti dišnog sustava, zatim ozljede i trovanja te endokrine bolesti.</w:t>
      </w:r>
      <w:bookmarkEnd w:id="36"/>
      <w:r w:rsidRPr="00F930B7">
        <w:t xml:space="preserve"> </w:t>
      </w:r>
    </w:p>
    <w:p w14:paraId="26D83F3F" w14:textId="1B8F8A1D" w:rsidR="004976E4" w:rsidRPr="00FF6770" w:rsidRDefault="0024445D" w:rsidP="004976E4">
      <w:pPr>
        <w:spacing w:line="240" w:lineRule="auto"/>
        <w:jc w:val="both"/>
        <w:rPr>
          <w:rFonts w:cs="Calibri"/>
          <w:b/>
        </w:rPr>
      </w:pPr>
      <w:r w:rsidRPr="0024445D">
        <w:rPr>
          <w:rFonts w:cs="Calibri"/>
          <w:b/>
        </w:rPr>
        <w:t>Gerontološki</w:t>
      </w:r>
      <w:r>
        <w:rPr>
          <w:rFonts w:cs="Calibri"/>
          <w:b/>
        </w:rPr>
        <w:t xml:space="preserve"> </w:t>
      </w:r>
      <w:r w:rsidR="004976E4">
        <w:rPr>
          <w:rFonts w:cs="Calibri"/>
          <w:b/>
        </w:rPr>
        <w:t xml:space="preserve">javnozdravstveni pokazatelji. </w:t>
      </w:r>
      <w:r w:rsidR="004976E4" w:rsidRPr="00FF6770">
        <w:rPr>
          <w:rFonts w:cs="Calibri"/>
        </w:rPr>
        <w:t>Prema</w:t>
      </w:r>
      <w:r w:rsidR="004976E4" w:rsidRPr="00FF6770">
        <w:rPr>
          <w:rFonts w:cs="Calibri"/>
          <w:b/>
        </w:rPr>
        <w:t xml:space="preserve"> </w:t>
      </w:r>
      <w:r w:rsidR="004976E4" w:rsidRPr="00FF6770">
        <w:rPr>
          <w:rFonts w:cs="Calibri"/>
        </w:rPr>
        <w:t>popisu stanovništva</w:t>
      </w:r>
      <w:r w:rsidR="004976E4" w:rsidRPr="00FF6770">
        <w:rPr>
          <w:rFonts w:cs="Calibri"/>
          <w:b/>
        </w:rPr>
        <w:t xml:space="preserve"> </w:t>
      </w:r>
      <w:r w:rsidR="004976E4" w:rsidRPr="00FF6770">
        <w:rPr>
          <w:rFonts w:cs="Calibri"/>
        </w:rPr>
        <w:t>iz 2011. godine u Hrvatskoj živi 758.633 stanovnika starija od 65 godina, što predstavlja udio od 17,7% cjelokupne populacije. Demografske projekcije upućuju na porast udjela starije populacije na 19,84% u razdoblju od 2011. do 2017. godine (818.300 stanovnika), stoga se predviđa da će uskoro u Hrvatskoj i Gradu Zagrebu svaki četvrti stanovnik biti stariji od 65 godina. Pritom je udio muškaraca starije dobi (16,53%, 329.065) manji od udjela žena starije dobi (22,92%, 489.235).</w:t>
      </w:r>
      <w:r w:rsidR="004976E4">
        <w:rPr>
          <w:rFonts w:cs="Calibri"/>
        </w:rPr>
        <w:t xml:space="preserve"> </w:t>
      </w:r>
      <w:r w:rsidR="004976E4" w:rsidRPr="00FF6770">
        <w:rPr>
          <w:rFonts w:cs="Calibri"/>
        </w:rPr>
        <w:t xml:space="preserve">Udio dobne skupine iznad 65 godina u ukupnom broju stanovnika Grada Zagreba iznosi 18,84% (N=151.238), pri čemu udio muškaraca starije dobi iznosi 15,66% (N=92.406) ukupne muške populacije, a udio žena starije dobi iznosi 21,63% (N=92.406) ukupne ženske populacije. Demografska struktura raspodjele udjela osoba starijih od 65 godina po četvrtima Grada Zagreba (N=136.770) prema popisnoj 2011. godini pokazuje da je najveći udio starijih osoba od 65 godina u četvrti Novi Zagreb – istok (9,4%), potom na drugom mjestu u četvrti Trešnjevka – jug (8,5%) te na trećem mjestu u četvrti Maksimir (7,4%). </w:t>
      </w:r>
      <w:r w:rsidR="004976E4" w:rsidRPr="00FF6770">
        <w:t xml:space="preserve"> </w:t>
      </w:r>
    </w:p>
    <w:p w14:paraId="50FF2376" w14:textId="77777777" w:rsidR="004976E4" w:rsidRDefault="004976E4" w:rsidP="004976E4">
      <w:pPr>
        <w:spacing w:line="240" w:lineRule="auto"/>
        <w:jc w:val="both"/>
      </w:pPr>
      <w:r>
        <w:t xml:space="preserve">Sve veći broj osoba starijih od 85 godina u populaciji zahtjeva i reorijentaciju zdravstvene skrbi prema sve većim zahtjevima gerontološke zdravstvene zaštite. Gerontološki program ima osobito značenje u odnosu na raniju starost (65 do 74 godina), srednju (75 do 84 godina) i duboku starost od 85 i više godina. Starenje hrvatskog stanovništva ubrzano će se nastaviti te prioritetno značenje dobiva upravo stalna edukacija iz gerontologije i gerijatrije te gerijatrijske zdravstvene njege u zaštiti zdravlja osoba starije životne dobi. Gerontološko javnozdravstveni pokazatelji su jedna od osnova za izradu i evaluaciju Programa zdravstvenih mjera i postupaka u zaštiti zdravlja osoba starije životne dobi. Isto tako, gerontološko javnozdravstveni pokazatelji o pojavnosti </w:t>
      </w:r>
      <w:r w:rsidRPr="00A309A3">
        <w:t>mentalni</w:t>
      </w:r>
      <w:r>
        <w:t>h oštećenja u starijih osoba upućuju na nužnost izrade programa geroprofilaktičnih mjera, u institucijskoj i izvan institucijskoj skrbi za starije osobe, posebno u odnosu na psihogerijatrijske bolesnike oboljele od Alzheimerove bolesti uključujući i stalne doedukacije usmjerene prema svim ciljnim skupinama u skrbi Alzheimerovog bolesnika, uključujući i edukacijo o ranom otkrivanja oboljelih.</w:t>
      </w:r>
    </w:p>
    <w:p w14:paraId="67003BF5" w14:textId="77777777" w:rsidR="004976E4" w:rsidRPr="002F17F3" w:rsidRDefault="004976E4" w:rsidP="004976E4">
      <w:pPr>
        <w:spacing w:line="240" w:lineRule="auto"/>
        <w:jc w:val="both"/>
        <w:rPr>
          <w:b/>
        </w:rPr>
      </w:pPr>
      <w:r w:rsidRPr="002F17F3">
        <w:rPr>
          <w:b/>
        </w:rPr>
        <w:t>Potres</w:t>
      </w:r>
    </w:p>
    <w:p w14:paraId="0F091AE5" w14:textId="77777777" w:rsidR="004976E4" w:rsidRPr="002F17F3" w:rsidRDefault="004976E4" w:rsidP="004976E4">
      <w:pPr>
        <w:pStyle w:val="Bezproreda"/>
        <w:jc w:val="both"/>
      </w:pPr>
      <w:r w:rsidRPr="002F17F3">
        <w:t xml:space="preserve">Potres od 22. ožujka 2020. godine uzrokovao je oštećenja na velikom broju objekata gradskih zdravstvenih ustanova. Nakon pregleda objekata ustanovljeno je da je više od polovice objekata prošlo bez oštećenja (51,3 %), a od oštećenih, njih 43,4 % dobilo je zelenu oznaku „UPORABLJIVO S OŠTEĆENJIMA“, dok je 5,3% objekata dobilo oznaku privremeno neuporabljivo i neuporabljivo. No, važno je za napomenuti da od objekata sa zelenom oznakom „UPORABLJIVO S OŠTEĆENJIMA“ velika većina njih u ovom trenutku,  ne bi zadovoljila Pravilnik o minimalnim uvjetima u pogledu prostora, radnika i medicinsko-tehničke opreme za obavljanje zdravstvene djelatnosti. I bez dodatnog čimbenika u obliku bolesti COVID-19, održavanje najviših higijensko-sanitarnih uvjeta u svim objektima zdravstva predstavlja stalni imperativ koji i u normalnim okolnostima bude teško ispunjavati. Hitna sanacija odmah nakon potresa imala je za zadaću ukloniti neposrednu opasnost po zdravlje i život ljudi (npr. veliki komadi žbuke) te daljnje oštećenje imovine. Hitnom sanacijom išlo se na uklanjanje svih dijelova objekata koji bi mogli ozlijediti ljude, ali bez dovođenja u odgovarajuće stanje koje propisuje Pravilnik (što zahtjeva odgovarajuće građevinske i ostale majstorske radove i dostatna sredstva na raspolaganju). Objekte zdravstva svakodnevno se mora čistiti i dezinficirati, danas zbog COVID-19 više nego ikad, te sve površine i plohe moraju biti čvrste i glatke, bez oštećenja, lake za održavanje. Zdravstvene ustanove napravile su planove sanacije koji se provode sukladno raspoloživim financijskim sredstvima i radnoj snazi, no u ovom trenu na tržištu nema dovoljno stručnjaka, ali ni sredstava za brzu i kvalitetnu sanaciju svih oštećenih objekata zdravstva. </w:t>
      </w:r>
    </w:p>
    <w:p w14:paraId="6B598474" w14:textId="77777777" w:rsidR="004976E4" w:rsidRPr="002F17F3" w:rsidRDefault="004976E4" w:rsidP="004976E4">
      <w:pPr>
        <w:pStyle w:val="Bezproreda"/>
        <w:jc w:val="both"/>
      </w:pPr>
      <w:r w:rsidRPr="002F17F3">
        <w:t xml:space="preserve">Novi potres od 29. prosinca 2020. godine s epicentrom kod Petrinje uzrokovao je dodatna oštećenja na većem broju objekata gradskih zdravstvenih ustanova. </w:t>
      </w:r>
    </w:p>
    <w:p w14:paraId="643B37FF" w14:textId="77777777" w:rsidR="004976E4" w:rsidRPr="002F17F3" w:rsidRDefault="004976E4" w:rsidP="004976E4">
      <w:pPr>
        <w:pStyle w:val="Bezproreda"/>
        <w:jc w:val="both"/>
      </w:pPr>
      <w:r w:rsidRPr="002F17F3">
        <w:t>Uz vlastite planove obnove, Grad Zagreb je u 2020. putem Ureda za programe i projekte Europske unije pokrenuo suradnju s nadležnim ministarstvom kako bi se iznašle mogućnosti financiranja obnove objekata i kupnje opreme bespovratnim sredstvima EU-a iz Europskog fonda za solidarnost. Također, Grad sudjeluje u izradi izvješća za dobivanje kredita Svjetske banke.</w:t>
      </w:r>
    </w:p>
    <w:p w14:paraId="70D72227" w14:textId="4E6AA7F8" w:rsidR="009121D4" w:rsidRDefault="004976E4" w:rsidP="00501306">
      <w:pPr>
        <w:pStyle w:val="Bezproreda"/>
        <w:jc w:val="both"/>
      </w:pPr>
      <w:r w:rsidRPr="002F17F3">
        <w:t>Potresi upareni s bolesti COVID-19 ukazali su na potrebu planiranja, izgradnje i rekonstrukcije na potrese otporne i energetski učinkovite zdravstvene infrastrukture, kao i njeno redovito i temeljito održavanje, što je zbog uvijek nedostatnih sredstava teško provoditi. Otvoreno je pitanje (ne)isplativosti obnove starih zgrada nakon potresa, uključujući energetsku obnovu, jer troškovi sanacije nakon potresa, uključujući statičku sanaciju, iznose najmanje 50-60 % cijene izgradnje novog objekta.</w:t>
      </w:r>
    </w:p>
    <w:p w14:paraId="6CBAB1B4" w14:textId="77777777" w:rsidR="00501306" w:rsidRPr="002F17F3" w:rsidRDefault="00501306" w:rsidP="00501306">
      <w:pPr>
        <w:pStyle w:val="Bezproreda"/>
        <w:jc w:val="both"/>
      </w:pPr>
    </w:p>
    <w:p w14:paraId="16249CFC" w14:textId="77777777" w:rsidR="004976E4" w:rsidRPr="002F17F3" w:rsidRDefault="004976E4" w:rsidP="004976E4">
      <w:pPr>
        <w:jc w:val="both"/>
        <w:rPr>
          <w:rFonts w:eastAsia="Times New Roman" w:cs="Arial"/>
          <w:b/>
          <w:bCs/>
        </w:rPr>
      </w:pPr>
      <w:r w:rsidRPr="002F17F3">
        <w:rPr>
          <w:rFonts w:eastAsia="Times New Roman" w:cs="Arial"/>
          <w:b/>
          <w:bCs/>
        </w:rPr>
        <w:t xml:space="preserve">Epidemija bolesti COVID-19 </w:t>
      </w:r>
    </w:p>
    <w:p w14:paraId="15A71C82" w14:textId="77777777" w:rsidR="004976E4" w:rsidRPr="002F17F3" w:rsidRDefault="004976E4" w:rsidP="004976E4">
      <w:pPr>
        <w:pStyle w:val="Bezproreda"/>
        <w:jc w:val="both"/>
        <w:rPr>
          <w:rFonts w:asciiTheme="minorHAnsi" w:hAnsiTheme="minorHAnsi" w:cs="Arial"/>
        </w:rPr>
      </w:pPr>
      <w:r w:rsidRPr="002F17F3">
        <w:rPr>
          <w:rFonts w:asciiTheme="minorHAnsi" w:hAnsiTheme="minorHAnsi" w:cs="Arial"/>
        </w:rPr>
        <w:t xml:space="preserve">11. ožujka 2020.  ministar zdravstva proglasio je epidemiju virusom COVID- 19 za cijelo područje Republike Hrvatske. U cilju zaštite ciljanih i širih skupina građana te djelatnika u zdravstvu i sustavu socijalne skrbi od bolesti COVID-19 bilo je potrebno nabaviti neophodnu opremu za zaštitu ljudi te opremu i potrošni materijal za testiranje i uzimanje uzoraka kako bi se provele sigurnosne mjere utvrđene Zakonom o zaštiti pučanstva od zaraznih bolesti </w:t>
      </w:r>
      <w:r w:rsidRPr="002F17F3">
        <w:rPr>
          <w:rFonts w:asciiTheme="minorHAnsi" w:hAnsiTheme="minorHAnsi"/>
        </w:rPr>
        <w:t xml:space="preserve">(Narodne novine 79/07, 113/08, 43/09, 130/17, 114/18 i 47/20) </w:t>
      </w:r>
      <w:r w:rsidRPr="002F17F3">
        <w:rPr>
          <w:rFonts w:asciiTheme="minorHAnsi" w:hAnsiTheme="minorHAnsi" w:cs="Arial"/>
        </w:rPr>
        <w:t xml:space="preserve">i smanjilo širenje bolesti uzrokovane koronavirusom COVID-19. Grad Zagreb je putem Gradskog ureda za zdravstvo i Gradskog ureda za javnu nabavu krenuo u nabavu osobne zaštitne opreme i zaštitnih sredstava. </w:t>
      </w:r>
    </w:p>
    <w:p w14:paraId="46FD5A1A" w14:textId="2CBD9885" w:rsidR="004976E4" w:rsidRPr="002F17F3" w:rsidRDefault="004976E4" w:rsidP="004976E4">
      <w:pPr>
        <w:pStyle w:val="Bezproreda"/>
        <w:jc w:val="both"/>
        <w:rPr>
          <w:rFonts w:asciiTheme="minorHAnsi" w:hAnsiTheme="minorHAnsi" w:cs="Arial"/>
          <w:shd w:val="clear" w:color="auto" w:fill="FFFFFF"/>
          <w:lang w:val="en-GB"/>
        </w:rPr>
      </w:pPr>
      <w:r w:rsidRPr="002F17F3">
        <w:rPr>
          <w:rFonts w:asciiTheme="minorHAnsi" w:hAnsiTheme="minorHAnsi" w:cs="Arial"/>
        </w:rPr>
        <w:t xml:space="preserve">Vezano uz pojavu epidemije COVID-19 Gradski ured za zdravstvo Grada Zagreba koordinira aktivnosti zdravstvene zaštite, uključujući zdravstvene zavode. Na traženje Kriznog stožera Ministarstva zdravstva </w:t>
      </w:r>
      <w:r w:rsidRPr="002F17F3">
        <w:rPr>
          <w:rFonts w:asciiTheme="minorHAnsi" w:hAnsiTheme="minorHAnsi" w:cs="Arial"/>
          <w:lang w:val="en-US"/>
        </w:rPr>
        <w:t xml:space="preserve">od 15. ožujka 2020., </w:t>
      </w:r>
      <w:r w:rsidRPr="002F17F3">
        <w:rPr>
          <w:rFonts w:asciiTheme="minorHAnsi" w:hAnsiTheme="minorHAnsi" w:cs="Arial"/>
        </w:rPr>
        <w:t>kojim se tražila žurna uspostavu izdvojenih ordinacija za pregled bolesnika pod sumnjom na zaraženost  od koronavirusa na lokacijama domova zdravlja na području Grada Zagreba, organizirane su 24- satne, izdvojene ordinacije za pregled bolesnika pod sumnjom na zaraženost  od koronavirusa na lokacijama domova zdravlja na području Grada Zagreba (</w:t>
      </w:r>
      <w:r w:rsidRPr="00195597">
        <w:rPr>
          <w:rStyle w:val="Naglaeno"/>
          <w:rFonts w:asciiTheme="minorHAnsi" w:hAnsiTheme="minorHAnsi" w:cs="Arial"/>
          <w:b w:val="0"/>
          <w:bCs w:val="0"/>
          <w:shd w:val="clear" w:color="auto" w:fill="FFFFFF"/>
        </w:rPr>
        <w:t>Dom zdravlja Zagreb – Centar,</w:t>
      </w:r>
      <w:r w:rsidRPr="00195597">
        <w:rPr>
          <w:rFonts w:asciiTheme="minorHAnsi" w:hAnsiTheme="minorHAnsi"/>
          <w:b/>
          <w:bCs/>
          <w:shd w:val="clear" w:color="auto" w:fill="FFFFFF"/>
        </w:rPr>
        <w:t xml:space="preserve"> </w:t>
      </w:r>
      <w:r w:rsidRPr="00195597">
        <w:rPr>
          <w:rFonts w:asciiTheme="minorHAnsi" w:hAnsiTheme="minorHAnsi"/>
          <w:shd w:val="clear" w:color="auto" w:fill="FFFFFF"/>
        </w:rPr>
        <w:t>Avenija Većeslava Holjevca 22,</w:t>
      </w:r>
      <w:r w:rsidRPr="00195597">
        <w:rPr>
          <w:rFonts w:asciiTheme="minorHAnsi" w:hAnsiTheme="minorHAnsi"/>
          <w:b/>
          <w:bCs/>
          <w:shd w:val="clear" w:color="auto" w:fill="FFFFFF"/>
        </w:rPr>
        <w:t xml:space="preserve"> </w:t>
      </w:r>
      <w:r w:rsidRPr="00195597">
        <w:rPr>
          <w:rStyle w:val="Naglaeno"/>
          <w:rFonts w:asciiTheme="minorHAnsi" w:hAnsiTheme="minorHAnsi" w:cs="Arial"/>
          <w:b w:val="0"/>
          <w:bCs w:val="0"/>
          <w:shd w:val="clear" w:color="auto" w:fill="FFFFFF"/>
        </w:rPr>
        <w:t>Dom zdravlja Zagreb – Istok,</w:t>
      </w:r>
      <w:r w:rsidRPr="00195597">
        <w:rPr>
          <w:rFonts w:asciiTheme="minorHAnsi" w:hAnsiTheme="minorHAnsi"/>
          <w:b/>
          <w:bCs/>
          <w:shd w:val="clear" w:color="auto" w:fill="FFFFFF"/>
        </w:rPr>
        <w:t xml:space="preserve"> </w:t>
      </w:r>
      <w:r w:rsidRPr="00195597">
        <w:rPr>
          <w:rFonts w:asciiTheme="minorHAnsi" w:hAnsiTheme="minorHAnsi"/>
          <w:shd w:val="clear" w:color="auto" w:fill="FFFFFF"/>
        </w:rPr>
        <w:t>Grižanska 4,</w:t>
      </w:r>
      <w:r w:rsidRPr="00195597">
        <w:rPr>
          <w:rFonts w:asciiTheme="minorHAnsi" w:hAnsiTheme="minorHAnsi"/>
          <w:b/>
          <w:bCs/>
          <w:shd w:val="clear" w:color="auto" w:fill="FFFFFF"/>
        </w:rPr>
        <w:t xml:space="preserve"> </w:t>
      </w:r>
      <w:r w:rsidRPr="00195597">
        <w:rPr>
          <w:rStyle w:val="Naglaeno"/>
          <w:rFonts w:asciiTheme="minorHAnsi" w:hAnsiTheme="minorHAnsi" w:cs="Arial"/>
          <w:b w:val="0"/>
          <w:bCs w:val="0"/>
          <w:shd w:val="clear" w:color="auto" w:fill="FFFFFF"/>
        </w:rPr>
        <w:t>Dom zdravlja Zagreb – Zapad,</w:t>
      </w:r>
      <w:r w:rsidRPr="00195597">
        <w:rPr>
          <w:rFonts w:asciiTheme="minorHAnsi" w:hAnsiTheme="minorHAnsi"/>
          <w:b/>
          <w:bCs/>
          <w:shd w:val="clear" w:color="auto" w:fill="FFFFFF"/>
        </w:rPr>
        <w:t xml:space="preserve"> </w:t>
      </w:r>
      <w:r w:rsidRPr="00195597">
        <w:rPr>
          <w:rFonts w:asciiTheme="minorHAnsi" w:hAnsiTheme="minorHAnsi"/>
          <w:shd w:val="clear" w:color="auto" w:fill="FFFFFF"/>
        </w:rPr>
        <w:t>Prilaz baruna Filipovića 11</w:t>
      </w:r>
      <w:r w:rsidRPr="00195597">
        <w:rPr>
          <w:rStyle w:val="Naglaeno"/>
          <w:rFonts w:asciiTheme="minorHAnsi" w:hAnsiTheme="minorHAnsi" w:cs="Arial"/>
          <w:b w:val="0"/>
          <w:bCs w:val="0"/>
          <w:shd w:val="clear" w:color="auto" w:fill="FFFFFF"/>
        </w:rPr>
        <w:t xml:space="preserve">). </w:t>
      </w:r>
      <w:r w:rsidRPr="002F17F3">
        <w:rPr>
          <w:rFonts w:asciiTheme="minorHAnsi" w:hAnsiTheme="minorHAnsi" w:cs="Arial"/>
        </w:rPr>
        <w:t xml:space="preserve">Ordinacije su bile aktivne od 16. ožujka do 3. lipnja 2020. Radi pogoršanja epidemiološke situacije COVID-19 ordinacije reaktivirane su 29. lipnja 2020. Na istim </w:t>
      </w:r>
      <w:r w:rsidRPr="00195597">
        <w:rPr>
          <w:rStyle w:val="Naglaeno"/>
          <w:rFonts w:asciiTheme="minorHAnsi" w:hAnsiTheme="minorHAnsi" w:cs="Arial"/>
          <w:b w:val="0"/>
          <w:bCs w:val="0"/>
          <w:lang w:val="en-GB"/>
        </w:rPr>
        <w:t xml:space="preserve">lokacijama domova zdravlja (kao i u  Nastavnom zavodu za javno zdravstvo „Dr. Andrija Štampar“), </w:t>
      </w:r>
      <w:r w:rsidRPr="00195597">
        <w:rPr>
          <w:rFonts w:asciiTheme="minorHAnsi" w:hAnsiTheme="minorHAnsi" w:cs="Arial"/>
        </w:rPr>
        <w:t>u</w:t>
      </w:r>
      <w:r w:rsidRPr="00195597">
        <w:rPr>
          <w:rStyle w:val="Naglaeno"/>
          <w:rFonts w:asciiTheme="minorHAnsi" w:hAnsiTheme="minorHAnsi" w:cs="Arial"/>
          <w:b w:val="0"/>
          <w:bCs w:val="0"/>
          <w:lang w:val="en-GB"/>
        </w:rPr>
        <w:t>z uputnicu liječnika obiteljske medicine, uzimaju se brisevi na COVID -19</w:t>
      </w:r>
      <w:r w:rsidRPr="002F17F3">
        <w:rPr>
          <w:rFonts w:asciiTheme="minorHAnsi" w:hAnsiTheme="minorHAnsi" w:cs="Arial"/>
        </w:rPr>
        <w:t xml:space="preserve">(PCR test). </w:t>
      </w:r>
      <w:bookmarkStart w:id="37" w:name="_Hlk52809645"/>
    </w:p>
    <w:p w14:paraId="00767E1A" w14:textId="77777777" w:rsidR="004976E4" w:rsidRPr="002F17F3" w:rsidRDefault="004976E4" w:rsidP="004976E4">
      <w:pPr>
        <w:pStyle w:val="Bezproreda"/>
        <w:jc w:val="both"/>
        <w:rPr>
          <w:rFonts w:asciiTheme="minorHAnsi" w:hAnsiTheme="minorHAnsi" w:cs="Arial"/>
          <w:shd w:val="clear" w:color="auto" w:fill="FFFFFF"/>
        </w:rPr>
      </w:pPr>
      <w:r w:rsidRPr="002F17F3">
        <w:rPr>
          <w:rFonts w:asciiTheme="minorHAnsi" w:hAnsiTheme="minorHAnsi" w:cs="Arial"/>
          <w:shd w:val="clear" w:color="auto" w:fill="FFFFFF"/>
          <w:lang w:val="en-GB"/>
        </w:rPr>
        <w:t xml:space="preserve">Od 23. studenog </w:t>
      </w:r>
      <w:r w:rsidRPr="002F17F3">
        <w:rPr>
          <w:rFonts w:asciiTheme="minorHAnsi" w:eastAsiaTheme="minorHAnsi" w:hAnsiTheme="minorHAnsi" w:cs="Helvetica"/>
          <w:shd w:val="clear" w:color="auto" w:fill="FFFFFF"/>
        </w:rPr>
        <w:t xml:space="preserve">2020. </w:t>
      </w:r>
      <w:r w:rsidRPr="002F17F3">
        <w:rPr>
          <w:rFonts w:asciiTheme="minorHAnsi" w:hAnsiTheme="minorHAnsi" w:cs="Arial"/>
          <w:bCs/>
          <w:shd w:val="clear" w:color="auto" w:fill="FFFFFF"/>
        </w:rPr>
        <w:t xml:space="preserve">Grad Zagreb, Gradski ured za zdravstvo u suradnji s Domovima zdravlja kojih je osnivač pokrenuo je projekt besplatnog testiranja brzim antigenskim testovima na SARS-CoV-2  za građane Grada Zagreba te je uspostavljeno </w:t>
      </w:r>
      <w:r w:rsidRPr="002F17F3">
        <w:rPr>
          <w:rFonts w:asciiTheme="minorHAnsi" w:hAnsiTheme="minorHAnsi" w:cs="Arial"/>
          <w:shd w:val="clear" w:color="auto" w:fill="FFFFFF"/>
        </w:rPr>
        <w:t xml:space="preserve">12 lokacija za testiranje brzim antigenskim testovima na SARS-CoV-2. </w:t>
      </w:r>
      <w:bookmarkEnd w:id="37"/>
    </w:p>
    <w:p w14:paraId="5CD05913" w14:textId="77777777" w:rsidR="004976E4" w:rsidRPr="002F17F3" w:rsidRDefault="004976E4" w:rsidP="004976E4">
      <w:pPr>
        <w:pStyle w:val="Bezproreda"/>
        <w:jc w:val="both"/>
        <w:rPr>
          <w:rFonts w:asciiTheme="minorHAnsi" w:hAnsiTheme="minorHAnsi" w:cs="Arial"/>
        </w:rPr>
      </w:pPr>
      <w:r w:rsidRPr="002F17F3">
        <w:rPr>
          <w:rFonts w:asciiTheme="minorHAnsi" w:hAnsiTheme="minorHAnsi" w:cs="Arial"/>
        </w:rPr>
        <w:t>Nastavni zavod za javno zdravstvo Grada Zagreba „ Dr. Andrija Štampar“ provodi testiranje na COVID-19, epidemiološke obrade pozitivnih i njihovih kontakata te epidemiološki nadzor i psihološko online savjetovanje.</w:t>
      </w:r>
    </w:p>
    <w:p w14:paraId="3FF61F7F" w14:textId="77777777" w:rsidR="004976E4" w:rsidRPr="002F17F3" w:rsidRDefault="004976E4" w:rsidP="004976E4">
      <w:pPr>
        <w:pStyle w:val="Bezproreda"/>
        <w:jc w:val="both"/>
        <w:rPr>
          <w:rFonts w:asciiTheme="minorHAnsi" w:hAnsiTheme="minorHAnsi"/>
        </w:rPr>
      </w:pPr>
      <w:bookmarkStart w:id="38" w:name="_Hlk52809837"/>
      <w:r w:rsidRPr="002F17F3">
        <w:rPr>
          <w:rFonts w:asciiTheme="minorHAnsi" w:hAnsiTheme="minorHAnsi"/>
        </w:rPr>
        <w:t>Nastavni zavod za hitnu medicinu Grada Zagreba</w:t>
      </w:r>
      <w:bookmarkEnd w:id="38"/>
      <w:r w:rsidRPr="002F17F3">
        <w:rPr>
          <w:rFonts w:asciiTheme="minorHAnsi" w:hAnsiTheme="minorHAnsi"/>
        </w:rPr>
        <w:t xml:space="preserve"> tijekom obavljanja intervencija hitne medicinske pomoći i sanitetskog prijevoza koristi dodatnu zaštitnu opremu u skladu sa smjernicama i preporukama Hrvatskog zavoda za javno zdravstvo. Nabava zaštitnih sredstava i opreme neophodne za rad i obavljanje  djelatnosti Zavoda  u uvjetima pandemije COVID-19 je nužna kako bi se provele sigurnosne mjere utvrđene Zakonom o zaštiti pučanstva od zaraznih bolesti  te time smanjilo širenje bolesti uzrokovane koronavirusom COVID-19.      </w:t>
      </w:r>
    </w:p>
    <w:p w14:paraId="60231829" w14:textId="77777777" w:rsidR="004976E4" w:rsidRPr="002F17F3" w:rsidRDefault="004976E4" w:rsidP="004976E4">
      <w:pPr>
        <w:pStyle w:val="Bezproreda"/>
        <w:jc w:val="both"/>
        <w:rPr>
          <w:rFonts w:asciiTheme="minorHAnsi" w:hAnsiTheme="minorHAnsi"/>
          <w:lang w:eastAsia="hr-HR"/>
        </w:rPr>
      </w:pPr>
      <w:r w:rsidRPr="002F17F3">
        <w:rPr>
          <w:rFonts w:asciiTheme="minorHAnsi" w:hAnsiTheme="minorHAnsi" w:cs="Arial"/>
        </w:rPr>
        <w:t xml:space="preserve">Prema planu Kriznog stožera Ministarstva zdravstva Republike Hrvatske  Specijalna bolnica za plućne bolesti bila je predviđena kao sekundarni centar za liječenje srednje teških bolesnika oboljelih od korona virusa. Sukladno takvom planu Bolnica je bila dužna u okolnostima izvanrednog stanja žurno i bez odgode stvoriti preduvjete koji su uključivali i nabavu zaštitne opreme, dezinfekcijskih sredstava i opreme za sterilizaciju. Važno je napomenuti da je tijekom formiranja primarnih respiratornih centara paralelno s osiguranjem i opremanjem prostora za sekundarni centar Bolnica primala premještaje s Klinike za infektivne bolesti „Dr. Fran Mihaljević“ i KB Dubrava zbog potrebe oslobađanja prostora u primarnim centrima. Tijekom ovakvog postupanja svi premješteni pacijenti morali su proći trijažu kroz „Febrilni odjel“ do prispijeća kontrolnog pozitivnog ili negativnog nalaza na korona virus. Od kraja listopada pa do 14.12.2020.  pokrenute su sve logističke aktivnosti vezane uz povećanje kapaciteta u Bolnici u vidu zaprimanja COVID-19 pozitivnih pacijenta, u suradnji s drugim zagrebačkim bolnicama u koje se premješta dio neCOVID-19 pacijenata. Bolnica sve vrijeme hospitalizira i pacijente nakon provedenog liječenja u primarnim respiratornim centrima zbog potrebe za produljenim liječenjem i kompleksnom rehabilitacijom (POST COVID 19 pacijenti). </w:t>
      </w:r>
      <w:r w:rsidRPr="002F17F3">
        <w:rPr>
          <w:rFonts w:asciiTheme="minorHAnsi" w:hAnsiTheme="minorHAnsi"/>
        </w:rPr>
        <w:t xml:space="preserve">                                                                                                                                </w:t>
      </w:r>
      <w:r w:rsidRPr="002F17F3">
        <w:rPr>
          <w:rFonts w:asciiTheme="minorHAnsi" w:hAnsiTheme="minorHAnsi"/>
          <w:lang w:eastAsia="hr-HR"/>
        </w:rPr>
        <w:t xml:space="preserve"> </w:t>
      </w:r>
    </w:p>
    <w:p w14:paraId="3D62D29B" w14:textId="0090F73E" w:rsidR="004976E4" w:rsidRPr="002F17F3" w:rsidRDefault="004976E4" w:rsidP="004976E4">
      <w:pPr>
        <w:pStyle w:val="Bezproreda"/>
        <w:jc w:val="both"/>
      </w:pPr>
      <w:r w:rsidRPr="002F17F3">
        <w:rPr>
          <w:rFonts w:cs="Arial"/>
          <w:lang w:eastAsia="hr-HR"/>
        </w:rPr>
        <w:t xml:space="preserve">Prema preporuci Hrvatskog zavoda za javno zdravstvo od 19. lipnja 2020., kojom regionalni i lokalni stožeri civilne zaštite i jedinice regionalne i lokalne samouprave osiguravaju organiziranu izolaciju za oboljele od COVID-I9 čija klinička slika ne zahtjeva hospitalizaciju i organiziranu karantenu/samoizolaciju za zdrave kontakte oboljelih koji moraju biti u karanteni/samoizolaciji, Stožer Grada Zagreba za pripremu i usmjeravanje aktivnosti za suzbijanje širenja bolesti uzrokovane koronavirusom COVID-19 donio je Odluku o potrebi uspostave organizirane karantene/samoizolacije te mjera zdravstvene skrbi u hotelu Tomislavov dom, Zagreb, Sljemenska cesta 24. </w:t>
      </w:r>
      <w:r w:rsidRPr="002F17F3">
        <w:rPr>
          <w:rFonts w:cs="Arial"/>
        </w:rPr>
        <w:t>Poslove koordiniranja aktivnosti potrebnih za funkcioniranje izolacije/ karantene obavlja Gradski ured za zdravstvo i Gradsko društvo Crvenoga križa Zagreb, a poslove zdravstvene skrbi i nadzora za osobe smještene u izolaciji/karanteni obavljaju nadležne zdravstvene ustanove kojih je osnivač Grad Zagreb.</w:t>
      </w:r>
      <w:r w:rsidRPr="002F17F3">
        <w:t xml:space="preserve"> Sukladno Odluci  Stožera Civilne zaštite Grada Zagreba uspostavljena je organizirana izolacija za studente oboljele od COVID-19 čija klinička slika ne zahtjeva hospitalizaciju i organizirana karantena/samoizolacija za studente kojima je izrečena mjera samoizolacije sukladno raspoloživim resursima u objektu </w:t>
      </w:r>
      <w:r w:rsidRPr="002F17F3">
        <w:rPr>
          <w:lang w:val="en-US"/>
        </w:rPr>
        <w:t xml:space="preserve">Grad mladih, Aleja Hrvatske mladeži 19, Zagreb, od 8. listopada 2020. i </w:t>
      </w:r>
      <w:r w:rsidRPr="002F17F3">
        <w:t>hotelu Tomislavov dom, Zagreb, Sljemenska cesta 24, od 10. listopada 2020.</w:t>
      </w:r>
    </w:p>
    <w:p w14:paraId="13366BDD" w14:textId="77777777" w:rsidR="004976E4" w:rsidRPr="00FF6770" w:rsidRDefault="004976E4" w:rsidP="004976E4">
      <w:pPr>
        <w:spacing w:line="240" w:lineRule="auto"/>
        <w:jc w:val="both"/>
      </w:pPr>
    </w:p>
    <w:tbl>
      <w:tblPr>
        <w:tblW w:w="0" w:type="auto"/>
        <w:tblLayout w:type="fixed"/>
        <w:tblLook w:val="00A0" w:firstRow="1" w:lastRow="0" w:firstColumn="1" w:lastColumn="0" w:noHBand="0" w:noVBand="0"/>
      </w:tblPr>
      <w:tblGrid>
        <w:gridCol w:w="4539"/>
        <w:gridCol w:w="4533"/>
      </w:tblGrid>
      <w:tr w:rsidR="004976E4" w14:paraId="6CAA1772" w14:textId="77777777" w:rsidTr="00F50578">
        <w:tc>
          <w:tcPr>
            <w:tcW w:w="4539" w:type="dxa"/>
            <w:shd w:val="clear" w:color="auto" w:fill="D9D9D9"/>
            <w:hideMark/>
          </w:tcPr>
          <w:p w14:paraId="29D4B1D0" w14:textId="77777777" w:rsidR="004976E4" w:rsidRDefault="004976E4" w:rsidP="00F50578">
            <w:pPr>
              <w:pStyle w:val="StandardWeb"/>
              <w:spacing w:before="60" w:beforeAutospacing="0" w:after="0" w:afterAutospacing="0" w:line="360" w:lineRule="auto"/>
              <w:rPr>
                <w:rFonts w:ascii="Calibri" w:hAnsi="Calibri" w:cs="Calibri"/>
                <w:b/>
                <w:sz w:val="18"/>
                <w:szCs w:val="18"/>
              </w:rPr>
            </w:pPr>
            <w:r>
              <w:rPr>
                <w:rFonts w:ascii="Calibri" w:hAnsi="Calibri" w:cs="Calibri"/>
                <w:b/>
                <w:sz w:val="18"/>
                <w:szCs w:val="18"/>
              </w:rPr>
              <w:t>RAZVOJNI PROBLEMI</w:t>
            </w:r>
          </w:p>
        </w:tc>
        <w:tc>
          <w:tcPr>
            <w:tcW w:w="4533" w:type="dxa"/>
            <w:shd w:val="clear" w:color="auto" w:fill="99CCFF"/>
            <w:hideMark/>
          </w:tcPr>
          <w:p w14:paraId="5FB638B3" w14:textId="77777777" w:rsidR="004976E4" w:rsidRDefault="004976E4" w:rsidP="00F50578">
            <w:pPr>
              <w:pStyle w:val="StandardWeb"/>
              <w:spacing w:before="60" w:beforeAutospacing="0" w:after="0" w:afterAutospacing="0" w:line="360" w:lineRule="auto"/>
              <w:rPr>
                <w:rFonts w:ascii="Calibri" w:hAnsi="Calibri" w:cs="Calibri"/>
                <w:b/>
                <w:sz w:val="18"/>
                <w:szCs w:val="18"/>
              </w:rPr>
            </w:pPr>
            <w:r>
              <w:rPr>
                <w:rFonts w:ascii="Calibri" w:hAnsi="Calibri" w:cs="Calibri"/>
                <w:b/>
                <w:sz w:val="18"/>
                <w:szCs w:val="18"/>
              </w:rPr>
              <w:t>RAZVOJNE POTREBE</w:t>
            </w:r>
          </w:p>
        </w:tc>
      </w:tr>
      <w:tr w:rsidR="004976E4" w14:paraId="4B4DD5F4" w14:textId="77777777" w:rsidTr="00F50578">
        <w:tc>
          <w:tcPr>
            <w:tcW w:w="4479" w:type="dxa"/>
            <w:shd w:val="clear" w:color="auto" w:fill="D9D9D9"/>
            <w:hideMark/>
          </w:tcPr>
          <w:p w14:paraId="54526A3F" w14:textId="14E8B4B7"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n</w:t>
            </w:r>
            <w:r w:rsidR="004976E4" w:rsidRPr="006A0E87">
              <w:rPr>
                <w:rFonts w:cstheme="minorHAnsi"/>
                <w:color w:val="000000" w:themeColor="text1"/>
                <w:sz w:val="18"/>
                <w:szCs w:val="18"/>
              </w:rPr>
              <w:t>eujednačena dostupnost zdravstvene zaštite na primarnoj razini – nedostatak specijalista medicine rada, ginekologa, pedijatara, medicinskih sestara i tehničara, tehničkog i pomoćnog osoblja; prometna (ne)dostupnost jednog dijela zdravstvenih ustanova građanima, posebice u rubnim područjima grada</w:t>
            </w:r>
          </w:p>
          <w:p w14:paraId="78C2DA36" w14:textId="18B28D70"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n</w:t>
            </w:r>
            <w:r w:rsidR="004976E4" w:rsidRPr="006A0E87">
              <w:rPr>
                <w:rFonts w:cstheme="minorHAnsi"/>
                <w:color w:val="000000" w:themeColor="text1"/>
                <w:sz w:val="18"/>
                <w:szCs w:val="18"/>
              </w:rPr>
              <w:t>eujednačena kvaliteta zdravstvene zaštite – kadrovi i kapaciteti za uspostavljanje sustava kvalitete, mjerenje i analizu kvalitete nedovoljno razvijeni</w:t>
            </w:r>
          </w:p>
          <w:p w14:paraId="663A35F6" w14:textId="6EED17AF"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d</w:t>
            </w:r>
            <w:r w:rsidR="004976E4" w:rsidRPr="006A0E87">
              <w:rPr>
                <w:rFonts w:cstheme="minorHAnsi"/>
                <w:color w:val="000000" w:themeColor="text1"/>
                <w:sz w:val="18"/>
                <w:szCs w:val="18"/>
              </w:rPr>
              <w:t>otrajala i nedostatna dijagnostička i terapijska oprema i prostor dijela zdravstvenih ustanova, funkcionalna i prostorna neusklađenost objekata zdravstva s potrebama suvremene medicine (nedovoljna mogućnost uvođenja novih postupaka dijagnostike i liječenja uvjetovana prostornim ograničenjima)</w:t>
            </w:r>
          </w:p>
          <w:p w14:paraId="62351161" w14:textId="1485DFF3"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z</w:t>
            </w:r>
            <w:r w:rsidR="004976E4" w:rsidRPr="006A0E87">
              <w:rPr>
                <w:rFonts w:cstheme="minorHAnsi"/>
                <w:color w:val="000000" w:themeColor="text1"/>
                <w:sz w:val="18"/>
                <w:szCs w:val="18"/>
              </w:rPr>
              <w:t>dravstveni sustav nedovoljno prilagođen potrebama stanovništva s obzirom na demografske (ubrzano povećanje udjela stanovništva starijeg od 65 g.) i epidemiološke promjene (COVID-19) te suvremene medicinske tehnologije uslijed nedostatnih financijskih sredstava</w:t>
            </w:r>
          </w:p>
          <w:p w14:paraId="28E8AF79" w14:textId="33DBDBA4"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n</w:t>
            </w:r>
            <w:r w:rsidR="004976E4" w:rsidRPr="006A0E87">
              <w:rPr>
                <w:rFonts w:cstheme="minorHAnsi"/>
                <w:color w:val="000000" w:themeColor="text1"/>
                <w:sz w:val="18"/>
                <w:szCs w:val="18"/>
              </w:rPr>
              <w:t>edostatna sredstva za učinkovitiju prevenciju bolesti na primarnoj razini</w:t>
            </w:r>
          </w:p>
          <w:p w14:paraId="01A08AC1" w14:textId="3E699EB5"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n</w:t>
            </w:r>
            <w:r w:rsidR="004976E4" w:rsidRPr="006A0E87">
              <w:rPr>
                <w:rFonts w:cstheme="minorHAnsi"/>
                <w:color w:val="000000" w:themeColor="text1"/>
                <w:sz w:val="18"/>
                <w:szCs w:val="18"/>
              </w:rPr>
              <w:t>ezadovoljavajuće zdravstveno ponašanje stanovništva vezano uz rizične faktore i nedovoljno razvijena svijest o preuzimanju osobne odgovornosti za vlastito zdravlje (pokazatelji zdravlja – stope ukupne smrtnosti i stope smrtnosti mnogih bolesti više od prosjeka EU-a)</w:t>
            </w:r>
          </w:p>
          <w:p w14:paraId="06F7C0C5" w14:textId="4215B434"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n</w:t>
            </w:r>
            <w:r w:rsidR="004976E4" w:rsidRPr="006A0E87">
              <w:rPr>
                <w:rFonts w:cstheme="minorHAnsi"/>
                <w:color w:val="000000" w:themeColor="text1"/>
                <w:sz w:val="18"/>
                <w:szCs w:val="18"/>
              </w:rPr>
              <w:t>edovoljna koordinacija različitih dijelova sustava zdravstva (na gradskoj, međužupanijskoj i državnoj razini) te nedostatna povezanost s ostalim segmentima društva;</w:t>
            </w:r>
          </w:p>
          <w:p w14:paraId="69AAF0F3" w14:textId="3802B331"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n</w:t>
            </w:r>
            <w:r w:rsidR="004976E4" w:rsidRPr="006A0E87">
              <w:rPr>
                <w:rFonts w:cstheme="minorHAnsi"/>
                <w:color w:val="000000" w:themeColor="text1"/>
                <w:sz w:val="18"/>
                <w:szCs w:val="18"/>
              </w:rPr>
              <w:t xml:space="preserve">edostatni kadrovski kapaciteti na razini sustava zdravstva u JLPRS  </w:t>
            </w:r>
          </w:p>
          <w:p w14:paraId="5DEA8623" w14:textId="742992B7"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i</w:t>
            </w:r>
            <w:r w:rsidR="004976E4" w:rsidRPr="006A0E87">
              <w:rPr>
                <w:rFonts w:cstheme="minorHAnsi"/>
                <w:color w:val="000000" w:themeColor="text1"/>
                <w:sz w:val="18"/>
                <w:szCs w:val="18"/>
              </w:rPr>
              <w:t xml:space="preserve">zostanak strategije razvoja sektora zdravstva Grada Zagreba i strateških smjernica; te planiranje intervencija sukladno potrebama stanovnika na svom području </w:t>
            </w:r>
          </w:p>
          <w:p w14:paraId="0928C56F" w14:textId="4B437538"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color w:val="000000" w:themeColor="text1"/>
                <w:sz w:val="18"/>
                <w:szCs w:val="18"/>
              </w:rPr>
              <w:t>n</w:t>
            </w:r>
            <w:r w:rsidR="004976E4" w:rsidRPr="006A0E87">
              <w:rPr>
                <w:rFonts w:cstheme="minorHAnsi"/>
                <w:color w:val="000000" w:themeColor="text1"/>
                <w:sz w:val="18"/>
                <w:szCs w:val="18"/>
              </w:rPr>
              <w:t>eprekidne promjene zakonodavstva u pogledu organizacije sustava primarne zdravstvene zaštite, postupna privatizacija primarne zdravstvene zaštite spuštena s državne razine;</w:t>
            </w:r>
          </w:p>
          <w:p w14:paraId="7C2AE932" w14:textId="75F4C147" w:rsidR="004976E4" w:rsidRDefault="004976E4" w:rsidP="00165C16">
            <w:pPr>
              <w:pStyle w:val="Odlomakpopisa"/>
              <w:numPr>
                <w:ilvl w:val="0"/>
                <w:numId w:val="19"/>
              </w:numPr>
              <w:jc w:val="both"/>
              <w:rPr>
                <w:rFonts w:cstheme="minorHAnsi"/>
                <w:color w:val="000000" w:themeColor="text1"/>
                <w:sz w:val="18"/>
                <w:szCs w:val="18"/>
              </w:rPr>
            </w:pPr>
            <w:r w:rsidRPr="006A0E87">
              <w:rPr>
                <w:rFonts w:cstheme="minorHAnsi"/>
                <w:color w:val="000000" w:themeColor="text1"/>
                <w:sz w:val="18"/>
                <w:szCs w:val="18"/>
              </w:rPr>
              <w:t>(Ne)isplativost obnove starih zgrada</w:t>
            </w:r>
            <w:r>
              <w:rPr>
                <w:rFonts w:cstheme="minorHAnsi"/>
                <w:color w:val="000000" w:themeColor="text1"/>
                <w:sz w:val="18"/>
                <w:szCs w:val="18"/>
              </w:rPr>
              <w:t xml:space="preserve"> i opreme</w:t>
            </w:r>
            <w:r w:rsidRPr="006A0E87">
              <w:rPr>
                <w:rFonts w:cstheme="minorHAnsi"/>
                <w:color w:val="000000" w:themeColor="text1"/>
                <w:sz w:val="18"/>
                <w:szCs w:val="18"/>
              </w:rPr>
              <w:t xml:space="preserve"> nakon potresa, uključujući energetsku obnovu (troškovi sanacije nakon potresa, uključujući statičku, iznose najmanje 50-60 % cijene izgradnje novog objekta)</w:t>
            </w:r>
          </w:p>
          <w:p w14:paraId="15411402" w14:textId="42E8F0DD" w:rsidR="004976E4" w:rsidRPr="00BF3B4F" w:rsidRDefault="00E17448" w:rsidP="00165C16">
            <w:pPr>
              <w:pStyle w:val="Odlomakpopisa"/>
              <w:numPr>
                <w:ilvl w:val="0"/>
                <w:numId w:val="19"/>
              </w:numPr>
              <w:jc w:val="both"/>
              <w:rPr>
                <w:rFonts w:cstheme="minorHAnsi"/>
                <w:sz w:val="18"/>
                <w:szCs w:val="18"/>
              </w:rPr>
            </w:pPr>
            <w:r>
              <w:rPr>
                <w:rFonts w:cstheme="minorHAnsi"/>
                <w:sz w:val="18"/>
                <w:szCs w:val="18"/>
              </w:rPr>
              <w:t>z</w:t>
            </w:r>
            <w:r w:rsidR="004976E4" w:rsidRPr="00BF3B4F">
              <w:rPr>
                <w:rFonts w:cstheme="minorHAnsi"/>
                <w:sz w:val="18"/>
                <w:szCs w:val="18"/>
              </w:rPr>
              <w:t xml:space="preserve">auzetost zdravstvenih kapaciteta dijagnostikom i liječenjem COVID-a 19 na uštrb drugih bolesti pučanstva </w:t>
            </w:r>
          </w:p>
          <w:p w14:paraId="7CA9597B" w14:textId="6194AF2E" w:rsidR="004976E4" w:rsidRPr="006A0E87" w:rsidRDefault="00E17448" w:rsidP="00165C16">
            <w:pPr>
              <w:pStyle w:val="Odlomakpopisa"/>
              <w:numPr>
                <w:ilvl w:val="0"/>
                <w:numId w:val="19"/>
              </w:numPr>
              <w:jc w:val="both"/>
              <w:rPr>
                <w:rFonts w:cstheme="minorHAnsi"/>
                <w:color w:val="000000" w:themeColor="text1"/>
                <w:sz w:val="18"/>
                <w:szCs w:val="18"/>
              </w:rPr>
            </w:pPr>
            <w:r>
              <w:rPr>
                <w:rFonts w:cstheme="minorHAnsi"/>
                <w:sz w:val="18"/>
                <w:szCs w:val="18"/>
              </w:rPr>
              <w:t>p</w:t>
            </w:r>
            <w:r w:rsidR="004976E4" w:rsidRPr="00BF3B4F">
              <w:rPr>
                <w:rFonts w:cstheme="minorHAnsi"/>
                <w:sz w:val="18"/>
                <w:szCs w:val="18"/>
              </w:rPr>
              <w:t>odkapacitiranost zdravstvenog i nezdravstvenog osoblja</w:t>
            </w:r>
          </w:p>
        </w:tc>
        <w:tc>
          <w:tcPr>
            <w:tcW w:w="4479" w:type="dxa"/>
            <w:shd w:val="clear" w:color="auto" w:fill="99CCFF"/>
            <w:hideMark/>
          </w:tcPr>
          <w:p w14:paraId="07DAABD6" w14:textId="59A637C2"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osigurati dostupnost</w:t>
            </w:r>
            <w:r w:rsidR="004976E4" w:rsidRPr="00D2259E">
              <w:rPr>
                <w:rFonts w:cstheme="minorHAnsi"/>
                <w:color w:val="000000" w:themeColor="text1"/>
                <w:sz w:val="18"/>
                <w:szCs w:val="18"/>
              </w:rPr>
              <w:t xml:space="preserve"> i unapr</w:t>
            </w:r>
            <w:r>
              <w:rPr>
                <w:rFonts w:cstheme="minorHAnsi"/>
                <w:color w:val="000000" w:themeColor="text1"/>
                <w:sz w:val="18"/>
                <w:szCs w:val="18"/>
              </w:rPr>
              <w:t>ijediti</w:t>
            </w:r>
            <w:r w:rsidR="004976E4" w:rsidRPr="00D2259E">
              <w:rPr>
                <w:rFonts w:cstheme="minorHAnsi"/>
                <w:color w:val="000000" w:themeColor="text1"/>
                <w:sz w:val="18"/>
                <w:szCs w:val="18"/>
              </w:rPr>
              <w:t xml:space="preserve"> kvalitet</w:t>
            </w:r>
            <w:r>
              <w:rPr>
                <w:rFonts w:cstheme="minorHAnsi"/>
                <w:color w:val="000000" w:themeColor="text1"/>
                <w:sz w:val="18"/>
                <w:szCs w:val="18"/>
              </w:rPr>
              <w:t>u</w:t>
            </w:r>
            <w:r w:rsidR="004976E4" w:rsidRPr="00D2259E">
              <w:rPr>
                <w:rFonts w:cstheme="minorHAnsi"/>
                <w:color w:val="000000" w:themeColor="text1"/>
                <w:sz w:val="18"/>
                <w:szCs w:val="18"/>
              </w:rPr>
              <w:t xml:space="preserve"> zdravstvene zaštite u Gradu Zagrebu</w:t>
            </w:r>
          </w:p>
          <w:p w14:paraId="6AFEF6CC" w14:textId="4C5C2A94"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poboljšati</w:t>
            </w:r>
            <w:r w:rsidR="004976E4" w:rsidRPr="00D2259E">
              <w:rPr>
                <w:rFonts w:cstheme="minorHAnsi"/>
                <w:color w:val="000000" w:themeColor="text1"/>
                <w:sz w:val="18"/>
                <w:szCs w:val="18"/>
              </w:rPr>
              <w:t xml:space="preserve"> kvalitet</w:t>
            </w:r>
            <w:r>
              <w:rPr>
                <w:rFonts w:cstheme="minorHAnsi"/>
                <w:color w:val="000000" w:themeColor="text1"/>
                <w:sz w:val="18"/>
                <w:szCs w:val="18"/>
              </w:rPr>
              <w:t>u</w:t>
            </w:r>
            <w:r w:rsidR="004976E4" w:rsidRPr="00D2259E">
              <w:rPr>
                <w:rFonts w:cstheme="minorHAnsi"/>
                <w:color w:val="000000" w:themeColor="text1"/>
                <w:sz w:val="18"/>
                <w:szCs w:val="18"/>
              </w:rPr>
              <w:t xml:space="preserve"> opreme i bolničkih kapaciteta, osobito dnevnih bolnica i kapaciteta za liječenje kroničnih bolesnika i palijativnu skrb</w:t>
            </w:r>
          </w:p>
          <w:p w14:paraId="524EE9F1" w14:textId="24BD00BA"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 xml:space="preserve">jačati </w:t>
            </w:r>
            <w:r w:rsidR="004976E4" w:rsidRPr="00D2259E">
              <w:rPr>
                <w:rFonts w:cstheme="minorHAnsi"/>
                <w:color w:val="000000" w:themeColor="text1"/>
                <w:sz w:val="18"/>
                <w:szCs w:val="18"/>
              </w:rPr>
              <w:t>upravljačk</w:t>
            </w:r>
            <w:r>
              <w:rPr>
                <w:rFonts w:cstheme="minorHAnsi"/>
                <w:color w:val="000000" w:themeColor="text1"/>
                <w:sz w:val="18"/>
                <w:szCs w:val="18"/>
              </w:rPr>
              <w:t>e</w:t>
            </w:r>
            <w:r w:rsidR="004976E4" w:rsidRPr="00D2259E">
              <w:rPr>
                <w:rFonts w:cstheme="minorHAnsi"/>
                <w:color w:val="000000" w:themeColor="text1"/>
                <w:sz w:val="18"/>
                <w:szCs w:val="18"/>
              </w:rPr>
              <w:t xml:space="preserve"> kapacitet</w:t>
            </w:r>
            <w:r>
              <w:rPr>
                <w:rFonts w:cstheme="minorHAnsi"/>
                <w:color w:val="000000" w:themeColor="text1"/>
                <w:sz w:val="18"/>
                <w:szCs w:val="18"/>
              </w:rPr>
              <w:t>e</w:t>
            </w:r>
            <w:r w:rsidR="004976E4" w:rsidRPr="00D2259E">
              <w:rPr>
                <w:rFonts w:cstheme="minorHAnsi"/>
                <w:color w:val="000000" w:themeColor="text1"/>
                <w:sz w:val="18"/>
                <w:szCs w:val="18"/>
              </w:rPr>
              <w:t xml:space="preserve"> i ljudsk</w:t>
            </w:r>
            <w:r>
              <w:rPr>
                <w:rFonts w:cstheme="minorHAnsi"/>
                <w:color w:val="000000" w:themeColor="text1"/>
                <w:sz w:val="18"/>
                <w:szCs w:val="18"/>
              </w:rPr>
              <w:t>e</w:t>
            </w:r>
            <w:r w:rsidR="004976E4" w:rsidRPr="00D2259E">
              <w:rPr>
                <w:rFonts w:cstheme="minorHAnsi"/>
                <w:color w:val="000000" w:themeColor="text1"/>
                <w:sz w:val="18"/>
                <w:szCs w:val="18"/>
              </w:rPr>
              <w:t xml:space="preserve"> resurs</w:t>
            </w:r>
            <w:r>
              <w:rPr>
                <w:rFonts w:cstheme="minorHAnsi"/>
                <w:color w:val="000000" w:themeColor="text1"/>
                <w:sz w:val="18"/>
                <w:szCs w:val="18"/>
              </w:rPr>
              <w:t>e</w:t>
            </w:r>
            <w:r w:rsidR="004976E4" w:rsidRPr="00D2259E">
              <w:rPr>
                <w:rFonts w:cstheme="minorHAnsi"/>
                <w:color w:val="000000" w:themeColor="text1"/>
                <w:sz w:val="18"/>
                <w:szCs w:val="18"/>
              </w:rPr>
              <w:t xml:space="preserve"> u sustavu zdravstva, razvoj istraživačke djelatnosti</w:t>
            </w:r>
          </w:p>
          <w:p w14:paraId="3871A9E1" w14:textId="445D8492" w:rsidR="004976E4" w:rsidRPr="00DE2FBF" w:rsidRDefault="004976E4" w:rsidP="00165C16">
            <w:pPr>
              <w:pStyle w:val="Odlomakpopisa"/>
              <w:numPr>
                <w:ilvl w:val="0"/>
                <w:numId w:val="9"/>
              </w:numPr>
              <w:jc w:val="both"/>
              <w:rPr>
                <w:rFonts w:cstheme="minorHAnsi"/>
                <w:sz w:val="18"/>
                <w:szCs w:val="18"/>
              </w:rPr>
            </w:pPr>
            <w:r w:rsidRPr="00DE2FBF">
              <w:rPr>
                <w:rFonts w:cstheme="minorHAnsi"/>
                <w:sz w:val="18"/>
                <w:szCs w:val="18"/>
              </w:rPr>
              <w:t>Prevencija kod građana te ulaga</w:t>
            </w:r>
            <w:r w:rsidR="00DE2FBF">
              <w:rPr>
                <w:rFonts w:cstheme="minorHAnsi"/>
                <w:sz w:val="18"/>
                <w:szCs w:val="18"/>
              </w:rPr>
              <w:t>ti</w:t>
            </w:r>
            <w:r w:rsidRPr="00DE2FBF">
              <w:rPr>
                <w:rFonts w:cstheme="minorHAnsi"/>
                <w:sz w:val="18"/>
                <w:szCs w:val="18"/>
              </w:rPr>
              <w:t xml:space="preserve"> u zdravstvene djelatnike (stalna i značajna ulaganja u njihova znanja, vještine i sposobnosti) kao dva ključna oslonca „zdravog“ i jeftinijeg zdravstvenog sustava u srednjem i dugom roku</w:t>
            </w:r>
          </w:p>
          <w:p w14:paraId="7B8EE2B8" w14:textId="1F530322"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osigurati</w:t>
            </w:r>
            <w:r w:rsidR="004976E4" w:rsidRPr="00D2259E">
              <w:rPr>
                <w:rFonts w:cstheme="minorHAnsi"/>
                <w:color w:val="000000" w:themeColor="text1"/>
                <w:sz w:val="18"/>
                <w:szCs w:val="18"/>
              </w:rPr>
              <w:t xml:space="preserve"> dovolj</w:t>
            </w:r>
            <w:r>
              <w:rPr>
                <w:rFonts w:cstheme="minorHAnsi"/>
                <w:color w:val="000000" w:themeColor="text1"/>
                <w:sz w:val="18"/>
                <w:szCs w:val="18"/>
              </w:rPr>
              <w:t>an</w:t>
            </w:r>
            <w:r w:rsidR="004976E4" w:rsidRPr="00D2259E">
              <w:rPr>
                <w:rFonts w:cstheme="minorHAnsi"/>
                <w:color w:val="000000" w:themeColor="text1"/>
                <w:sz w:val="18"/>
                <w:szCs w:val="18"/>
              </w:rPr>
              <w:t xml:space="preserve"> broja zdravstvenog kadra za optimalno funkcioniranje sustava u srednjem i dugom roku putem financiranja specijalizacija za doktore medicine i stalnog obrazovanja svekolikog zdravstvenog i nezdravstvenog kadra</w:t>
            </w:r>
          </w:p>
          <w:p w14:paraId="339C9FB6" w14:textId="05E1A8B2" w:rsidR="004976E4"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motivirati</w:t>
            </w:r>
            <w:r w:rsidR="004976E4" w:rsidRPr="00D2259E">
              <w:rPr>
                <w:rFonts w:cstheme="minorHAnsi"/>
                <w:color w:val="000000" w:themeColor="text1"/>
                <w:sz w:val="18"/>
                <w:szCs w:val="18"/>
              </w:rPr>
              <w:t xml:space="preserve"> postojeć</w:t>
            </w:r>
            <w:r>
              <w:rPr>
                <w:rFonts w:cstheme="minorHAnsi"/>
                <w:color w:val="000000" w:themeColor="text1"/>
                <w:sz w:val="18"/>
                <w:szCs w:val="18"/>
              </w:rPr>
              <w:t>e djelatnike</w:t>
            </w:r>
            <w:r w:rsidR="004976E4" w:rsidRPr="00D2259E">
              <w:rPr>
                <w:rFonts w:cstheme="minorHAnsi"/>
                <w:color w:val="000000" w:themeColor="text1"/>
                <w:sz w:val="18"/>
                <w:szCs w:val="18"/>
              </w:rPr>
              <w:t xml:space="preserve"> i priv</w:t>
            </w:r>
            <w:r>
              <w:rPr>
                <w:rFonts w:cstheme="minorHAnsi"/>
                <w:color w:val="000000" w:themeColor="text1"/>
                <w:sz w:val="18"/>
                <w:szCs w:val="18"/>
              </w:rPr>
              <w:t>ući</w:t>
            </w:r>
            <w:r w:rsidR="004976E4" w:rsidRPr="00D2259E">
              <w:rPr>
                <w:rFonts w:cstheme="minorHAnsi"/>
                <w:color w:val="000000" w:themeColor="text1"/>
                <w:sz w:val="18"/>
                <w:szCs w:val="18"/>
              </w:rPr>
              <w:t xml:space="preserve"> nov</w:t>
            </w:r>
            <w:r>
              <w:rPr>
                <w:rFonts w:cstheme="minorHAnsi"/>
                <w:color w:val="000000" w:themeColor="text1"/>
                <w:sz w:val="18"/>
                <w:szCs w:val="18"/>
              </w:rPr>
              <w:t>e</w:t>
            </w:r>
            <w:r w:rsidR="004976E4" w:rsidRPr="00D2259E">
              <w:rPr>
                <w:rFonts w:cstheme="minorHAnsi"/>
                <w:color w:val="000000" w:themeColor="text1"/>
                <w:sz w:val="18"/>
                <w:szCs w:val="18"/>
              </w:rPr>
              <w:t xml:space="preserve"> stvaranjem optimalnih uvjeta za rad u cjelokupnom zdravstvenom sustavu Grada Zagreba (prostor, oprema, plaće te materijalna i druga prava)</w:t>
            </w:r>
          </w:p>
          <w:p w14:paraId="1AA7CE21" w14:textId="01B288E8"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ustrajati</w:t>
            </w:r>
            <w:r w:rsidR="004976E4" w:rsidRPr="00D2259E">
              <w:rPr>
                <w:rFonts w:cstheme="minorHAnsi"/>
                <w:color w:val="000000" w:themeColor="text1"/>
                <w:sz w:val="18"/>
                <w:szCs w:val="18"/>
              </w:rPr>
              <w:t xml:space="preserve"> na organizacijskom, kadrovskom i funkcionalnom značaju i očuvanju domova zdravlja kao kamena temeljca uspješnog sustava primarne zdravstvene zaštite prilikom promjena zakonodavnog okvira u zdravstvu (sustav PZZ-a je snažan koliko su kadrovski, organizacijski i financijski snažni domovi zdravlja)</w:t>
            </w:r>
          </w:p>
          <w:p w14:paraId="329B86A1" w14:textId="3166D748" w:rsidR="004976E4" w:rsidRPr="00AF3FF6" w:rsidRDefault="00AF3FF6" w:rsidP="00165C16">
            <w:pPr>
              <w:pStyle w:val="Odlomakpopisa"/>
              <w:numPr>
                <w:ilvl w:val="0"/>
                <w:numId w:val="9"/>
              </w:numPr>
              <w:jc w:val="both"/>
              <w:rPr>
                <w:rFonts w:cstheme="minorHAnsi"/>
                <w:sz w:val="18"/>
                <w:szCs w:val="18"/>
              </w:rPr>
            </w:pPr>
            <w:r w:rsidRPr="00AF3FF6">
              <w:rPr>
                <w:rFonts w:cstheme="minorHAnsi"/>
                <w:sz w:val="18"/>
                <w:szCs w:val="18"/>
              </w:rPr>
              <w:t>analizirati i pratiti</w:t>
            </w:r>
            <w:r w:rsidR="004976E4" w:rsidRPr="00AF3FF6">
              <w:rPr>
                <w:rFonts w:cstheme="minorHAnsi"/>
                <w:sz w:val="18"/>
                <w:szCs w:val="18"/>
              </w:rPr>
              <w:t xml:space="preserve"> susta</w:t>
            </w:r>
            <w:r w:rsidRPr="00AF3FF6">
              <w:rPr>
                <w:rFonts w:cstheme="minorHAnsi"/>
                <w:sz w:val="18"/>
                <w:szCs w:val="18"/>
              </w:rPr>
              <w:t>v</w:t>
            </w:r>
            <w:r w:rsidR="004976E4" w:rsidRPr="00AF3FF6">
              <w:rPr>
                <w:rFonts w:cstheme="minorHAnsi"/>
                <w:sz w:val="18"/>
                <w:szCs w:val="18"/>
              </w:rPr>
              <w:t xml:space="preserve"> zdravstvene zaštite u Gradu Zagrebu</w:t>
            </w:r>
            <w:r>
              <w:rPr>
                <w:rFonts w:cstheme="minorHAnsi"/>
                <w:sz w:val="18"/>
                <w:szCs w:val="18"/>
              </w:rPr>
              <w:t xml:space="preserve"> </w:t>
            </w:r>
            <w:r w:rsidR="004976E4" w:rsidRPr="00AF3FF6">
              <w:rPr>
                <w:rFonts w:cstheme="minorHAnsi"/>
                <w:sz w:val="18"/>
                <w:szCs w:val="18"/>
              </w:rPr>
              <w:t>(analize pružanja usluga primarne zdravstvene zaštite, kao i sekundarne i tercijarne)</w:t>
            </w:r>
          </w:p>
          <w:p w14:paraId="1388A2A3" w14:textId="3DDF7834"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uspostaviti</w:t>
            </w:r>
            <w:r w:rsidR="004976E4" w:rsidRPr="00D2259E">
              <w:rPr>
                <w:rFonts w:cstheme="minorHAnsi"/>
                <w:color w:val="000000" w:themeColor="text1"/>
                <w:sz w:val="18"/>
                <w:szCs w:val="18"/>
              </w:rPr>
              <w:t xml:space="preserve"> i jača</w:t>
            </w:r>
            <w:r>
              <w:rPr>
                <w:rFonts w:cstheme="minorHAnsi"/>
                <w:color w:val="000000" w:themeColor="text1"/>
                <w:sz w:val="18"/>
                <w:szCs w:val="18"/>
              </w:rPr>
              <w:t xml:space="preserve">ti </w:t>
            </w:r>
            <w:r w:rsidR="004976E4" w:rsidRPr="00D2259E">
              <w:rPr>
                <w:rFonts w:cstheme="minorHAnsi"/>
                <w:color w:val="000000" w:themeColor="text1"/>
                <w:sz w:val="18"/>
                <w:szCs w:val="18"/>
              </w:rPr>
              <w:t>suradnj</w:t>
            </w:r>
            <w:r>
              <w:rPr>
                <w:rFonts w:cstheme="minorHAnsi"/>
                <w:color w:val="000000" w:themeColor="text1"/>
                <w:sz w:val="18"/>
                <w:szCs w:val="18"/>
              </w:rPr>
              <w:t>u</w:t>
            </w:r>
            <w:r w:rsidR="004976E4" w:rsidRPr="00D2259E">
              <w:rPr>
                <w:rFonts w:cstheme="minorHAnsi"/>
                <w:color w:val="000000" w:themeColor="text1"/>
                <w:sz w:val="18"/>
                <w:szCs w:val="18"/>
              </w:rPr>
              <w:t xml:space="preserve"> lokalne i državne uprave sa znanstvenom zajednicom na analizama procesa upravljanja i uvođenja sustavnih promjena unutar sektora zdravstva </w:t>
            </w:r>
          </w:p>
          <w:p w14:paraId="7BD3FA03" w14:textId="70772254"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uspostaviti</w:t>
            </w:r>
            <w:r w:rsidR="004976E4" w:rsidRPr="00D2259E">
              <w:rPr>
                <w:rFonts w:cstheme="minorHAnsi"/>
                <w:color w:val="000000" w:themeColor="text1"/>
                <w:sz w:val="18"/>
                <w:szCs w:val="18"/>
              </w:rPr>
              <w:t xml:space="preserve"> i jača</w:t>
            </w:r>
            <w:r>
              <w:rPr>
                <w:rFonts w:cstheme="minorHAnsi"/>
                <w:color w:val="000000" w:themeColor="text1"/>
                <w:sz w:val="18"/>
                <w:szCs w:val="18"/>
              </w:rPr>
              <w:t xml:space="preserve">ti </w:t>
            </w:r>
            <w:r w:rsidR="004976E4" w:rsidRPr="00D2259E">
              <w:rPr>
                <w:rFonts w:cstheme="minorHAnsi"/>
                <w:color w:val="000000" w:themeColor="text1"/>
                <w:sz w:val="18"/>
                <w:szCs w:val="18"/>
              </w:rPr>
              <w:t>suradnj</w:t>
            </w:r>
            <w:r>
              <w:rPr>
                <w:rFonts w:cstheme="minorHAnsi"/>
                <w:color w:val="000000" w:themeColor="text1"/>
                <w:sz w:val="18"/>
                <w:szCs w:val="18"/>
              </w:rPr>
              <w:t>u</w:t>
            </w:r>
            <w:r w:rsidR="004976E4" w:rsidRPr="00D2259E">
              <w:rPr>
                <w:rFonts w:cstheme="minorHAnsi"/>
                <w:color w:val="000000" w:themeColor="text1"/>
                <w:sz w:val="18"/>
                <w:szCs w:val="18"/>
              </w:rPr>
              <w:t xml:space="preserve"> lokalnih i državnih tijela u preuzimanju obaveza u Europskim projektima od nacionalnog značaja  </w:t>
            </w:r>
          </w:p>
          <w:p w14:paraId="0E2B4B24" w14:textId="4DFB76A7" w:rsidR="004976E4"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postizati</w:t>
            </w:r>
            <w:r w:rsidR="004976E4" w:rsidRPr="00D2259E">
              <w:rPr>
                <w:rFonts w:cstheme="minorHAnsi"/>
                <w:color w:val="000000" w:themeColor="text1"/>
                <w:sz w:val="18"/>
                <w:szCs w:val="18"/>
              </w:rPr>
              <w:t xml:space="preserve"> širok politič</w:t>
            </w:r>
            <w:r>
              <w:rPr>
                <w:rFonts w:cstheme="minorHAnsi"/>
                <w:color w:val="000000" w:themeColor="text1"/>
                <w:sz w:val="18"/>
                <w:szCs w:val="18"/>
              </w:rPr>
              <w:t>ki</w:t>
            </w:r>
            <w:r w:rsidR="004976E4" w:rsidRPr="00D2259E">
              <w:rPr>
                <w:rFonts w:cstheme="minorHAnsi"/>
                <w:color w:val="000000" w:themeColor="text1"/>
                <w:sz w:val="18"/>
                <w:szCs w:val="18"/>
              </w:rPr>
              <w:t xml:space="preserve"> i stručn</w:t>
            </w:r>
            <w:r>
              <w:rPr>
                <w:rFonts w:cstheme="minorHAnsi"/>
                <w:color w:val="000000" w:themeColor="text1"/>
                <w:sz w:val="18"/>
                <w:szCs w:val="18"/>
              </w:rPr>
              <w:t>i</w:t>
            </w:r>
            <w:r w:rsidR="004976E4" w:rsidRPr="00D2259E">
              <w:rPr>
                <w:rFonts w:cstheme="minorHAnsi"/>
                <w:color w:val="000000" w:themeColor="text1"/>
                <w:sz w:val="18"/>
                <w:szCs w:val="18"/>
              </w:rPr>
              <w:t xml:space="preserve"> konsenzus glede dugoročnog razvoja sektora zdravstva Grada Zagreba – smanjenje negativnog utjecaja nedovoljno razrađenih promjena zakonodavnog okvira i dnevnopolitičkih okolnosti na sektor zdravstva u Zagrebu</w:t>
            </w:r>
          </w:p>
          <w:p w14:paraId="2DEE55E8" w14:textId="21FD9E2C" w:rsidR="004976E4" w:rsidRPr="00D2259E" w:rsidRDefault="00E17448"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iz</w:t>
            </w:r>
            <w:r w:rsidR="004976E4" w:rsidRPr="00D2259E">
              <w:rPr>
                <w:rFonts w:cstheme="minorHAnsi"/>
                <w:color w:val="000000" w:themeColor="text1"/>
                <w:sz w:val="18"/>
                <w:szCs w:val="18"/>
              </w:rPr>
              <w:t>rad</w:t>
            </w:r>
            <w:r>
              <w:rPr>
                <w:rFonts w:cstheme="minorHAnsi"/>
                <w:color w:val="000000" w:themeColor="text1"/>
                <w:sz w:val="18"/>
                <w:szCs w:val="18"/>
              </w:rPr>
              <w:t>iti</w:t>
            </w:r>
            <w:r w:rsidR="004976E4" w:rsidRPr="00D2259E">
              <w:rPr>
                <w:rFonts w:cstheme="minorHAnsi"/>
                <w:color w:val="000000" w:themeColor="text1"/>
                <w:sz w:val="18"/>
                <w:szCs w:val="18"/>
              </w:rPr>
              <w:t xml:space="preserve"> strategije razvoja sektora zdravstva Grada Zagreba do 2050. s naglaskom na strateško planiranje budućeg smještaja zdravstvene infrastrukture, sukladno najnovijim pokazateljima i Popisu stanovništva 2021. te koncentraciji i predviđenim trendovima kretanja stanovništva, tj. populacije/depopulacije na području Grada Zagreba i susjednih županija (Strategija razvoja Urbane aglomeracije Zagreb) – prava funkcionalna i prostorna usklađenost između Grada Zagreba i Republike Hrvatske te okolnih županija po pitanju strateškog planiranja zdravstvene infrastrukture na navedenom području;</w:t>
            </w:r>
          </w:p>
          <w:p w14:paraId="2B62771B" w14:textId="697629A2" w:rsidR="004976E4" w:rsidRPr="008463B8" w:rsidRDefault="000D686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planirati,</w:t>
            </w:r>
            <w:r w:rsidR="004976E4" w:rsidRPr="00D2259E">
              <w:rPr>
                <w:rFonts w:cstheme="minorHAnsi"/>
                <w:color w:val="000000" w:themeColor="text1"/>
                <w:sz w:val="18"/>
                <w:szCs w:val="18"/>
              </w:rPr>
              <w:t xml:space="preserve"> izgrad</w:t>
            </w:r>
            <w:r>
              <w:rPr>
                <w:rFonts w:cstheme="minorHAnsi"/>
                <w:color w:val="000000" w:themeColor="text1"/>
                <w:sz w:val="18"/>
                <w:szCs w:val="18"/>
              </w:rPr>
              <w:t>iti</w:t>
            </w:r>
            <w:r w:rsidR="004976E4" w:rsidRPr="00D2259E">
              <w:rPr>
                <w:rFonts w:cstheme="minorHAnsi"/>
                <w:color w:val="000000" w:themeColor="text1"/>
                <w:sz w:val="18"/>
                <w:szCs w:val="18"/>
              </w:rPr>
              <w:t xml:space="preserve"> i rekonst</w:t>
            </w:r>
            <w:r>
              <w:rPr>
                <w:rFonts w:cstheme="minorHAnsi"/>
                <w:color w:val="000000" w:themeColor="text1"/>
                <w:sz w:val="18"/>
                <w:szCs w:val="18"/>
              </w:rPr>
              <w:t>ruirati</w:t>
            </w:r>
            <w:r w:rsidR="004976E4" w:rsidRPr="00D2259E">
              <w:rPr>
                <w:rFonts w:cstheme="minorHAnsi"/>
                <w:color w:val="000000" w:themeColor="text1"/>
                <w:sz w:val="18"/>
                <w:szCs w:val="18"/>
              </w:rPr>
              <w:t xml:space="preserve"> energetski učinkovite i na potrese otporne zdravstvene infrastrukture, redovito i temeljito održava</w:t>
            </w:r>
            <w:r>
              <w:rPr>
                <w:rFonts w:cstheme="minorHAnsi"/>
                <w:color w:val="000000" w:themeColor="text1"/>
                <w:sz w:val="18"/>
                <w:szCs w:val="18"/>
              </w:rPr>
              <w:t>ti</w:t>
            </w:r>
            <w:r w:rsidR="004976E4" w:rsidRPr="00D2259E">
              <w:rPr>
                <w:rFonts w:cstheme="minorHAnsi"/>
                <w:color w:val="000000" w:themeColor="text1"/>
                <w:sz w:val="18"/>
                <w:szCs w:val="18"/>
              </w:rPr>
              <w:t xml:space="preserve"> zdravstven</w:t>
            </w:r>
            <w:r>
              <w:rPr>
                <w:rFonts w:cstheme="minorHAnsi"/>
                <w:color w:val="000000" w:themeColor="text1"/>
                <w:sz w:val="18"/>
                <w:szCs w:val="18"/>
              </w:rPr>
              <w:t>u</w:t>
            </w:r>
            <w:r w:rsidR="004976E4" w:rsidRPr="00D2259E">
              <w:rPr>
                <w:rFonts w:cstheme="minorHAnsi"/>
                <w:color w:val="000000" w:themeColor="text1"/>
                <w:sz w:val="18"/>
                <w:szCs w:val="18"/>
              </w:rPr>
              <w:t xml:space="preserve"> infrastrukture</w:t>
            </w:r>
          </w:p>
          <w:p w14:paraId="042970F7" w14:textId="77777777" w:rsidR="000D686F" w:rsidRDefault="000D686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promicati</w:t>
            </w:r>
            <w:r w:rsidR="004976E4" w:rsidRPr="00D2259E">
              <w:rPr>
                <w:rFonts w:cstheme="minorHAnsi"/>
                <w:color w:val="000000" w:themeColor="text1"/>
                <w:sz w:val="18"/>
                <w:szCs w:val="18"/>
              </w:rPr>
              <w:t xml:space="preserve"> zdravlj</w:t>
            </w:r>
            <w:r>
              <w:rPr>
                <w:rFonts w:cstheme="minorHAnsi"/>
                <w:color w:val="000000" w:themeColor="text1"/>
                <w:sz w:val="18"/>
                <w:szCs w:val="18"/>
              </w:rPr>
              <w:t>e</w:t>
            </w:r>
            <w:r w:rsidR="004976E4" w:rsidRPr="00D2259E">
              <w:rPr>
                <w:rFonts w:cstheme="minorHAnsi"/>
                <w:color w:val="000000" w:themeColor="text1"/>
                <w:sz w:val="18"/>
                <w:szCs w:val="18"/>
              </w:rPr>
              <w:t>, prevenci</w:t>
            </w:r>
            <w:r>
              <w:rPr>
                <w:rFonts w:cstheme="minorHAnsi"/>
                <w:color w:val="000000" w:themeColor="text1"/>
                <w:sz w:val="18"/>
                <w:szCs w:val="18"/>
              </w:rPr>
              <w:t>ju</w:t>
            </w:r>
            <w:r w:rsidR="004976E4" w:rsidRPr="00D2259E">
              <w:rPr>
                <w:rFonts w:cstheme="minorHAnsi"/>
                <w:color w:val="000000" w:themeColor="text1"/>
                <w:sz w:val="18"/>
                <w:szCs w:val="18"/>
              </w:rPr>
              <w:t xml:space="preserve"> i rano otkrivanje bolesti</w:t>
            </w:r>
          </w:p>
          <w:p w14:paraId="7B8007C5" w14:textId="44DF76DE" w:rsidR="004976E4" w:rsidRPr="00D2259E" w:rsidRDefault="000D686F" w:rsidP="000D686F">
            <w:pPr>
              <w:pStyle w:val="Odlomakpopisa"/>
              <w:ind w:left="360"/>
              <w:jc w:val="both"/>
              <w:rPr>
                <w:rFonts w:cstheme="minorHAnsi"/>
                <w:color w:val="000000" w:themeColor="text1"/>
                <w:sz w:val="18"/>
                <w:szCs w:val="18"/>
              </w:rPr>
            </w:pPr>
            <w:r>
              <w:rPr>
                <w:rFonts w:cstheme="minorHAnsi"/>
                <w:color w:val="000000" w:themeColor="text1"/>
                <w:sz w:val="18"/>
                <w:szCs w:val="18"/>
              </w:rPr>
              <w:t>(</w:t>
            </w:r>
            <w:r w:rsidR="004976E4" w:rsidRPr="00D2259E">
              <w:rPr>
                <w:rFonts w:cstheme="minorHAnsi"/>
                <w:color w:val="000000" w:themeColor="text1"/>
                <w:sz w:val="18"/>
                <w:szCs w:val="18"/>
              </w:rPr>
              <w:t>naglasak na prevenciji i promicanju zdravlja kod predškolske i školske populacije; prevencija rizičnih ponašanja djece i mladih</w:t>
            </w:r>
            <w:r>
              <w:rPr>
                <w:rFonts w:cstheme="minorHAnsi"/>
                <w:color w:val="000000" w:themeColor="text1"/>
                <w:sz w:val="18"/>
                <w:szCs w:val="18"/>
              </w:rPr>
              <w:t>)</w:t>
            </w:r>
          </w:p>
          <w:p w14:paraId="79B6FCE9" w14:textId="77777777" w:rsidR="004976E4" w:rsidRPr="00DE2FBF" w:rsidRDefault="004976E4" w:rsidP="00165C16">
            <w:pPr>
              <w:pStyle w:val="Odlomakpopisa"/>
              <w:numPr>
                <w:ilvl w:val="0"/>
                <w:numId w:val="9"/>
              </w:numPr>
              <w:suppressAutoHyphens/>
              <w:autoSpaceDN w:val="0"/>
              <w:jc w:val="both"/>
              <w:textAlignment w:val="baseline"/>
              <w:rPr>
                <w:rFonts w:eastAsia="Calibri" w:cstheme="minorHAnsi"/>
                <w:sz w:val="18"/>
                <w:szCs w:val="18"/>
              </w:rPr>
            </w:pPr>
            <w:r w:rsidRPr="00DE2FBF">
              <w:rPr>
                <w:rFonts w:eastAsia="Calibri" w:cstheme="minorHAnsi"/>
                <w:sz w:val="18"/>
                <w:szCs w:val="18"/>
              </w:rPr>
              <w:t>Prevencija, rano otkrivanje, dijagnostika, liječenje, zdravstvena njega te rehabilitacija kroničnih nezaraznih bolesti (kardiovaskularne bolesti, šećerna bolest, zloćudne novotvorine, ozljede, bolesti mišićno koštanog sustava, kronična opstrukcijska bolest pluća, duševne bolesti i bolesti ovisnosti, demencija)</w:t>
            </w:r>
          </w:p>
          <w:p w14:paraId="7C1169A8" w14:textId="7DE285BF" w:rsidR="004976E4" w:rsidRPr="00D2259E" w:rsidRDefault="000D686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p</w:t>
            </w:r>
            <w:r w:rsidR="004976E4" w:rsidRPr="00D2259E">
              <w:rPr>
                <w:rFonts w:cstheme="minorHAnsi"/>
                <w:color w:val="000000" w:themeColor="text1"/>
                <w:sz w:val="18"/>
                <w:szCs w:val="18"/>
              </w:rPr>
              <w:t>romica</w:t>
            </w:r>
            <w:r>
              <w:rPr>
                <w:rFonts w:cstheme="minorHAnsi"/>
                <w:color w:val="000000" w:themeColor="text1"/>
                <w:sz w:val="18"/>
                <w:szCs w:val="18"/>
              </w:rPr>
              <w:t>ti</w:t>
            </w:r>
            <w:r w:rsidR="004976E4" w:rsidRPr="00D2259E">
              <w:rPr>
                <w:rFonts w:cstheme="minorHAnsi"/>
                <w:color w:val="000000" w:themeColor="text1"/>
                <w:sz w:val="18"/>
                <w:szCs w:val="18"/>
              </w:rPr>
              <w:t xml:space="preserve"> tjelesno i mentalno zdravlj</w:t>
            </w:r>
            <w:r>
              <w:rPr>
                <w:rFonts w:cstheme="minorHAnsi"/>
                <w:color w:val="000000" w:themeColor="text1"/>
                <w:sz w:val="18"/>
                <w:szCs w:val="18"/>
              </w:rPr>
              <w:t>e</w:t>
            </w:r>
            <w:r w:rsidR="004976E4" w:rsidRPr="00D2259E">
              <w:rPr>
                <w:rFonts w:cstheme="minorHAnsi"/>
                <w:color w:val="000000" w:themeColor="text1"/>
                <w:sz w:val="18"/>
                <w:szCs w:val="18"/>
              </w:rPr>
              <w:t>, te prevencij</w:t>
            </w:r>
            <w:r>
              <w:rPr>
                <w:rFonts w:cstheme="minorHAnsi"/>
                <w:color w:val="000000" w:themeColor="text1"/>
                <w:sz w:val="18"/>
                <w:szCs w:val="18"/>
              </w:rPr>
              <w:t>u</w:t>
            </w:r>
            <w:r w:rsidR="004976E4" w:rsidRPr="00D2259E">
              <w:rPr>
                <w:rFonts w:cstheme="minorHAnsi"/>
                <w:color w:val="000000" w:themeColor="text1"/>
                <w:sz w:val="18"/>
                <w:szCs w:val="18"/>
              </w:rPr>
              <w:t xml:space="preserve"> svih oblika bolesti ovisnosti</w:t>
            </w:r>
          </w:p>
          <w:p w14:paraId="430F4B57" w14:textId="6B29ED26" w:rsidR="004976E4" w:rsidRPr="00D2259E" w:rsidRDefault="009E7DD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z</w:t>
            </w:r>
            <w:r w:rsidR="004976E4" w:rsidRPr="00D2259E">
              <w:rPr>
                <w:rFonts w:cstheme="minorHAnsi"/>
                <w:color w:val="000000" w:themeColor="text1"/>
                <w:sz w:val="18"/>
                <w:szCs w:val="18"/>
              </w:rPr>
              <w:t>ašti</w:t>
            </w:r>
            <w:r>
              <w:rPr>
                <w:rFonts w:cstheme="minorHAnsi"/>
                <w:color w:val="000000" w:themeColor="text1"/>
                <w:sz w:val="18"/>
                <w:szCs w:val="18"/>
              </w:rPr>
              <w:t>titi</w:t>
            </w:r>
            <w:r w:rsidR="004976E4" w:rsidRPr="00D2259E">
              <w:rPr>
                <w:rFonts w:cstheme="minorHAnsi"/>
                <w:color w:val="000000" w:themeColor="text1"/>
                <w:sz w:val="18"/>
                <w:szCs w:val="18"/>
              </w:rPr>
              <w:t xml:space="preserve"> i očuv</w:t>
            </w:r>
            <w:r>
              <w:rPr>
                <w:rFonts w:cstheme="minorHAnsi"/>
                <w:color w:val="000000" w:themeColor="text1"/>
                <w:sz w:val="18"/>
                <w:szCs w:val="18"/>
              </w:rPr>
              <w:t>ati</w:t>
            </w:r>
            <w:r w:rsidR="004976E4" w:rsidRPr="00D2259E">
              <w:rPr>
                <w:rFonts w:cstheme="minorHAnsi"/>
                <w:color w:val="000000" w:themeColor="text1"/>
                <w:sz w:val="18"/>
                <w:szCs w:val="18"/>
              </w:rPr>
              <w:t xml:space="preserve"> reproduktivno zdravlj</w:t>
            </w:r>
            <w:r>
              <w:rPr>
                <w:rFonts w:cstheme="minorHAnsi"/>
                <w:color w:val="000000" w:themeColor="text1"/>
                <w:sz w:val="18"/>
                <w:szCs w:val="18"/>
              </w:rPr>
              <w:t>e</w:t>
            </w:r>
            <w:r w:rsidR="004976E4" w:rsidRPr="00D2259E">
              <w:rPr>
                <w:rFonts w:cstheme="minorHAnsi"/>
                <w:color w:val="000000" w:themeColor="text1"/>
                <w:sz w:val="18"/>
                <w:szCs w:val="18"/>
              </w:rPr>
              <w:t xml:space="preserve"> </w:t>
            </w:r>
          </w:p>
          <w:p w14:paraId="08A33187" w14:textId="38226807" w:rsidR="004A307A" w:rsidRPr="004A307A" w:rsidRDefault="009E7DDF" w:rsidP="004A307A">
            <w:pPr>
              <w:pStyle w:val="Odlomakpopisa"/>
              <w:numPr>
                <w:ilvl w:val="0"/>
                <w:numId w:val="9"/>
              </w:numPr>
              <w:suppressAutoHyphens/>
              <w:autoSpaceDN w:val="0"/>
              <w:textAlignment w:val="baseline"/>
            </w:pPr>
            <w:r>
              <w:rPr>
                <w:rFonts w:eastAsia="Calibri" w:cstheme="minorHAnsi"/>
                <w:color w:val="000000" w:themeColor="text1"/>
                <w:sz w:val="18"/>
                <w:szCs w:val="18"/>
              </w:rPr>
              <w:t>z</w:t>
            </w:r>
            <w:r w:rsidR="004976E4" w:rsidRPr="00D2259E">
              <w:rPr>
                <w:rFonts w:eastAsia="Calibri" w:cstheme="minorHAnsi"/>
                <w:color w:val="000000" w:themeColor="text1"/>
                <w:sz w:val="18"/>
                <w:szCs w:val="18"/>
              </w:rPr>
              <w:t>ašti</w:t>
            </w:r>
            <w:r>
              <w:rPr>
                <w:rFonts w:eastAsia="Calibri" w:cstheme="minorHAnsi"/>
                <w:color w:val="000000" w:themeColor="text1"/>
                <w:sz w:val="18"/>
                <w:szCs w:val="18"/>
              </w:rPr>
              <w:t>titi</w:t>
            </w:r>
            <w:r w:rsidR="004976E4" w:rsidRPr="00D2259E">
              <w:rPr>
                <w:rFonts w:eastAsia="Calibri" w:cstheme="minorHAnsi"/>
                <w:color w:val="000000" w:themeColor="text1"/>
                <w:sz w:val="18"/>
                <w:szCs w:val="18"/>
              </w:rPr>
              <w:t xml:space="preserve"> i unapr</w:t>
            </w:r>
            <w:r>
              <w:rPr>
                <w:rFonts w:eastAsia="Calibri" w:cstheme="minorHAnsi"/>
                <w:color w:val="000000" w:themeColor="text1"/>
                <w:sz w:val="18"/>
                <w:szCs w:val="18"/>
              </w:rPr>
              <w:t>ijediti</w:t>
            </w:r>
            <w:r w:rsidR="004976E4" w:rsidRPr="00D2259E">
              <w:rPr>
                <w:rFonts w:eastAsia="Calibri" w:cstheme="minorHAnsi"/>
                <w:color w:val="000000" w:themeColor="text1"/>
                <w:sz w:val="18"/>
                <w:szCs w:val="18"/>
              </w:rPr>
              <w:t xml:space="preserve"> oralno zdravlj</w:t>
            </w:r>
          </w:p>
          <w:p w14:paraId="056E75E2" w14:textId="378B5E4B" w:rsidR="00E84D50" w:rsidRPr="00E84D50" w:rsidRDefault="009E7DDF" w:rsidP="00E84D50">
            <w:pPr>
              <w:pStyle w:val="Odlomakpopisa"/>
              <w:numPr>
                <w:ilvl w:val="0"/>
                <w:numId w:val="9"/>
              </w:numPr>
              <w:rPr>
                <w:rFonts w:eastAsia="Calibri" w:cstheme="minorHAnsi"/>
                <w:color w:val="000000" w:themeColor="text1"/>
                <w:sz w:val="18"/>
                <w:szCs w:val="18"/>
              </w:rPr>
            </w:pPr>
            <w:r>
              <w:rPr>
                <w:rFonts w:eastAsia="Calibri" w:cstheme="minorHAnsi"/>
                <w:color w:val="000000" w:themeColor="text1"/>
                <w:sz w:val="18"/>
                <w:szCs w:val="18"/>
              </w:rPr>
              <w:t>a</w:t>
            </w:r>
            <w:r w:rsidR="00E84D50">
              <w:rPr>
                <w:rFonts w:eastAsia="Calibri" w:cstheme="minorHAnsi"/>
                <w:color w:val="000000" w:themeColor="text1"/>
                <w:sz w:val="18"/>
                <w:szCs w:val="18"/>
              </w:rPr>
              <w:t>dekvat</w:t>
            </w:r>
            <w:r>
              <w:rPr>
                <w:rFonts w:eastAsia="Calibri" w:cstheme="minorHAnsi"/>
                <w:color w:val="000000" w:themeColor="text1"/>
                <w:sz w:val="18"/>
                <w:szCs w:val="18"/>
              </w:rPr>
              <w:t>no</w:t>
            </w:r>
            <w:r w:rsidR="00E84D50">
              <w:rPr>
                <w:rFonts w:eastAsia="Calibri" w:cstheme="minorHAnsi"/>
                <w:color w:val="000000" w:themeColor="text1"/>
                <w:sz w:val="18"/>
                <w:szCs w:val="18"/>
              </w:rPr>
              <w:t xml:space="preserve"> odgovor</w:t>
            </w:r>
            <w:r>
              <w:rPr>
                <w:rFonts w:eastAsia="Calibri" w:cstheme="minorHAnsi"/>
                <w:color w:val="000000" w:themeColor="text1"/>
                <w:sz w:val="18"/>
                <w:szCs w:val="18"/>
              </w:rPr>
              <w:t>iti</w:t>
            </w:r>
            <w:r w:rsidR="00E84D50">
              <w:rPr>
                <w:rFonts w:eastAsia="Calibri" w:cstheme="minorHAnsi"/>
                <w:color w:val="000000" w:themeColor="text1"/>
                <w:sz w:val="18"/>
                <w:szCs w:val="18"/>
              </w:rPr>
              <w:t xml:space="preserve"> na </w:t>
            </w:r>
            <w:r w:rsidR="00E84D50" w:rsidRPr="00E84D50">
              <w:rPr>
                <w:rFonts w:eastAsia="Calibri" w:cstheme="minorHAnsi"/>
                <w:color w:val="000000" w:themeColor="text1"/>
                <w:sz w:val="18"/>
                <w:szCs w:val="18"/>
              </w:rPr>
              <w:t>povećanje potreba za zdravstvenom zaštitom uslijed starenja stanovništva</w:t>
            </w:r>
          </w:p>
          <w:p w14:paraId="320B3BEA" w14:textId="1EF6E6DC" w:rsidR="004976E4" w:rsidRPr="00D2259E" w:rsidRDefault="009E7DDF" w:rsidP="00165C16">
            <w:pPr>
              <w:pStyle w:val="Odlomakpopisa"/>
              <w:numPr>
                <w:ilvl w:val="0"/>
                <w:numId w:val="9"/>
              </w:numPr>
              <w:suppressAutoHyphens/>
              <w:autoSpaceDN w:val="0"/>
              <w:textAlignment w:val="baseline"/>
              <w:rPr>
                <w:rFonts w:eastAsia="Calibri" w:cstheme="minorHAnsi"/>
                <w:color w:val="000000" w:themeColor="text1"/>
                <w:sz w:val="18"/>
                <w:szCs w:val="18"/>
              </w:rPr>
            </w:pPr>
            <w:r>
              <w:rPr>
                <w:rFonts w:eastAsia="Calibri" w:cstheme="minorHAnsi"/>
                <w:color w:val="000000" w:themeColor="text1"/>
                <w:sz w:val="18"/>
                <w:szCs w:val="18"/>
              </w:rPr>
              <w:t>s</w:t>
            </w:r>
            <w:r w:rsidR="004976E4" w:rsidRPr="00D2259E">
              <w:rPr>
                <w:rFonts w:eastAsia="Calibri" w:cstheme="minorHAnsi"/>
                <w:color w:val="000000" w:themeColor="text1"/>
                <w:sz w:val="18"/>
                <w:szCs w:val="18"/>
              </w:rPr>
              <w:t>prječav</w:t>
            </w:r>
            <w:r>
              <w:rPr>
                <w:rFonts w:eastAsia="Calibri" w:cstheme="minorHAnsi"/>
                <w:color w:val="000000" w:themeColor="text1"/>
                <w:sz w:val="18"/>
                <w:szCs w:val="18"/>
              </w:rPr>
              <w:t>ati</w:t>
            </w:r>
            <w:r w:rsidR="004976E4" w:rsidRPr="00D2259E">
              <w:rPr>
                <w:rFonts w:eastAsia="Calibri" w:cstheme="minorHAnsi"/>
                <w:color w:val="000000" w:themeColor="text1"/>
                <w:sz w:val="18"/>
                <w:szCs w:val="18"/>
              </w:rPr>
              <w:t xml:space="preserve"> i suzbij</w:t>
            </w:r>
            <w:r>
              <w:rPr>
                <w:rFonts w:eastAsia="Calibri" w:cstheme="minorHAnsi"/>
                <w:color w:val="000000" w:themeColor="text1"/>
                <w:sz w:val="18"/>
                <w:szCs w:val="18"/>
              </w:rPr>
              <w:t>ati</w:t>
            </w:r>
            <w:r w:rsidR="004976E4" w:rsidRPr="00D2259E">
              <w:rPr>
                <w:rFonts w:eastAsia="Calibri" w:cstheme="minorHAnsi"/>
                <w:color w:val="000000" w:themeColor="text1"/>
                <w:sz w:val="18"/>
                <w:szCs w:val="18"/>
              </w:rPr>
              <w:t xml:space="preserve"> zarazn</w:t>
            </w:r>
            <w:r>
              <w:rPr>
                <w:rFonts w:eastAsia="Calibri" w:cstheme="minorHAnsi"/>
                <w:color w:val="000000" w:themeColor="text1"/>
                <w:sz w:val="18"/>
                <w:szCs w:val="18"/>
              </w:rPr>
              <w:t>e</w:t>
            </w:r>
            <w:r w:rsidR="004976E4" w:rsidRPr="00D2259E">
              <w:rPr>
                <w:rFonts w:eastAsia="Calibri" w:cstheme="minorHAnsi"/>
                <w:color w:val="000000" w:themeColor="text1"/>
                <w:sz w:val="18"/>
                <w:szCs w:val="18"/>
              </w:rPr>
              <w:t xml:space="preserve"> bolesti</w:t>
            </w:r>
          </w:p>
          <w:p w14:paraId="74064E01" w14:textId="77777777" w:rsidR="004976E4" w:rsidRPr="00DE2FBF" w:rsidRDefault="004976E4" w:rsidP="00165C16">
            <w:pPr>
              <w:pStyle w:val="Odlomakpopisa"/>
              <w:numPr>
                <w:ilvl w:val="0"/>
                <w:numId w:val="9"/>
              </w:numPr>
              <w:jc w:val="both"/>
              <w:rPr>
                <w:rFonts w:cstheme="minorHAnsi"/>
                <w:sz w:val="18"/>
                <w:szCs w:val="18"/>
              </w:rPr>
            </w:pPr>
            <w:r w:rsidRPr="00DE2FBF">
              <w:rPr>
                <w:rFonts w:cstheme="minorHAnsi"/>
                <w:sz w:val="18"/>
                <w:szCs w:val="18"/>
              </w:rPr>
              <w:t>Cijepljenje</w:t>
            </w:r>
          </w:p>
          <w:p w14:paraId="30EB7FF0" w14:textId="77777777" w:rsidR="004976E4" w:rsidRPr="00DE2FBF" w:rsidRDefault="004976E4" w:rsidP="00165C16">
            <w:pPr>
              <w:pStyle w:val="Odlomakpopisa"/>
              <w:numPr>
                <w:ilvl w:val="0"/>
                <w:numId w:val="9"/>
              </w:numPr>
              <w:jc w:val="both"/>
              <w:rPr>
                <w:rFonts w:cstheme="minorHAnsi"/>
                <w:sz w:val="18"/>
                <w:szCs w:val="18"/>
              </w:rPr>
            </w:pPr>
            <w:r w:rsidRPr="00DE2FBF">
              <w:rPr>
                <w:rFonts w:cstheme="minorHAnsi"/>
                <w:sz w:val="18"/>
                <w:szCs w:val="18"/>
              </w:rPr>
              <w:t>Rani razvoj</w:t>
            </w:r>
          </w:p>
          <w:p w14:paraId="5597F287" w14:textId="43EB7168" w:rsidR="004976E4" w:rsidRPr="00D2259E" w:rsidRDefault="009E7DDF" w:rsidP="00165C16">
            <w:pPr>
              <w:pStyle w:val="Odlomakpopisa"/>
              <w:numPr>
                <w:ilvl w:val="0"/>
                <w:numId w:val="9"/>
              </w:numPr>
              <w:suppressAutoHyphens/>
              <w:autoSpaceDN w:val="0"/>
              <w:jc w:val="both"/>
              <w:textAlignment w:val="baseline"/>
              <w:rPr>
                <w:rFonts w:eastAsia="Calibri" w:cstheme="minorHAnsi"/>
                <w:color w:val="000000" w:themeColor="text1"/>
                <w:sz w:val="18"/>
                <w:szCs w:val="18"/>
              </w:rPr>
            </w:pPr>
            <w:r>
              <w:rPr>
                <w:rFonts w:eastAsia="Calibri" w:cstheme="minorHAnsi"/>
                <w:color w:val="000000" w:themeColor="text1"/>
                <w:sz w:val="18"/>
                <w:szCs w:val="18"/>
              </w:rPr>
              <w:t>o</w:t>
            </w:r>
            <w:r w:rsidR="004976E4" w:rsidRPr="00D2259E">
              <w:rPr>
                <w:rFonts w:eastAsia="Calibri" w:cstheme="minorHAnsi"/>
                <w:color w:val="000000" w:themeColor="text1"/>
                <w:sz w:val="18"/>
                <w:szCs w:val="18"/>
              </w:rPr>
              <w:t>sigura</w:t>
            </w:r>
            <w:r>
              <w:rPr>
                <w:rFonts w:eastAsia="Calibri" w:cstheme="minorHAnsi"/>
                <w:color w:val="000000" w:themeColor="text1"/>
                <w:sz w:val="18"/>
                <w:szCs w:val="18"/>
              </w:rPr>
              <w:t>ti</w:t>
            </w:r>
            <w:r w:rsidR="004976E4" w:rsidRPr="00D2259E">
              <w:rPr>
                <w:rFonts w:eastAsia="Calibri" w:cstheme="minorHAnsi"/>
                <w:color w:val="000000" w:themeColor="text1"/>
                <w:sz w:val="18"/>
                <w:szCs w:val="18"/>
              </w:rPr>
              <w:t xml:space="preserve"> zdrav okoliš (zrak, voda, zdravstvena ispravnost hrane, predmeta koji dolaze u dodir s hranom i predmeta opće uporabe, određivanje prisutnosti genetski modificiranih organizama u hrani, stočnoj hrani i sjemenju, smanjenje rizika izlaganja zračenju, sigurna dispozicija otpada, sigurno upravljanje kemikalijama i biocidnim pripravcima)</w:t>
            </w:r>
          </w:p>
          <w:p w14:paraId="414004CD" w14:textId="2EE60E14" w:rsidR="004976E4" w:rsidRPr="00D2259E" w:rsidRDefault="009E7DD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p</w:t>
            </w:r>
            <w:r w:rsidR="004976E4" w:rsidRPr="00D2259E">
              <w:rPr>
                <w:rFonts w:cstheme="minorHAnsi"/>
                <w:color w:val="000000" w:themeColor="text1"/>
                <w:sz w:val="18"/>
                <w:szCs w:val="18"/>
              </w:rPr>
              <w:t>romica</w:t>
            </w:r>
            <w:r>
              <w:rPr>
                <w:rFonts w:cstheme="minorHAnsi"/>
                <w:color w:val="000000" w:themeColor="text1"/>
                <w:sz w:val="18"/>
                <w:szCs w:val="18"/>
              </w:rPr>
              <w:t>ti</w:t>
            </w:r>
            <w:r w:rsidR="004976E4" w:rsidRPr="00D2259E">
              <w:rPr>
                <w:rFonts w:cstheme="minorHAnsi"/>
                <w:color w:val="000000" w:themeColor="text1"/>
                <w:sz w:val="18"/>
                <w:szCs w:val="18"/>
              </w:rPr>
              <w:t xml:space="preserve"> prava pacijenata, osobit</w:t>
            </w:r>
            <w:r>
              <w:rPr>
                <w:rFonts w:cstheme="minorHAnsi"/>
                <w:color w:val="000000" w:themeColor="text1"/>
                <w:sz w:val="18"/>
                <w:szCs w:val="18"/>
              </w:rPr>
              <w:t>o</w:t>
            </w:r>
            <w:r w:rsidR="004976E4" w:rsidRPr="00D2259E">
              <w:rPr>
                <w:rFonts w:cstheme="minorHAnsi"/>
                <w:color w:val="000000" w:themeColor="text1"/>
                <w:sz w:val="18"/>
                <w:szCs w:val="18"/>
              </w:rPr>
              <w:t xml:space="preserve"> zaštit</w:t>
            </w:r>
            <w:r>
              <w:rPr>
                <w:rFonts w:cstheme="minorHAnsi"/>
                <w:color w:val="000000" w:themeColor="text1"/>
                <w:sz w:val="18"/>
                <w:szCs w:val="18"/>
              </w:rPr>
              <w:t>u</w:t>
            </w:r>
            <w:r w:rsidR="004976E4" w:rsidRPr="00D2259E">
              <w:rPr>
                <w:rFonts w:cstheme="minorHAnsi"/>
                <w:color w:val="000000" w:themeColor="text1"/>
                <w:sz w:val="18"/>
                <w:szCs w:val="18"/>
              </w:rPr>
              <w:t xml:space="preserve"> posebno ranjivih skupina građana (trudnice, djeca, starije osobe, osobe s invaliditetom, branitelji, djeca s neurorazvojnim poteškoćama...)</w:t>
            </w:r>
          </w:p>
          <w:p w14:paraId="50050B8E" w14:textId="53008521" w:rsidR="004976E4" w:rsidRDefault="009E7DD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r</w:t>
            </w:r>
            <w:r w:rsidR="004976E4" w:rsidRPr="00D2259E">
              <w:rPr>
                <w:rFonts w:cstheme="minorHAnsi"/>
                <w:color w:val="000000" w:themeColor="text1"/>
                <w:sz w:val="18"/>
                <w:szCs w:val="18"/>
              </w:rPr>
              <w:t>azv</w:t>
            </w:r>
            <w:r>
              <w:rPr>
                <w:rFonts w:cstheme="minorHAnsi"/>
                <w:color w:val="000000" w:themeColor="text1"/>
                <w:sz w:val="18"/>
                <w:szCs w:val="18"/>
              </w:rPr>
              <w:t xml:space="preserve">ijati </w:t>
            </w:r>
            <w:r w:rsidR="004976E4" w:rsidRPr="00D2259E">
              <w:rPr>
                <w:rFonts w:cstheme="minorHAnsi"/>
                <w:color w:val="000000" w:themeColor="text1"/>
                <w:sz w:val="18"/>
                <w:szCs w:val="18"/>
              </w:rPr>
              <w:t>uslug</w:t>
            </w:r>
            <w:r>
              <w:rPr>
                <w:rFonts w:cstheme="minorHAnsi"/>
                <w:color w:val="000000" w:themeColor="text1"/>
                <w:sz w:val="18"/>
                <w:szCs w:val="18"/>
              </w:rPr>
              <w:t>e</w:t>
            </w:r>
            <w:r w:rsidR="004976E4" w:rsidRPr="00D2259E">
              <w:rPr>
                <w:rFonts w:cstheme="minorHAnsi"/>
                <w:color w:val="000000" w:themeColor="text1"/>
                <w:sz w:val="18"/>
                <w:szCs w:val="18"/>
              </w:rPr>
              <w:t xml:space="preserve"> izvaninstitucionalne skrbi</w:t>
            </w:r>
          </w:p>
          <w:p w14:paraId="6C9933AE" w14:textId="598AA4D9" w:rsidR="004976E4" w:rsidRPr="00DE2FBF" w:rsidRDefault="00DE2FBF" w:rsidP="00165C16">
            <w:pPr>
              <w:pStyle w:val="Odlomakpopisa"/>
              <w:numPr>
                <w:ilvl w:val="0"/>
                <w:numId w:val="9"/>
              </w:numPr>
              <w:spacing w:after="0" w:line="240" w:lineRule="auto"/>
              <w:ind w:right="284"/>
              <w:jc w:val="both"/>
              <w:rPr>
                <w:rFonts w:cstheme="minorHAnsi"/>
                <w:sz w:val="18"/>
                <w:szCs w:val="18"/>
              </w:rPr>
            </w:pPr>
            <w:r w:rsidRPr="00DE2FBF">
              <w:rPr>
                <w:rFonts w:cstheme="minorHAnsi"/>
                <w:sz w:val="18"/>
                <w:szCs w:val="18"/>
              </w:rPr>
              <w:t xml:space="preserve">potrebe građana staviti na prvo mjesto, </w:t>
            </w:r>
            <w:r w:rsidR="004976E4" w:rsidRPr="00DE2FBF">
              <w:rPr>
                <w:rFonts w:cstheme="minorHAnsi"/>
                <w:sz w:val="18"/>
                <w:szCs w:val="18"/>
              </w:rPr>
              <w:t xml:space="preserve">a sustav </w:t>
            </w:r>
            <w:r w:rsidRPr="00DE2FBF">
              <w:rPr>
                <w:rFonts w:cstheme="minorHAnsi"/>
                <w:sz w:val="18"/>
                <w:szCs w:val="18"/>
              </w:rPr>
              <w:t>učinit</w:t>
            </w:r>
            <w:r w:rsidR="004976E4" w:rsidRPr="00DE2FBF">
              <w:rPr>
                <w:rFonts w:cstheme="minorHAnsi"/>
                <w:sz w:val="18"/>
                <w:szCs w:val="18"/>
              </w:rPr>
              <w:t xml:space="preserve"> fleksibilni</w:t>
            </w:r>
            <w:r w:rsidRPr="00DE2FBF">
              <w:rPr>
                <w:rFonts w:cstheme="minorHAnsi"/>
                <w:sz w:val="18"/>
                <w:szCs w:val="18"/>
              </w:rPr>
              <w:t xml:space="preserve">jim a </w:t>
            </w:r>
            <w:r w:rsidR="004976E4" w:rsidRPr="00DE2FBF">
              <w:rPr>
                <w:rFonts w:cstheme="minorHAnsi"/>
                <w:sz w:val="18"/>
                <w:szCs w:val="18"/>
              </w:rPr>
              <w:t xml:space="preserve">financiranjem pratiti potrebe, a ne obrnuto </w:t>
            </w:r>
          </w:p>
          <w:p w14:paraId="4C608608" w14:textId="77777777" w:rsidR="004976E4" w:rsidRPr="00D2259E" w:rsidRDefault="004976E4" w:rsidP="00165C16">
            <w:pPr>
              <w:pStyle w:val="Odlomakpopisa"/>
              <w:numPr>
                <w:ilvl w:val="0"/>
                <w:numId w:val="9"/>
              </w:numPr>
              <w:spacing w:after="0" w:line="240" w:lineRule="auto"/>
              <w:ind w:right="284"/>
              <w:jc w:val="both"/>
              <w:rPr>
                <w:rFonts w:cstheme="minorHAnsi"/>
                <w:color w:val="000000" w:themeColor="text1"/>
                <w:sz w:val="18"/>
                <w:szCs w:val="18"/>
              </w:rPr>
            </w:pPr>
            <w:r>
              <w:rPr>
                <w:rFonts w:cstheme="minorHAnsi"/>
                <w:color w:val="000000" w:themeColor="text1"/>
                <w:sz w:val="18"/>
                <w:szCs w:val="18"/>
              </w:rPr>
              <w:t>P</w:t>
            </w:r>
            <w:r w:rsidRPr="00D2259E">
              <w:rPr>
                <w:rFonts w:cstheme="minorHAnsi"/>
                <w:color w:val="000000" w:themeColor="text1"/>
                <w:sz w:val="18"/>
                <w:szCs w:val="18"/>
              </w:rPr>
              <w:t>rimjenjivati  Evidence - based pristup, uvoditi učinkovite intervencije, lepezu usluga koje korisnici ostvaruju kroz već dokazane učinkovite programe i projekte</w:t>
            </w:r>
          </w:p>
          <w:p w14:paraId="2E02C96F" w14:textId="428910D1" w:rsidR="004976E4" w:rsidRPr="00D2259E" w:rsidRDefault="009E7DDF" w:rsidP="00165C16">
            <w:pPr>
              <w:pStyle w:val="Odlomakpopisa"/>
              <w:numPr>
                <w:ilvl w:val="0"/>
                <w:numId w:val="9"/>
              </w:numPr>
              <w:spacing w:after="0" w:line="240" w:lineRule="auto"/>
              <w:ind w:right="284"/>
              <w:jc w:val="both"/>
              <w:rPr>
                <w:rFonts w:cstheme="minorHAnsi"/>
                <w:color w:val="000000" w:themeColor="text1"/>
                <w:sz w:val="18"/>
                <w:szCs w:val="18"/>
              </w:rPr>
            </w:pPr>
            <w:r>
              <w:rPr>
                <w:rFonts w:cstheme="minorHAnsi"/>
                <w:color w:val="000000" w:themeColor="text1"/>
                <w:sz w:val="18"/>
                <w:szCs w:val="18"/>
              </w:rPr>
              <w:t>s</w:t>
            </w:r>
            <w:r w:rsidR="004976E4" w:rsidRPr="00D2259E">
              <w:rPr>
                <w:rFonts w:cstheme="minorHAnsi"/>
                <w:color w:val="000000" w:themeColor="text1"/>
                <w:sz w:val="18"/>
                <w:szCs w:val="18"/>
              </w:rPr>
              <w:t xml:space="preserve"> potrebnim intervencijama i aktivnostima se treba započeti odmah</w:t>
            </w:r>
            <w:r>
              <w:rPr>
                <w:rFonts w:cstheme="minorHAnsi"/>
                <w:color w:val="000000" w:themeColor="text1"/>
                <w:sz w:val="18"/>
                <w:szCs w:val="18"/>
              </w:rPr>
              <w:t xml:space="preserve"> </w:t>
            </w:r>
            <w:r w:rsidR="004976E4" w:rsidRPr="00D2259E">
              <w:rPr>
                <w:rFonts w:cstheme="minorHAnsi"/>
                <w:color w:val="000000" w:themeColor="text1"/>
                <w:sz w:val="18"/>
                <w:szCs w:val="18"/>
              </w:rPr>
              <w:t xml:space="preserve">na lokalnoj razini, a ne čekati akciju s državne razine (tzv. bottom-up pristup) </w:t>
            </w:r>
          </w:p>
          <w:p w14:paraId="3BF669B6" w14:textId="77777777" w:rsidR="004976E4" w:rsidRPr="00DE2FBF" w:rsidRDefault="004976E4" w:rsidP="00165C16">
            <w:pPr>
              <w:pStyle w:val="Odlomakpopisa"/>
              <w:numPr>
                <w:ilvl w:val="0"/>
                <w:numId w:val="9"/>
              </w:numPr>
              <w:spacing w:after="0" w:line="240" w:lineRule="auto"/>
              <w:ind w:right="284"/>
              <w:jc w:val="both"/>
              <w:rPr>
                <w:rFonts w:cstheme="minorHAnsi"/>
                <w:sz w:val="18"/>
                <w:szCs w:val="18"/>
              </w:rPr>
            </w:pPr>
            <w:r w:rsidRPr="00DE2FBF">
              <w:rPr>
                <w:rFonts w:cstheme="minorHAnsi"/>
                <w:sz w:val="18"/>
                <w:szCs w:val="18"/>
              </w:rPr>
              <w:t>Sve evidencije koje se uvode u sustav trebaju biti zasnovane na dokazima</w:t>
            </w:r>
          </w:p>
          <w:p w14:paraId="77424268" w14:textId="13B68B2D" w:rsidR="004976E4" w:rsidRPr="00D2259E" w:rsidRDefault="009E7DDF" w:rsidP="00165C16">
            <w:pPr>
              <w:pStyle w:val="Odlomakpopisa"/>
              <w:numPr>
                <w:ilvl w:val="0"/>
                <w:numId w:val="9"/>
              </w:numPr>
              <w:spacing w:after="0" w:line="240" w:lineRule="auto"/>
              <w:ind w:right="284"/>
              <w:jc w:val="both"/>
              <w:rPr>
                <w:rFonts w:cstheme="minorHAnsi"/>
                <w:color w:val="000000" w:themeColor="text1"/>
                <w:sz w:val="18"/>
                <w:szCs w:val="18"/>
              </w:rPr>
            </w:pPr>
            <w:r>
              <w:rPr>
                <w:rFonts w:cstheme="minorHAnsi"/>
                <w:color w:val="000000" w:themeColor="text1"/>
                <w:sz w:val="18"/>
                <w:szCs w:val="18"/>
              </w:rPr>
              <w:t>razvijati</w:t>
            </w:r>
            <w:r w:rsidR="004976E4" w:rsidRPr="00D2259E">
              <w:rPr>
                <w:rFonts w:cstheme="minorHAnsi"/>
                <w:color w:val="000000" w:themeColor="text1"/>
                <w:sz w:val="18"/>
                <w:szCs w:val="18"/>
              </w:rPr>
              <w:t xml:space="preserve"> cent</w:t>
            </w:r>
            <w:r>
              <w:rPr>
                <w:rFonts w:cstheme="minorHAnsi"/>
                <w:color w:val="000000" w:themeColor="text1"/>
                <w:sz w:val="18"/>
                <w:szCs w:val="18"/>
              </w:rPr>
              <w:t>re</w:t>
            </w:r>
            <w:r w:rsidR="004976E4" w:rsidRPr="00D2259E">
              <w:rPr>
                <w:rFonts w:cstheme="minorHAnsi"/>
                <w:color w:val="000000" w:themeColor="text1"/>
                <w:sz w:val="18"/>
                <w:szCs w:val="18"/>
              </w:rPr>
              <w:t xml:space="preserve"> izvrsnosti</w:t>
            </w:r>
          </w:p>
          <w:p w14:paraId="43FA8113" w14:textId="118FC888" w:rsidR="004976E4" w:rsidRPr="00D2259E" w:rsidRDefault="009E7DDF" w:rsidP="00165C16">
            <w:pPr>
              <w:pStyle w:val="Odlomakpopisa"/>
              <w:numPr>
                <w:ilvl w:val="0"/>
                <w:numId w:val="9"/>
              </w:numPr>
              <w:spacing w:after="0" w:line="240" w:lineRule="auto"/>
              <w:ind w:right="284"/>
              <w:jc w:val="both"/>
              <w:rPr>
                <w:rFonts w:cstheme="minorHAnsi"/>
                <w:color w:val="000000" w:themeColor="text1"/>
                <w:sz w:val="18"/>
                <w:szCs w:val="18"/>
              </w:rPr>
            </w:pPr>
            <w:r>
              <w:rPr>
                <w:rFonts w:cstheme="minorHAnsi"/>
                <w:color w:val="000000" w:themeColor="text1"/>
                <w:sz w:val="18"/>
                <w:szCs w:val="18"/>
              </w:rPr>
              <w:t>r</w:t>
            </w:r>
            <w:r w:rsidR="004976E4" w:rsidRPr="00D2259E">
              <w:rPr>
                <w:rFonts w:cstheme="minorHAnsi"/>
                <w:color w:val="000000" w:themeColor="text1"/>
                <w:sz w:val="18"/>
                <w:szCs w:val="18"/>
              </w:rPr>
              <w:t>azv</w:t>
            </w:r>
            <w:r>
              <w:rPr>
                <w:rFonts w:cstheme="minorHAnsi"/>
                <w:color w:val="000000" w:themeColor="text1"/>
                <w:sz w:val="18"/>
                <w:szCs w:val="18"/>
              </w:rPr>
              <w:t>i</w:t>
            </w:r>
            <w:r w:rsidR="004976E4" w:rsidRPr="00D2259E">
              <w:rPr>
                <w:rFonts w:cstheme="minorHAnsi"/>
                <w:color w:val="000000" w:themeColor="text1"/>
                <w:sz w:val="18"/>
                <w:szCs w:val="18"/>
              </w:rPr>
              <w:t>j</w:t>
            </w:r>
            <w:r>
              <w:rPr>
                <w:rFonts w:cstheme="minorHAnsi"/>
                <w:color w:val="000000" w:themeColor="text1"/>
                <w:sz w:val="18"/>
                <w:szCs w:val="18"/>
              </w:rPr>
              <w:t>ati</w:t>
            </w:r>
            <w:r w:rsidR="004976E4" w:rsidRPr="00D2259E">
              <w:rPr>
                <w:rFonts w:cstheme="minorHAnsi"/>
                <w:color w:val="000000" w:themeColor="text1"/>
                <w:sz w:val="18"/>
                <w:szCs w:val="18"/>
              </w:rPr>
              <w:t xml:space="preserve"> digitaln</w:t>
            </w:r>
            <w:r>
              <w:rPr>
                <w:rFonts w:cstheme="minorHAnsi"/>
                <w:color w:val="000000" w:themeColor="text1"/>
                <w:sz w:val="18"/>
                <w:szCs w:val="18"/>
              </w:rPr>
              <w:t>e</w:t>
            </w:r>
            <w:r w:rsidR="004976E4" w:rsidRPr="00D2259E">
              <w:rPr>
                <w:rFonts w:cstheme="minorHAnsi"/>
                <w:color w:val="000000" w:themeColor="text1"/>
                <w:sz w:val="18"/>
                <w:szCs w:val="18"/>
              </w:rPr>
              <w:t xml:space="preserve"> tehnologija  i vještin</w:t>
            </w:r>
            <w:r>
              <w:rPr>
                <w:rFonts w:cstheme="minorHAnsi"/>
                <w:color w:val="000000" w:themeColor="text1"/>
                <w:sz w:val="18"/>
                <w:szCs w:val="18"/>
              </w:rPr>
              <w:t>e</w:t>
            </w:r>
            <w:r w:rsidR="004976E4" w:rsidRPr="00D2259E">
              <w:rPr>
                <w:rFonts w:cstheme="minorHAnsi"/>
                <w:color w:val="000000" w:themeColor="text1"/>
                <w:sz w:val="18"/>
                <w:szCs w:val="18"/>
              </w:rPr>
              <w:t>, pogotovo u svjetlu epidemije COVID-19, tzv.novog normalnog</w:t>
            </w:r>
          </w:p>
          <w:p w14:paraId="7C3681F4" w14:textId="49CBE7F6" w:rsidR="004976E4" w:rsidRPr="00D2259E" w:rsidRDefault="009E7DD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r</w:t>
            </w:r>
            <w:r w:rsidR="004976E4" w:rsidRPr="00D2259E">
              <w:rPr>
                <w:rFonts w:cstheme="minorHAnsi"/>
                <w:color w:val="000000" w:themeColor="text1"/>
                <w:sz w:val="18"/>
                <w:szCs w:val="18"/>
              </w:rPr>
              <w:t>azv</w:t>
            </w:r>
            <w:r>
              <w:rPr>
                <w:rFonts w:cstheme="minorHAnsi"/>
                <w:color w:val="000000" w:themeColor="text1"/>
                <w:sz w:val="18"/>
                <w:szCs w:val="18"/>
              </w:rPr>
              <w:t>i</w:t>
            </w:r>
            <w:r w:rsidR="004976E4" w:rsidRPr="00D2259E">
              <w:rPr>
                <w:rFonts w:cstheme="minorHAnsi"/>
                <w:color w:val="000000" w:themeColor="text1"/>
                <w:sz w:val="18"/>
                <w:szCs w:val="18"/>
              </w:rPr>
              <w:t>j</w:t>
            </w:r>
            <w:r>
              <w:rPr>
                <w:rFonts w:cstheme="minorHAnsi"/>
                <w:color w:val="000000" w:themeColor="text1"/>
                <w:sz w:val="18"/>
                <w:szCs w:val="18"/>
              </w:rPr>
              <w:t>ati</w:t>
            </w:r>
            <w:r w:rsidR="004976E4" w:rsidRPr="00D2259E">
              <w:rPr>
                <w:rFonts w:cstheme="minorHAnsi"/>
                <w:color w:val="000000" w:themeColor="text1"/>
                <w:sz w:val="18"/>
                <w:szCs w:val="18"/>
              </w:rPr>
              <w:t xml:space="preserve"> informatizacij</w:t>
            </w:r>
            <w:r>
              <w:rPr>
                <w:rFonts w:cstheme="minorHAnsi"/>
                <w:color w:val="000000" w:themeColor="text1"/>
                <w:sz w:val="18"/>
                <w:szCs w:val="18"/>
              </w:rPr>
              <w:t>u</w:t>
            </w:r>
            <w:r w:rsidR="004976E4" w:rsidRPr="00D2259E">
              <w:rPr>
                <w:rFonts w:cstheme="minorHAnsi"/>
                <w:color w:val="000000" w:themeColor="text1"/>
                <w:sz w:val="18"/>
                <w:szCs w:val="18"/>
              </w:rPr>
              <w:t xml:space="preserve"> i e-zdravstv</w:t>
            </w:r>
            <w:r>
              <w:rPr>
                <w:rFonts w:cstheme="minorHAnsi"/>
                <w:color w:val="000000" w:themeColor="text1"/>
                <w:sz w:val="18"/>
                <w:szCs w:val="18"/>
              </w:rPr>
              <w:t>o</w:t>
            </w:r>
            <w:r w:rsidR="004976E4" w:rsidRPr="00D2259E">
              <w:rPr>
                <w:rFonts w:cstheme="minorHAnsi"/>
                <w:color w:val="000000" w:themeColor="text1"/>
                <w:sz w:val="18"/>
                <w:szCs w:val="18"/>
              </w:rPr>
              <w:t>, razv</w:t>
            </w:r>
            <w:r>
              <w:rPr>
                <w:rFonts w:cstheme="minorHAnsi"/>
                <w:color w:val="000000" w:themeColor="text1"/>
                <w:sz w:val="18"/>
                <w:szCs w:val="18"/>
              </w:rPr>
              <w:t>iti</w:t>
            </w:r>
            <w:r w:rsidR="004976E4" w:rsidRPr="00D2259E">
              <w:rPr>
                <w:rFonts w:cstheme="minorHAnsi"/>
                <w:color w:val="000000" w:themeColor="text1"/>
                <w:sz w:val="18"/>
                <w:szCs w:val="18"/>
              </w:rPr>
              <w:t xml:space="preserve"> i uvođenje Zdravstvenog informacijskog sustava Grada Zagreba</w:t>
            </w:r>
          </w:p>
          <w:p w14:paraId="5224557E" w14:textId="19DAA0BC" w:rsidR="004976E4" w:rsidRPr="00DE2FBF" w:rsidRDefault="004976E4" w:rsidP="00165C16">
            <w:pPr>
              <w:pStyle w:val="Odlomakpopisa"/>
              <w:numPr>
                <w:ilvl w:val="0"/>
                <w:numId w:val="9"/>
              </w:numPr>
              <w:jc w:val="both"/>
              <w:rPr>
                <w:rFonts w:cstheme="minorHAnsi"/>
                <w:sz w:val="18"/>
                <w:szCs w:val="18"/>
              </w:rPr>
            </w:pPr>
            <w:r w:rsidRPr="00DE2FBF">
              <w:rPr>
                <w:rFonts w:cstheme="minorHAnsi"/>
                <w:sz w:val="18"/>
                <w:szCs w:val="18"/>
              </w:rPr>
              <w:t>Transfer rizika – osiguranje od potresa i drugih nepogoda za sve zdravstvene ustanove – manja financijska izloženost središnje države i jedinica lokalne i regionalne samouprave u slučaju nepovoljnih okolnosti</w:t>
            </w:r>
          </w:p>
          <w:p w14:paraId="56F09352" w14:textId="66196CD6" w:rsidR="004976E4" w:rsidRDefault="009E7DDF" w:rsidP="00165C16">
            <w:pPr>
              <w:pStyle w:val="Odlomakpopisa"/>
              <w:numPr>
                <w:ilvl w:val="0"/>
                <w:numId w:val="9"/>
              </w:numPr>
              <w:jc w:val="both"/>
              <w:rPr>
                <w:rFonts w:cstheme="minorHAnsi"/>
                <w:color w:val="000000" w:themeColor="text1"/>
                <w:sz w:val="18"/>
                <w:szCs w:val="18"/>
              </w:rPr>
            </w:pPr>
            <w:r>
              <w:rPr>
                <w:rFonts w:cstheme="minorHAnsi"/>
                <w:color w:val="000000" w:themeColor="text1"/>
                <w:sz w:val="18"/>
                <w:szCs w:val="18"/>
              </w:rPr>
              <w:t>doznačiti</w:t>
            </w:r>
            <w:r w:rsidR="004976E4" w:rsidRPr="00381A95">
              <w:rPr>
                <w:rFonts w:cstheme="minorHAnsi"/>
                <w:color w:val="000000" w:themeColor="text1"/>
                <w:sz w:val="18"/>
                <w:szCs w:val="18"/>
              </w:rPr>
              <w:t xml:space="preserve"> sekundarn</w:t>
            </w:r>
            <w:r>
              <w:rPr>
                <w:rFonts w:cstheme="minorHAnsi"/>
                <w:color w:val="000000" w:themeColor="text1"/>
                <w:sz w:val="18"/>
                <w:szCs w:val="18"/>
              </w:rPr>
              <w:t>e</w:t>
            </w:r>
            <w:r w:rsidR="004976E4" w:rsidRPr="00381A95">
              <w:rPr>
                <w:rFonts w:cstheme="minorHAnsi"/>
                <w:color w:val="000000" w:themeColor="text1"/>
                <w:sz w:val="18"/>
                <w:szCs w:val="18"/>
              </w:rPr>
              <w:t xml:space="preserve"> funkcij</w:t>
            </w:r>
            <w:r>
              <w:rPr>
                <w:rFonts w:cstheme="minorHAnsi"/>
                <w:color w:val="000000" w:themeColor="text1"/>
                <w:sz w:val="18"/>
                <w:szCs w:val="18"/>
              </w:rPr>
              <w:t>e</w:t>
            </w:r>
            <w:r w:rsidR="004976E4" w:rsidRPr="00381A95">
              <w:rPr>
                <w:rFonts w:cstheme="minorHAnsi"/>
                <w:color w:val="000000" w:themeColor="text1"/>
                <w:sz w:val="18"/>
                <w:szCs w:val="18"/>
              </w:rPr>
              <w:t xml:space="preserve"> objektima zdravstva u kriznim situacijama (trijažni centri i dr.)</w:t>
            </w:r>
          </w:p>
          <w:p w14:paraId="665094BE" w14:textId="405EC67D" w:rsidR="004976E4" w:rsidRPr="00381A95" w:rsidRDefault="009E7DDF" w:rsidP="00165C16">
            <w:pPr>
              <w:pStyle w:val="Odlomakpopisa"/>
              <w:numPr>
                <w:ilvl w:val="0"/>
                <w:numId w:val="9"/>
              </w:numPr>
              <w:jc w:val="both"/>
              <w:rPr>
                <w:rFonts w:cstheme="minorHAnsi"/>
                <w:color w:val="000000" w:themeColor="text1"/>
                <w:sz w:val="18"/>
                <w:szCs w:val="18"/>
              </w:rPr>
            </w:pPr>
            <w:r>
              <w:rPr>
                <w:rFonts w:cstheme="minorHAnsi"/>
                <w:sz w:val="18"/>
                <w:szCs w:val="18"/>
              </w:rPr>
              <w:t>opremati</w:t>
            </w:r>
            <w:r w:rsidR="004976E4" w:rsidRPr="00381A95">
              <w:rPr>
                <w:rFonts w:cstheme="minorHAnsi"/>
                <w:sz w:val="18"/>
                <w:szCs w:val="18"/>
              </w:rPr>
              <w:t xml:space="preserve"> zdravstven</w:t>
            </w:r>
            <w:r>
              <w:rPr>
                <w:rFonts w:cstheme="minorHAnsi"/>
                <w:sz w:val="18"/>
                <w:szCs w:val="18"/>
              </w:rPr>
              <w:t>e</w:t>
            </w:r>
            <w:r w:rsidR="004976E4" w:rsidRPr="00381A95">
              <w:rPr>
                <w:rFonts w:cstheme="minorHAnsi"/>
                <w:sz w:val="18"/>
                <w:szCs w:val="18"/>
              </w:rPr>
              <w:t xml:space="preserve"> objekt</w:t>
            </w:r>
            <w:r>
              <w:rPr>
                <w:rFonts w:cstheme="minorHAnsi"/>
                <w:sz w:val="18"/>
                <w:szCs w:val="18"/>
              </w:rPr>
              <w:t>e</w:t>
            </w:r>
            <w:r w:rsidR="004976E4" w:rsidRPr="00381A95">
              <w:rPr>
                <w:rFonts w:cstheme="minorHAnsi"/>
                <w:sz w:val="18"/>
                <w:szCs w:val="18"/>
              </w:rPr>
              <w:t xml:space="preserve"> specijaliziranom opremom za osobe s invaliditetom</w:t>
            </w:r>
          </w:p>
          <w:p w14:paraId="3C6722B4" w14:textId="654EFCE2" w:rsidR="004976E4" w:rsidRPr="00381A95" w:rsidRDefault="009E7DDF" w:rsidP="00165C16">
            <w:pPr>
              <w:pStyle w:val="Odlomakpopisa"/>
              <w:numPr>
                <w:ilvl w:val="0"/>
                <w:numId w:val="9"/>
              </w:numPr>
              <w:jc w:val="both"/>
              <w:rPr>
                <w:rFonts w:cstheme="minorHAnsi"/>
                <w:color w:val="000000" w:themeColor="text1"/>
                <w:sz w:val="18"/>
                <w:szCs w:val="18"/>
              </w:rPr>
            </w:pPr>
            <w:r>
              <w:rPr>
                <w:rFonts w:cstheme="minorHAnsi"/>
                <w:sz w:val="18"/>
                <w:szCs w:val="18"/>
              </w:rPr>
              <w:t>promicati</w:t>
            </w:r>
            <w:r w:rsidR="004976E4" w:rsidRPr="00381A95">
              <w:rPr>
                <w:rFonts w:cstheme="minorHAnsi"/>
                <w:sz w:val="18"/>
                <w:szCs w:val="18"/>
              </w:rPr>
              <w:t xml:space="preserve"> reprodukcijsko i spolno zdravlj</w:t>
            </w:r>
            <w:r>
              <w:rPr>
                <w:rFonts w:cstheme="minorHAnsi"/>
                <w:sz w:val="18"/>
                <w:szCs w:val="18"/>
              </w:rPr>
              <w:t>e</w:t>
            </w:r>
            <w:r w:rsidR="004976E4" w:rsidRPr="00381A95">
              <w:rPr>
                <w:rFonts w:cstheme="minorHAnsi"/>
                <w:sz w:val="18"/>
                <w:szCs w:val="18"/>
              </w:rPr>
              <w:t xml:space="preserve"> žena s invaliditetom, planiranje obitelji</w:t>
            </w:r>
          </w:p>
          <w:p w14:paraId="5BAB1986" w14:textId="3D18CB9B" w:rsidR="004976E4" w:rsidRPr="00FC3172" w:rsidRDefault="009E7DDF" w:rsidP="00165C16">
            <w:pPr>
              <w:pStyle w:val="Odlomakpopisa"/>
              <w:numPr>
                <w:ilvl w:val="0"/>
                <w:numId w:val="9"/>
              </w:numPr>
              <w:jc w:val="both"/>
              <w:rPr>
                <w:rFonts w:cstheme="minorHAnsi"/>
                <w:color w:val="000000" w:themeColor="text1"/>
                <w:sz w:val="18"/>
                <w:szCs w:val="18"/>
              </w:rPr>
            </w:pPr>
            <w:r>
              <w:rPr>
                <w:rFonts w:cstheme="minorHAnsi"/>
                <w:sz w:val="18"/>
                <w:szCs w:val="18"/>
              </w:rPr>
              <w:t>poticati</w:t>
            </w:r>
            <w:r w:rsidR="004976E4" w:rsidRPr="00381A95">
              <w:rPr>
                <w:rFonts w:cstheme="minorHAnsi"/>
                <w:sz w:val="18"/>
                <w:szCs w:val="18"/>
              </w:rPr>
              <w:t xml:space="preserve"> ulaganja u istraživanje, razvoj i inovacije u ljekarništvu</w:t>
            </w:r>
          </w:p>
          <w:p w14:paraId="5620A45A" w14:textId="664DAA66" w:rsidR="00A26474" w:rsidRPr="00A26474" w:rsidRDefault="00E43801" w:rsidP="00A26474">
            <w:pPr>
              <w:pStyle w:val="Odlomakpopisa"/>
              <w:numPr>
                <w:ilvl w:val="0"/>
                <w:numId w:val="9"/>
              </w:numPr>
              <w:jc w:val="both"/>
              <w:rPr>
                <w:rFonts w:cstheme="minorHAnsi"/>
                <w:color w:val="000000" w:themeColor="text1"/>
                <w:sz w:val="18"/>
                <w:szCs w:val="18"/>
              </w:rPr>
            </w:pPr>
            <w:r>
              <w:rPr>
                <w:rFonts w:cstheme="minorHAnsi"/>
                <w:sz w:val="18"/>
                <w:szCs w:val="18"/>
              </w:rPr>
              <w:t xml:space="preserve">jačati </w:t>
            </w:r>
            <w:r w:rsidR="004976E4" w:rsidRPr="00BF3B4F">
              <w:rPr>
                <w:rFonts w:cstheme="minorHAnsi"/>
                <w:sz w:val="18"/>
                <w:szCs w:val="18"/>
              </w:rPr>
              <w:t>kapacitet</w:t>
            </w:r>
            <w:r>
              <w:rPr>
                <w:rFonts w:cstheme="minorHAnsi"/>
                <w:sz w:val="18"/>
                <w:szCs w:val="18"/>
              </w:rPr>
              <w:t>e</w:t>
            </w:r>
            <w:r w:rsidR="004976E4" w:rsidRPr="00BF3B4F">
              <w:rPr>
                <w:rFonts w:cstheme="minorHAnsi"/>
                <w:sz w:val="18"/>
                <w:szCs w:val="18"/>
              </w:rPr>
              <w:t xml:space="preserve"> za borbu protiv emergentnih  zaraznih bolesti</w:t>
            </w:r>
            <w:r w:rsidR="00A26474">
              <w:rPr>
                <w:rFonts w:cstheme="minorHAnsi"/>
                <w:sz w:val="18"/>
                <w:szCs w:val="18"/>
              </w:rPr>
              <w:t xml:space="preserve"> </w:t>
            </w:r>
          </w:p>
          <w:p w14:paraId="4DFF041E" w14:textId="237C7982" w:rsidR="00A26474" w:rsidRPr="00BA606E" w:rsidRDefault="00E43801" w:rsidP="00BA606E">
            <w:pPr>
              <w:pStyle w:val="Odlomakpopisa"/>
              <w:numPr>
                <w:ilvl w:val="0"/>
                <w:numId w:val="9"/>
              </w:numPr>
              <w:jc w:val="both"/>
              <w:rPr>
                <w:rFonts w:cstheme="minorHAnsi"/>
                <w:color w:val="000000" w:themeColor="text1"/>
                <w:sz w:val="18"/>
                <w:szCs w:val="18"/>
              </w:rPr>
            </w:pPr>
            <w:r>
              <w:rPr>
                <w:rFonts w:cstheme="minorHAnsi"/>
                <w:sz w:val="18"/>
                <w:szCs w:val="18"/>
              </w:rPr>
              <w:t>j</w:t>
            </w:r>
            <w:r w:rsidR="00A26474">
              <w:rPr>
                <w:rFonts w:cstheme="minorHAnsi"/>
                <w:sz w:val="18"/>
                <w:szCs w:val="18"/>
              </w:rPr>
              <w:t>ača</w:t>
            </w:r>
            <w:r w:rsidR="00B025AF">
              <w:rPr>
                <w:rFonts w:cstheme="minorHAnsi"/>
                <w:sz w:val="18"/>
                <w:szCs w:val="18"/>
              </w:rPr>
              <w:t>ti</w:t>
            </w:r>
            <w:r w:rsidR="00A26474">
              <w:rPr>
                <w:rFonts w:cstheme="minorHAnsi"/>
                <w:sz w:val="18"/>
                <w:szCs w:val="18"/>
              </w:rPr>
              <w:t xml:space="preserve"> suradnj</w:t>
            </w:r>
            <w:r w:rsidR="00B025AF">
              <w:rPr>
                <w:rFonts w:cstheme="minorHAnsi"/>
                <w:sz w:val="18"/>
                <w:szCs w:val="18"/>
              </w:rPr>
              <w:t>u</w:t>
            </w:r>
            <w:r w:rsidR="00A26474">
              <w:rPr>
                <w:rFonts w:cstheme="minorHAnsi"/>
                <w:sz w:val="18"/>
                <w:szCs w:val="18"/>
              </w:rPr>
              <w:t xml:space="preserve"> s privatnim zdravstvenim ustanovama na području Grada, posebice u onim dijelovima gdje nisu dovoljni javni kapaciteti</w:t>
            </w:r>
          </w:p>
        </w:tc>
      </w:tr>
    </w:tbl>
    <w:p w14:paraId="0415D06E" w14:textId="77777777" w:rsidR="004976E4" w:rsidRDefault="004976E4" w:rsidP="004976E4">
      <w:pPr>
        <w:jc w:val="both"/>
        <w:rPr>
          <w:color w:val="000000" w:themeColor="text1"/>
        </w:rPr>
      </w:pPr>
    </w:p>
    <w:p w14:paraId="48176C3B" w14:textId="646822B1" w:rsidR="004976E4" w:rsidRPr="00A309A3" w:rsidRDefault="004976E4" w:rsidP="007B22DB">
      <w:pPr>
        <w:pStyle w:val="Stil2"/>
        <w:rPr>
          <w:strike/>
        </w:rPr>
      </w:pPr>
      <w:bookmarkStart w:id="39" w:name="_Toc97123793"/>
      <w:r>
        <w:t>2.1.7. Socijalna skrb</w:t>
      </w:r>
      <w:bookmarkEnd w:id="39"/>
    </w:p>
    <w:p w14:paraId="459FFA63" w14:textId="77777777" w:rsidR="004976E4" w:rsidRPr="00EC2D1E" w:rsidRDefault="004976E4" w:rsidP="004976E4">
      <w:pPr>
        <w:spacing w:line="240" w:lineRule="auto"/>
        <w:jc w:val="both"/>
      </w:pPr>
      <w:r>
        <w:t>Sukladno važećim zakonskim propisima djelatnost socijalne skrbi obavljaju ustanove socijalne skrbi,</w:t>
      </w:r>
      <w:r w:rsidRPr="00A309A3">
        <w:t xml:space="preserve"> </w:t>
      </w:r>
      <w:r>
        <w:t xml:space="preserve">jedinice lokalne i područne (regionalne) samouprave, udruge, vjerske zajednice i druge pravne osobe, obrtnici te druge fizičke osobe. Ustanove socijalne skrbi su: centar za socijalnu skrb, dom socijalne skrbi, centar za pružanje usluga u zajednici i centar za pomoć u kući. Dio ustanova socijalne skrbi je u državnoj nadležnosti, dio u nadležnosti Grada Zagreba, a dijelom su osnivači udruge, vjerske zajednice ili druge pravne osobe te fizičke osobe. </w:t>
      </w:r>
      <w:r>
        <w:rPr>
          <w:rFonts w:cs="Calibri"/>
          <w:bCs/>
        </w:rPr>
        <w:t>Ustanove čiji je osnivač Grad Zagreb ili čija su osnivačka prava prenesena na Grad Zagreb: Dom za djecu i odrasle – žrtve obiteljskog nasilja Duga-Zagreb,  Centar za rehabilitaciju „Silver“, Dnevni centar za rehabilitaciju djece i mladeži „ Mali dom - Zagreb“, 11  domova za starije osobe, Centar za pružanje usluga u zajednici,</w:t>
      </w:r>
      <w:r w:rsidRPr="004962BC">
        <w:t xml:space="preserve"> </w:t>
      </w:r>
      <w:r>
        <w:t>„Savjetovalište Luka Ritz“ i Centar za pružanje usluga u zajednici „Novi Jelkovec“</w:t>
      </w:r>
      <w:r>
        <w:rPr>
          <w:rFonts w:cs="Calibri"/>
          <w:bCs/>
        </w:rPr>
        <w:t>.</w:t>
      </w:r>
    </w:p>
    <w:p w14:paraId="25557179" w14:textId="14A5AD10" w:rsidR="004976E4" w:rsidRDefault="004976E4" w:rsidP="004976E4">
      <w:pPr>
        <w:spacing w:line="240" w:lineRule="auto"/>
        <w:jc w:val="both"/>
        <w:rPr>
          <w:rFonts w:cs="Calibri"/>
          <w:bCs/>
        </w:rPr>
      </w:pPr>
      <w:r>
        <w:t>Pored 11 domova za starije osobe u nadležnosti Grada Zagreba na području Grada djeluje</w:t>
      </w:r>
      <w:r w:rsidRPr="00347552">
        <w:t xml:space="preserve"> </w:t>
      </w:r>
      <w:r>
        <w:t xml:space="preserve"> 27 domova drugih osnivača (tzv. privatni domovi). Osim domova usluge stalnog smještaja za starije pružaju i  33 obiteljska doma,  2  pravne osobe te 4 organizirana stanovanja. Značajnu ulogu u skrbi o starijim osobama čine izvaninstitucijske usluge, odnosno pomoć u kući kroz organiziranu prehranu (dostava gotovog ručka) i/ili usluga gerontodomaćice. U 2020. godini, pored gradskih domova, rješenje za pružanje usluga pomoći u kući ima jedna ustanova (centar za pomoć u kući) te 12 pravnih osoba.</w:t>
      </w:r>
    </w:p>
    <w:p w14:paraId="59EEE9B3" w14:textId="4B41A822" w:rsidR="004976E4" w:rsidRDefault="00CF35CC" w:rsidP="004976E4">
      <w:pPr>
        <w:pStyle w:val="aatekst"/>
        <w:spacing w:before="0" w:line="240" w:lineRule="auto"/>
        <w:ind w:firstLine="0"/>
        <w:rPr>
          <w:rFonts w:ascii="Calibri" w:hAnsi="Calibri" w:cs="Calibri"/>
          <w:sz w:val="22"/>
        </w:rPr>
      </w:pPr>
      <w:r w:rsidRPr="00CF35CC">
        <w:rPr>
          <w:rFonts w:ascii="Calibri" w:eastAsiaTheme="minorHAnsi" w:hAnsi="Calibri" w:cs="Calibri"/>
          <w:b/>
          <w:sz w:val="22"/>
        </w:rPr>
        <w:t xml:space="preserve">Prava </w:t>
      </w:r>
      <w:r w:rsidR="004976E4">
        <w:rPr>
          <w:rFonts w:ascii="Calibri" w:hAnsi="Calibri" w:cs="Calibri"/>
          <w:b/>
          <w:sz w:val="22"/>
        </w:rPr>
        <w:t xml:space="preserve">iz sustava socijalne skrbi. </w:t>
      </w:r>
      <w:r w:rsidR="004976E4">
        <w:rPr>
          <w:rFonts w:ascii="Calibri" w:hAnsi="Calibri" w:cs="Calibri"/>
          <w:sz w:val="22"/>
        </w:rPr>
        <w:t>Kao i ostatak Hrvatske, Grad Zagreb je suočen s problemom siromaštva i socijalne isključenosti. Sukladno najnovijim podacima Državnog zavoda za statistiku pod nazivom „Pokazatelji siromaštva i socijalne isključenosti u 2019. godini“  naznačeno je sljedeće:</w:t>
      </w:r>
    </w:p>
    <w:p w14:paraId="3D886174" w14:textId="77777777" w:rsidR="004976E4" w:rsidRPr="00347552" w:rsidRDefault="004976E4" w:rsidP="004976E4">
      <w:pPr>
        <w:pStyle w:val="aatekst"/>
        <w:spacing w:before="0" w:line="240" w:lineRule="auto"/>
        <w:rPr>
          <w:rFonts w:ascii="Calibri" w:hAnsi="Calibri" w:cs="Calibri"/>
          <w:strike/>
          <w:sz w:val="22"/>
        </w:rPr>
      </w:pPr>
      <w:r>
        <w:rPr>
          <w:rFonts w:ascii="Calibri" w:hAnsi="Calibri" w:cs="Calibri"/>
          <w:sz w:val="22"/>
        </w:rPr>
        <w:t>1.</w:t>
      </w:r>
      <w:r>
        <w:rPr>
          <w:rFonts w:ascii="Calibri" w:hAnsi="Calibri" w:cs="Calibri"/>
          <w:sz w:val="22"/>
        </w:rPr>
        <w:tab/>
        <w:t xml:space="preserve"> Stopa rizika od siromaštva u 2019. iznosi 18,3% tj. prag rizika od siromaštva u 2019. za jednočlano kućanstvo iznosi 32.520 kuna na godinu, dok za kućanstvo s dvije odrasle osobe i dvoje djece mlađe od 14 godina iznosi 68.292 kune na godinu. </w:t>
      </w:r>
    </w:p>
    <w:p w14:paraId="340F686C" w14:textId="77777777" w:rsidR="004976E4" w:rsidRDefault="004976E4" w:rsidP="004976E4">
      <w:pPr>
        <w:pStyle w:val="aatekst"/>
        <w:spacing w:before="0" w:line="240" w:lineRule="auto"/>
        <w:rPr>
          <w:rFonts w:ascii="Calibri" w:hAnsi="Calibri" w:cs="Calibri"/>
          <w:sz w:val="22"/>
        </w:rPr>
      </w:pPr>
      <w:r>
        <w:rPr>
          <w:rFonts w:ascii="Calibri" w:hAnsi="Calibri" w:cs="Calibri"/>
          <w:sz w:val="22"/>
        </w:rPr>
        <w:t>2.</w:t>
      </w:r>
      <w:r>
        <w:rPr>
          <w:rFonts w:ascii="Calibri" w:hAnsi="Calibri" w:cs="Calibri"/>
          <w:sz w:val="22"/>
        </w:rPr>
        <w:tab/>
        <w:t xml:space="preserve"> Osobe u riziku od siromaštva ili socijalne isključenosti odnosi se na one osobe koje su u riziku od siromaštva ili su u teškoj deprivaciji ili žive u kućanstvima s niskim intenzitetom rada. Prema tom pokazatelju za 2019. u Republici Hrvatskoj u takvu je položaju bilo 23,3% osoba </w:t>
      </w:r>
    </w:p>
    <w:p w14:paraId="4E25C370" w14:textId="77777777" w:rsidR="004976E4" w:rsidRDefault="004976E4" w:rsidP="004976E4">
      <w:pPr>
        <w:pStyle w:val="aatekst"/>
        <w:spacing w:before="0" w:line="240" w:lineRule="auto"/>
        <w:ind w:firstLine="0"/>
        <w:rPr>
          <w:rFonts w:ascii="Calibri" w:hAnsi="Calibri" w:cs="Calibri"/>
          <w:sz w:val="22"/>
        </w:rPr>
      </w:pPr>
      <w:r>
        <w:rPr>
          <w:rFonts w:ascii="Calibri" w:hAnsi="Calibri" w:cs="Calibri"/>
          <w:sz w:val="22"/>
        </w:rPr>
        <w:t>Prema posljednjim dostupnim podacima, stopa rizika od siromaštva u Gradu Zagrebu iznosi 9,8 % po dohodovnoj metodi odnosno najniža je u državi.</w:t>
      </w:r>
    </w:p>
    <w:p w14:paraId="19C76F1D" w14:textId="77777777" w:rsidR="004976E4" w:rsidRDefault="004976E4" w:rsidP="004976E4">
      <w:pPr>
        <w:pStyle w:val="aatekst"/>
        <w:spacing w:before="0" w:line="240" w:lineRule="auto"/>
        <w:ind w:firstLine="0"/>
        <w:rPr>
          <w:rFonts w:ascii="Calibri" w:hAnsi="Calibri" w:cs="Calibri"/>
          <w:sz w:val="22"/>
        </w:rPr>
      </w:pPr>
    </w:p>
    <w:p w14:paraId="12FE73B2" w14:textId="3B266CE0" w:rsidR="004976E4" w:rsidRDefault="00CF35CC" w:rsidP="004976E4">
      <w:pPr>
        <w:spacing w:after="0" w:line="240" w:lineRule="auto"/>
        <w:jc w:val="both"/>
      </w:pPr>
      <w:bookmarkStart w:id="40" w:name="_Hlk48036812"/>
      <w:r w:rsidRPr="00CF35CC">
        <w:rPr>
          <w:rFonts w:ascii="Calibri" w:hAnsi="Calibri" w:cs="Calibri"/>
          <w:b/>
        </w:rPr>
        <w:t xml:space="preserve">Prava </w:t>
      </w:r>
      <w:r w:rsidR="004976E4" w:rsidRPr="00DE0300">
        <w:rPr>
          <w:rFonts w:cs="Calibri"/>
          <w:b/>
        </w:rPr>
        <w:t>iz nadležnosti centra za socijalnu skrb (CZSS</w:t>
      </w:r>
      <w:r w:rsidR="004976E4">
        <w:rPr>
          <w:rFonts w:cs="Calibri"/>
          <w:b/>
        </w:rPr>
        <w:t>)</w:t>
      </w:r>
      <w:r w:rsidR="004976E4">
        <w:t xml:space="preserve">. </w:t>
      </w:r>
      <w:r w:rsidR="004976E4" w:rsidRPr="00DE0300">
        <w:t>Korisnici su unutar sustava socijalne skrbi putem Centra za socijalnu skrb Zagreb u 2019. ostvarili ukupno 12 133</w:t>
      </w:r>
      <w:r w:rsidR="004976E4" w:rsidRPr="00DE0300">
        <w:rPr>
          <w:rStyle w:val="Referencakomentara"/>
        </w:rPr>
        <w:t xml:space="preserve"> </w:t>
      </w:r>
      <w:r w:rsidR="004976E4" w:rsidRPr="00DE0300">
        <w:t>jednokratnih naknada novčanih pomoći kojima je obuhvaćeno 7240 različitih korisnika samaca i kućanstava kojima je jednom ili više puta odobrena naknada u izvještajnoj godini</w:t>
      </w:r>
      <w:r w:rsidR="004976E4">
        <w:t xml:space="preserve">, dok je </w:t>
      </w:r>
      <w:r w:rsidR="004976E4" w:rsidRPr="00DE0300">
        <w:t>pravo na zajamčenu minimalnu naknadu ostvarilo je 5356  samaca i kućanstava.</w:t>
      </w:r>
    </w:p>
    <w:p w14:paraId="46A92411" w14:textId="77777777" w:rsidR="004976E4" w:rsidRDefault="004976E4" w:rsidP="004976E4">
      <w:pPr>
        <w:spacing w:after="0" w:line="240" w:lineRule="auto"/>
        <w:jc w:val="both"/>
      </w:pPr>
    </w:p>
    <w:bookmarkEnd w:id="40"/>
    <w:p w14:paraId="61D9870D" w14:textId="77777777" w:rsidR="004976E4" w:rsidRPr="00EB73B0" w:rsidRDefault="004976E4" w:rsidP="004976E4">
      <w:pPr>
        <w:spacing w:after="0" w:line="240" w:lineRule="auto"/>
        <w:jc w:val="both"/>
        <w:rPr>
          <w:rFonts w:eastAsia="Times New Roman" w:cstheme="minorHAnsi"/>
          <w:lang w:eastAsia="hr-HR"/>
        </w:rPr>
      </w:pPr>
      <w:r>
        <w:rPr>
          <w:rFonts w:cs="Calibri"/>
          <w:b/>
        </w:rPr>
        <w:t xml:space="preserve">Prava iz nadležnosti Grada Zagreba. </w:t>
      </w:r>
      <w:r w:rsidRPr="00EB73B0">
        <w:rPr>
          <w:rFonts w:eastAsia="Times New Roman" w:cstheme="minorHAnsi"/>
          <w:lang w:eastAsia="hr-HR"/>
        </w:rPr>
        <w:t>Osiguranje primjerene skrbi o socijalno ugroženim stanovnicima Grada Zagreba provodi se osmišljavanjem, provedbom i praćenjem programa, mjera i aktivnosti usmjerenih općem poboljšanju uvjeta života svih građana Grada Zagreba, a osobito siromašnih i socijalno isključenih skupina (starijih osoba, djece i mladih, osoba s invaliditetom, korisnika pomoći socijalne skrbi, nezaposlenih osoba, samohranih roditelja, obitelji s većim brojem djece, psihički bolesnih osoba, žrtava obiteljskog nasilja, beskućnika i drugih ugroženih kategorija građana), ali i financijskim potporama organizacijama civilnog društva za programe i projekte od socijalnog i humanitarnog značenja, kao i onih usmjerenih na unapređivanje kvalitete života osoba s invaliditetom.</w:t>
      </w:r>
    </w:p>
    <w:p w14:paraId="711EE69F" w14:textId="77777777" w:rsidR="004976E4" w:rsidRDefault="004976E4" w:rsidP="004976E4">
      <w:pPr>
        <w:spacing w:after="0" w:line="240" w:lineRule="auto"/>
        <w:jc w:val="both"/>
        <w:rPr>
          <w:rFonts w:cs="Calibri"/>
        </w:rPr>
      </w:pPr>
    </w:p>
    <w:p w14:paraId="498246FD" w14:textId="77777777" w:rsidR="004976E4" w:rsidRDefault="004976E4" w:rsidP="004976E4">
      <w:pPr>
        <w:spacing w:after="0" w:line="240" w:lineRule="auto"/>
        <w:jc w:val="both"/>
        <w:rPr>
          <w:rFonts w:eastAsia="Times New Roman" w:cstheme="minorHAnsi"/>
          <w:lang w:eastAsia="hr-HR"/>
        </w:rPr>
      </w:pPr>
      <w:r w:rsidRPr="00EB73B0">
        <w:rPr>
          <w:rFonts w:eastAsia="Times New Roman" w:cstheme="minorHAnsi"/>
          <w:lang w:eastAsia="hr-HR"/>
        </w:rPr>
        <w:t>Prava iz nadležnosti Grada Zagreba uključuju novčane pomoći i usluge koje se osiguravaju temeljem Zakona o socijalnoj skrbi (Narodne novine 157/13, 152/14, 99/15, 52/16, 16/17, 130/17, 98/19 i 64/20-Uredba)) i Odluke o socijalnoj skrbi (Službeni glasnik Grada Zagreba 26/14, 19/15, 06/16, 16/16, 23/16, 04/19, 06/20, 17/20-pročišćeni tekst, 22/20 u daljnjem tekstu Odluka), u okviru zakonske obaveze te nad standarda u odnosu na nacionalnu razinu. Odlukom su propisani uvjeti i način ostvarivanja novčanih pomoći – novčana pomoć umirovljenicima, novčana pomoć za plaćanje premije dopunskog zdravstvenog osiguranja korisnicima novčane pomoći umirovljenicima, novčana pomoć korisnicima doplatka za pomoć i njegu i korisnicima osobne invalidnine, novčana pomoć osobama kojima je priznato pravo na status roditelja njegovatelja ili status njegovatelja, novčana pomoć za osobne potrebe (džeparac) korisnicima doma za starije osobe, naknada za troškove stanovanja; pomoći u naravi – pomoć djeci u mliječnoj hrani, pomoć u obiteljskim paketima, ljetovanje, prehrana u pučkoj kuhinji, pravo na besplatnu godišnju pokaznu kartu ZET-a, pomoći u smještaju i drugi oblici pomoći – pomoć u kući, savjetovanje i pomaganje, podmirenje pogrebnih troškova. Pored navedenih prava Grad provodi i druge mjere propisane drugim propisima: zdravstvena zaštita zdravstveno neosiguranih osoba, izdavanje mišljenja za dodjelu gradskih stanova u najam izvan liste reda prvenstava, pravo na novčani iznos za podmirenje troškova ogrjeva.  Navedenim mjerama u 2020. godini bilo je obuhvaćeno oko 86 600 građana Grada Zagreba.</w:t>
      </w:r>
    </w:p>
    <w:p w14:paraId="25EA4109" w14:textId="77777777" w:rsidR="004976E4" w:rsidRPr="00195757" w:rsidRDefault="004976E4" w:rsidP="004976E4">
      <w:pPr>
        <w:spacing w:after="0" w:line="240" w:lineRule="auto"/>
        <w:jc w:val="both"/>
        <w:rPr>
          <w:rFonts w:eastAsia="Times New Roman" w:cstheme="minorHAnsi"/>
          <w:highlight w:val="yellow"/>
          <w:lang w:eastAsia="hr-HR"/>
        </w:rPr>
      </w:pPr>
      <w:r>
        <w:rPr>
          <w:rFonts w:cs="Calibri"/>
        </w:rPr>
        <w:t>Pored toga, Odlukom o novčanoj pomoći za opremu novorođenog djeteta, Grad Zagreb isplaćuje i novčanu pomoć za opremu novorođenog djeteta obiteljima s jednim, dvoje, troje i više djece.</w:t>
      </w:r>
    </w:p>
    <w:p w14:paraId="26CDCA0B" w14:textId="3D76838E" w:rsidR="004976E4" w:rsidRDefault="004976E4" w:rsidP="004976E4">
      <w:pPr>
        <w:spacing w:after="0" w:line="240" w:lineRule="auto"/>
        <w:jc w:val="both"/>
      </w:pPr>
      <w:r>
        <w:t xml:space="preserve">S ciljem izjednačavanja mogućnosti za pristup obrazovanju za sve građane, Grad Zagreb dodjeljuje Stipendiju Grada Zagreba za učenike i studente s invaliditetom temeljem Odluke o Stipendiji Grada Zagreba za učenike i studente s invaliditetom (Službeni glasnik Grada Zagreba 19/17 i 18/19)  te Stipendiju Grada Zagreba za učenike i studente slabijega socijalnog statusa temeljem Odluke o Stipendiji Grada Zagreba za učenike i studente slabijeg socijalnog statusa (Službeni glasnik Grada Zagreba 19/17 i 18/19). </w:t>
      </w:r>
    </w:p>
    <w:p w14:paraId="06A1BE6C" w14:textId="77777777" w:rsidR="005B1D15" w:rsidRDefault="005B1D15" w:rsidP="004976E4">
      <w:pPr>
        <w:spacing w:after="0" w:line="240" w:lineRule="auto"/>
        <w:jc w:val="both"/>
      </w:pPr>
    </w:p>
    <w:p w14:paraId="2CAE1DB7" w14:textId="74093110" w:rsidR="004976E4" w:rsidRPr="00CF35CC" w:rsidRDefault="00CF35CC" w:rsidP="004976E4">
      <w:pPr>
        <w:spacing w:after="0" w:line="240" w:lineRule="auto"/>
        <w:jc w:val="both"/>
        <w:rPr>
          <w:rFonts w:cs="Calibri"/>
        </w:rPr>
      </w:pPr>
      <w:r w:rsidRPr="00CF35CC">
        <w:rPr>
          <w:rFonts w:cs="Calibri"/>
        </w:rPr>
        <w:t xml:space="preserve">15. svibnja 2018. </w:t>
      </w:r>
      <w:r w:rsidR="004976E4">
        <w:rPr>
          <w:rFonts w:cs="Calibri"/>
        </w:rPr>
        <w:t>na snagu je stupila Odluka o novčanoj pomoći za roditelje odgojitelje (Službeni glasnik Grada Zagreba br.</w:t>
      </w:r>
      <w:r>
        <w:rPr>
          <w:rFonts w:cs="Calibri"/>
        </w:rPr>
        <w:t xml:space="preserve"> </w:t>
      </w:r>
      <w:r w:rsidR="004976E4">
        <w:rPr>
          <w:rFonts w:cs="Calibri"/>
        </w:rPr>
        <w:t>10/18).</w:t>
      </w:r>
      <w:r>
        <w:rPr>
          <w:rFonts w:cs="Calibri"/>
        </w:rPr>
        <w:t xml:space="preserve"> </w:t>
      </w:r>
      <w:r w:rsidRPr="00B85961">
        <w:rPr>
          <w:rFonts w:cs="Calibri"/>
        </w:rPr>
        <w:t>U kolovozu 2021. godine obustavljeno je zaprimanje novih zahtjeva za ostvarivanje novčane pomoći za roditelja odgojitelja s 5. 9. 2021., a posljednje izmjene izglasane su u prosincu 2021. godine (Službeni glasnik Grada Zagreba br. 29/21)</w:t>
      </w:r>
      <w:r>
        <w:rPr>
          <w:rFonts w:cs="Calibri"/>
        </w:rPr>
        <w:t xml:space="preserve">. </w:t>
      </w:r>
      <w:r w:rsidR="004976E4" w:rsidRPr="0000559C">
        <w:rPr>
          <w:rFonts w:cstheme="minorHAnsi"/>
          <w:shd w:val="clear" w:color="auto" w:fill="FFFFFF"/>
        </w:rPr>
        <w:t>. Novčana pomoć se isplaćuje mjesečno, a iznosi 65% prosječne bruto plaće djelatnika u gospodarstvu Grada Zagreba za razdoblje I.</w:t>
      </w:r>
      <w:r>
        <w:rPr>
          <w:rFonts w:cstheme="minorHAnsi"/>
          <w:shd w:val="clear" w:color="auto" w:fill="FFFFFF"/>
        </w:rPr>
        <w:t xml:space="preserve"> </w:t>
      </w:r>
      <w:r w:rsidR="004976E4" w:rsidRPr="0000559C">
        <w:rPr>
          <w:rFonts w:cstheme="minorHAnsi"/>
          <w:shd w:val="clear" w:color="auto" w:fill="FFFFFF"/>
        </w:rPr>
        <w:t>-</w:t>
      </w:r>
      <w:r>
        <w:rPr>
          <w:rFonts w:cstheme="minorHAnsi"/>
          <w:shd w:val="clear" w:color="auto" w:fill="FFFFFF"/>
        </w:rPr>
        <w:t xml:space="preserve"> </w:t>
      </w:r>
      <w:r w:rsidR="004976E4" w:rsidRPr="0000559C">
        <w:rPr>
          <w:rFonts w:cstheme="minorHAnsi"/>
          <w:shd w:val="clear" w:color="auto" w:fill="FFFFFF"/>
        </w:rPr>
        <w:t>VIII. mjesec prethodne godine</w:t>
      </w:r>
      <w:r w:rsidR="0023272C">
        <w:rPr>
          <w:rFonts w:cstheme="minorHAnsi"/>
          <w:shd w:val="clear" w:color="auto" w:fill="FFFFFF"/>
        </w:rPr>
        <w:t xml:space="preserve"> </w:t>
      </w:r>
      <w:r w:rsidR="0023272C" w:rsidRPr="0023272C">
        <w:t xml:space="preserve"> </w:t>
      </w:r>
      <w:r w:rsidR="0023272C" w:rsidRPr="0023272C">
        <w:rPr>
          <w:rFonts w:cstheme="minorHAnsi"/>
          <w:shd w:val="clear" w:color="auto" w:fill="FFFFFF"/>
        </w:rPr>
        <w:t xml:space="preserve">do 30. 4.  2022. godine, a od 1. 5. 2022. godine iznosi 1.000,00 kn neto ukoliko dijete, za koje je ostvarena novčana pomoć, nije starije od 7 godina. Novčana pomoć prestaje posljednjeg dana u mjesecu u kojem je dijete za koje je ostvarena novčana pomoć navršilo 7 godina. </w:t>
      </w:r>
    </w:p>
    <w:p w14:paraId="2EB6CBB9" w14:textId="77777777" w:rsidR="004976E4" w:rsidRDefault="004976E4" w:rsidP="004976E4">
      <w:pPr>
        <w:spacing w:after="0" w:line="240" w:lineRule="auto"/>
        <w:jc w:val="both"/>
        <w:rPr>
          <w:rFonts w:cs="Calibri"/>
        </w:rPr>
      </w:pPr>
    </w:p>
    <w:p w14:paraId="35B254AB" w14:textId="19D60681" w:rsidR="004976E4" w:rsidRDefault="0023272C" w:rsidP="004976E4">
      <w:pPr>
        <w:spacing w:line="240" w:lineRule="auto"/>
        <w:ind w:left="-3"/>
        <w:jc w:val="both"/>
      </w:pPr>
      <w:r w:rsidRPr="0023272C">
        <w:t>U</w:t>
      </w:r>
      <w:r>
        <w:t xml:space="preserve"> </w:t>
      </w:r>
      <w:r w:rsidR="004976E4">
        <w:t xml:space="preserve">prosincu 2018. bilježi se osjetno smanjenje korištenja većine prava iz sustava socijalne skrbi temeljem Zakona o socijalnoj skrbi na području  Grada Zagreba. Porast je zamjetan pri ostvarivanju prava na  korištenje naknada za osobne potrebe korisnika smještaja (+13.63%), a sukladno tome i na usluge boravka (+45.77%),  smještaja u dom socijalne skrbi za djecu i odrasle osobe (+33.12%) te organiziranog stanovanja (+146.67%). Zamjetan je također porast broja korisnika osobne invalidnine (+7.85%) te doplatka za pomoć i njegu (+3.18%). </w:t>
      </w:r>
    </w:p>
    <w:p w14:paraId="15670382" w14:textId="1D696065" w:rsidR="004976E4" w:rsidRDefault="0023272C" w:rsidP="004976E4">
      <w:pPr>
        <w:spacing w:line="240" w:lineRule="auto"/>
        <w:ind w:left="-3"/>
        <w:jc w:val="both"/>
      </w:pPr>
      <w:r w:rsidRPr="0023272C">
        <w:t xml:space="preserve">Udio </w:t>
      </w:r>
      <w:r w:rsidR="004976E4">
        <w:t xml:space="preserve">nezaposlenih radno sposobnih osoba, korisnika zajamčene minimalne naknade bio je 2017. godine nešto veći u Zagrebu, nego na razini države gdje te godine iznosi 48,1%. Najveći broj korisnika zajamčene minimalne naknade i jednokratne naknade bio je zabilježen u područnim uredima Peščenica, Dubrava i Susedgrad. U odnosu na prosinac 2017., u istom razdoblju 2018. godine broj korisnika zajamčene minimalne naknade manji je za 1.931 osobu (-16.9%), a prati ga i pad ukupno isplaćenih naknada od približno 13%. </w:t>
      </w:r>
    </w:p>
    <w:p w14:paraId="2BFE4E78" w14:textId="77777777" w:rsidR="004976E4" w:rsidRDefault="004976E4" w:rsidP="004976E4">
      <w:pPr>
        <w:spacing w:line="240" w:lineRule="auto"/>
        <w:ind w:left="-3"/>
        <w:jc w:val="both"/>
      </w:pPr>
      <w:r>
        <w:t xml:space="preserve">Trend pada korištenja prava socijalne skrbi u 2018. zamjetan je i u slučaju prava financiranih iz proračuna Grada Zagreba. U obje analizirane godine najučestalije je korišteno pravo na besplatnu mjesečnu/godišnju pokaznu kartu, s tim da je broj korisnika u 2018. god. manji za 8.777 u odnosu na prethodnu godinu.  Smanjenje korištenja toga prava je očekivano s obzirom na podatke koje govore o smanjenju evidentirane nezaposlenosti u Gradu tijekom navedenog razdoblja. Značajniji porast zamjetan je tek u kategoriji novčane pomoć korisnicima doplatka za pomoć i njegu i korisnicima osobne invalidnine (+7.36%). </w:t>
      </w:r>
    </w:p>
    <w:p w14:paraId="56152CEE" w14:textId="77777777" w:rsidR="004976E4" w:rsidRPr="000E7EE2" w:rsidRDefault="004976E4" w:rsidP="004976E4">
      <w:pPr>
        <w:spacing w:line="240" w:lineRule="auto"/>
        <w:ind w:left="-3"/>
        <w:jc w:val="both"/>
      </w:pPr>
      <w:r w:rsidRPr="000E7EE2">
        <w:t>Trend pada korištenja prava socijalne skrbi financiranih iz proračuna Grada Zagreba nastavlja se i u 2020. godini. Uslijed pada broja korisnika zajamčene minimalne naknade dolazi i do pada broja korisnika iz sustava socijalne skrbi Grada Zagreba. Također povećanjem mirovina na godišnjoj razini, a koje se događa do dva puta godišnje zbog usklađivanja mirovina, također dolazi do pada broja korisnika novčane pomoći umirovljenicima., kao i prava na besplatnu godišnju pokaznu kartu ZET-a. Povećanje broja korisnika na mjeri novčana pomoć korisnicima doplatka za pomoć i njegu i korisnicima osobne invalidnine u kontinuiranom je rastu te u odnosu na 2019. godinu u 2020. zabilježen je rast broja korisnika od 10 %.</w:t>
      </w:r>
    </w:p>
    <w:p w14:paraId="0569906A" w14:textId="77777777" w:rsidR="004976E4" w:rsidRDefault="004976E4" w:rsidP="004976E4">
      <w:pPr>
        <w:spacing w:line="240" w:lineRule="auto"/>
        <w:jc w:val="both"/>
        <w:rPr>
          <w:rFonts w:cs="Calibri"/>
        </w:rPr>
      </w:pPr>
      <w:r>
        <w:rPr>
          <w:rFonts w:cs="Calibri"/>
        </w:rPr>
        <w:t xml:space="preserve">Grad Zagreb je, prepoznavši važnost  organizacija civilnog društva kao kvalitetnih partnera koji svojim djelovanjem značajno djeluju na području grada i nadopunjuju aktivnosti djelovanja državnih institucija, kroz godine uspostavio s njima  izvrsnu suradnju i partnerski odnos. Iz područja socijalne zaštite i osoba s invaliditetom, Grad Zagreb  kontinuirano surađuje s organizacijama civilnog društva na nekoliko načina: a) sufinanciranjem programa, projekata i aktivnosti organizacija civilnog društva putem javnih natječaja i javnih poziva, b) kroz partnerstva na projektima koji se sufinanciraju iz programa i fondova Europske unije i/ili nacionalnih izvora sredstava. </w:t>
      </w:r>
    </w:p>
    <w:p w14:paraId="3DD5DFD7" w14:textId="77777777" w:rsidR="004976E4" w:rsidRDefault="004976E4" w:rsidP="004976E4">
      <w:pPr>
        <w:spacing w:line="240" w:lineRule="auto"/>
        <w:jc w:val="both"/>
        <w:rPr>
          <w:rFonts w:cs="Calibri"/>
        </w:rPr>
      </w:pPr>
      <w:r>
        <w:rPr>
          <w:rFonts w:cs="Calibri"/>
        </w:rPr>
        <w:t>Tako je  tijekom 2020. godine, udrugama koje usmjeruju svoje aktivnosti  vezano uz područje socijalne zaštite, ukupno  putem javnog natječaja i javnih poziva dodijeljeno  12.464.894,35 kn  te je sklopljeno 358 ugovora.</w:t>
      </w:r>
    </w:p>
    <w:p w14:paraId="50F910D3" w14:textId="77777777" w:rsidR="004976E4" w:rsidRPr="00D30BB4" w:rsidRDefault="004976E4" w:rsidP="004976E4">
      <w:pPr>
        <w:spacing w:line="240" w:lineRule="auto"/>
        <w:jc w:val="both"/>
        <w:rPr>
          <w:rFonts w:cs="Calibri"/>
        </w:rPr>
      </w:pPr>
      <w:r w:rsidRPr="00D30BB4">
        <w:rPr>
          <w:rFonts w:cs="Calibri"/>
        </w:rPr>
        <w:t xml:space="preserve"> Grad Zagreb osigurava privremeni smještaj beskućnika u suradnji sa Gradskim društvom Crvenog križa i Caritasom Zagrebačke nadbiskupije. Sredstva za financiranje usluge privremenog smještaja osiguravaju se u proračunu Grada Zagreba na temelju Programa financiranja udruga iz područja pružanja socijalnih usluga. Unatoč osiguranim kapacitetima, uslijed krize izazvane pandemijom COVID – 19, uočeni su nedostaci u pogledu socijalne usluge privremenog smještaja koji se odnosi na dnevni boravak za beskućnike i prenoćište. Nadalje, u Gradu Zagrebu ne postoje osigurani kapaciteti za krizni smještaj obitelji sa djecom u slučaju prirodnih nepogoda, potresa, požara i sl.  </w:t>
      </w:r>
    </w:p>
    <w:p w14:paraId="7E0740B2" w14:textId="77777777" w:rsidR="004976E4" w:rsidRDefault="004976E4" w:rsidP="004976E4">
      <w:pPr>
        <w:spacing w:line="240" w:lineRule="auto"/>
        <w:jc w:val="both"/>
        <w:rPr>
          <w:rFonts w:cs="Calibri"/>
        </w:rPr>
      </w:pPr>
      <w:r>
        <w:rPr>
          <w:rFonts w:cs="Calibri"/>
          <w:b/>
          <w:bCs/>
        </w:rPr>
        <w:t xml:space="preserve">Instrumenti Europske unije i nacionalni instrumenti financiranja. </w:t>
      </w:r>
      <w:r>
        <w:rPr>
          <w:rFonts w:cs="Calibri"/>
        </w:rPr>
        <w:t xml:space="preserve">Grad Zagreb aktivno prati mogućnost financiranja i iz EU fondova za sve projekte koji doprinose razvojnim ciljevima </w:t>
      </w:r>
      <w:r>
        <w:t>definiranim u strateškim dokumentima Grada Zagreba te unaprjeđivanju kvalitete života građana</w:t>
      </w:r>
      <w:r>
        <w:rPr>
          <w:rFonts w:cs="Calibri"/>
        </w:rPr>
        <w:t>. Sredstva se osiguravaju i putem partnerstva/projekata s udrugama civilnog društva te se pruža potpora udrugama u  financiranju  vlastitih projekata iz EU fondova.</w:t>
      </w:r>
    </w:p>
    <w:p w14:paraId="7749E8E4" w14:textId="77777777" w:rsidR="004976E4" w:rsidRDefault="004976E4" w:rsidP="004976E4">
      <w:pPr>
        <w:spacing w:line="240" w:lineRule="auto"/>
        <w:jc w:val="both"/>
        <w:rPr>
          <w:rFonts w:cs="Calibri"/>
        </w:rPr>
      </w:pPr>
      <w:r>
        <w:rPr>
          <w:rFonts w:cs="Calibri"/>
        </w:rPr>
        <w:t>Posebno se usmjeravaju aktivnosti prema partnerskim projektima kojima se teže zapošljive skupine osnažuje za povratak na tržište rada, a koristeći pritom sredstva Europske unije.</w:t>
      </w:r>
    </w:p>
    <w:p w14:paraId="69787952" w14:textId="77777777" w:rsidR="004976E4" w:rsidRDefault="004976E4" w:rsidP="004976E4">
      <w:pPr>
        <w:spacing w:line="240" w:lineRule="auto"/>
        <w:jc w:val="both"/>
        <w:rPr>
          <w:rFonts w:cs="Calibri"/>
        </w:rPr>
      </w:pPr>
      <w:r>
        <w:rPr>
          <w:rFonts w:cs="Calibri"/>
        </w:rPr>
        <w:t xml:space="preserve">Grad Zagreb je kao nositelj u partnerstvu sa organizacijama civilnog društva u razdoblju od 2016. do 2019. proveo dva značajna projekta financirana sredstvima Europskog socijalnog fonda u ukupnom iznosu od oko 2.200.000,00 kuna: projekt „ReStart – podrška beskućnicima za ulazak na tržište rada“ te „Mreža za mlade – za socijalno uključivanje“. </w:t>
      </w:r>
      <w:r w:rsidRPr="005D7B5E">
        <w:t>Kao nastavak navedenih projekata, Grad Zagreb je prijavio i trenutno provodi projekte „Centar za integraciju“ i „Mreža za mlade za socijalno uključivanje“ u ukupnom iznosu od oko 3.000.000,00 kuna. Projekti se sufinanciraju u okviru Operativnog programa „Učinkoviti ljudski potencijali 2014.- 2020.“ u sklopu Europskog socijalnog fonda.</w:t>
      </w:r>
      <w:r>
        <w:t xml:space="preserve"> </w:t>
      </w:r>
      <w:r>
        <w:rPr>
          <w:rFonts w:cs="Calibri"/>
        </w:rPr>
        <w:t xml:space="preserve">  </w:t>
      </w:r>
    </w:p>
    <w:p w14:paraId="4DD340CA" w14:textId="77777777" w:rsidR="004976E4" w:rsidRDefault="004976E4" w:rsidP="004976E4">
      <w:pPr>
        <w:spacing w:line="240" w:lineRule="auto"/>
        <w:jc w:val="both"/>
        <w:rPr>
          <w:rFonts w:cs="Calibri"/>
        </w:rPr>
      </w:pPr>
      <w:r>
        <w:rPr>
          <w:rFonts w:cs="Calibri"/>
        </w:rPr>
        <w:t xml:space="preserve">Također, Grad Zagreb trenutno provodi </w:t>
      </w:r>
      <w:r w:rsidRPr="005C301D">
        <w:rPr>
          <w:rFonts w:cs="Calibri"/>
        </w:rPr>
        <w:t>dva projekta</w:t>
      </w:r>
      <w:r>
        <w:rPr>
          <w:rFonts w:cs="Calibri"/>
        </w:rPr>
        <w:t xml:space="preserve"> s ciljem povećanja kvalitete života osoba s invaliditetom u ukupnom iznosu od </w:t>
      </w:r>
      <w:r>
        <w:rPr>
          <w:lang w:val="bs-Latn-BA"/>
        </w:rPr>
        <w:t xml:space="preserve">2.157.612,50 </w:t>
      </w:r>
      <w:r>
        <w:rPr>
          <w:rFonts w:cs="Calibri"/>
        </w:rPr>
        <w:t>kn</w:t>
      </w:r>
      <w:r w:rsidRPr="005C301D">
        <w:rPr>
          <w:rFonts w:cs="Calibri"/>
        </w:rPr>
        <w:t xml:space="preserve">: znanstveno-istraživački projekt „Transport innovation for vulnerable to exclusion people needs satisfaction“ </w:t>
      </w:r>
      <w:r>
        <w:rPr>
          <w:rFonts w:cs="Calibri"/>
        </w:rPr>
        <w:t>koji se financira iz Obzor2020 programa te „</w:t>
      </w:r>
      <w:r w:rsidRPr="005C301D">
        <w:rPr>
          <w:rFonts w:cs="Calibri"/>
        </w:rPr>
        <w:t>Novi Jelkovec – mjesto neovisnog življenja</w:t>
      </w:r>
      <w:r>
        <w:rPr>
          <w:rFonts w:cs="Calibri"/>
        </w:rPr>
        <w:t>“ koji se financira iz Europskog socijalnog fonda.</w:t>
      </w:r>
    </w:p>
    <w:tbl>
      <w:tblPr>
        <w:tblW w:w="0" w:type="auto"/>
        <w:tblLook w:val="00A0" w:firstRow="1" w:lastRow="0" w:firstColumn="1" w:lastColumn="0" w:noHBand="0" w:noVBand="0"/>
      </w:tblPr>
      <w:tblGrid>
        <w:gridCol w:w="4532"/>
        <w:gridCol w:w="4540"/>
      </w:tblGrid>
      <w:tr w:rsidR="004976E4" w14:paraId="07056B6E" w14:textId="77777777" w:rsidTr="00F50578">
        <w:tc>
          <w:tcPr>
            <w:tcW w:w="4532" w:type="dxa"/>
            <w:shd w:val="clear" w:color="auto" w:fill="D9D9D9"/>
            <w:hideMark/>
          </w:tcPr>
          <w:p w14:paraId="3C6964D8" w14:textId="77777777" w:rsidR="004976E4" w:rsidRDefault="004976E4" w:rsidP="00F50578">
            <w:pPr>
              <w:pStyle w:val="StandardWeb"/>
              <w:spacing w:before="60" w:beforeAutospacing="0" w:after="0" w:afterAutospacing="0" w:line="360" w:lineRule="auto"/>
              <w:rPr>
                <w:rFonts w:ascii="Calibri" w:hAnsi="Calibri" w:cs="Calibri"/>
                <w:b/>
                <w:sz w:val="18"/>
                <w:szCs w:val="18"/>
              </w:rPr>
            </w:pPr>
            <w:r>
              <w:rPr>
                <w:rFonts w:ascii="Calibri" w:hAnsi="Calibri" w:cs="Calibri"/>
                <w:b/>
                <w:sz w:val="18"/>
                <w:szCs w:val="18"/>
              </w:rPr>
              <w:t>RAZVOJNI PROBLEMI</w:t>
            </w:r>
          </w:p>
        </w:tc>
        <w:tc>
          <w:tcPr>
            <w:tcW w:w="4540" w:type="dxa"/>
            <w:shd w:val="clear" w:color="auto" w:fill="99CCFF"/>
            <w:hideMark/>
          </w:tcPr>
          <w:p w14:paraId="324E75AE" w14:textId="77777777" w:rsidR="004976E4" w:rsidRDefault="004976E4" w:rsidP="00F50578">
            <w:pPr>
              <w:pStyle w:val="StandardWeb"/>
              <w:spacing w:before="60" w:beforeAutospacing="0" w:after="0" w:afterAutospacing="0" w:line="360" w:lineRule="auto"/>
              <w:rPr>
                <w:rFonts w:ascii="Calibri" w:hAnsi="Calibri" w:cs="Calibri"/>
                <w:b/>
                <w:sz w:val="18"/>
                <w:szCs w:val="18"/>
              </w:rPr>
            </w:pPr>
            <w:r>
              <w:rPr>
                <w:rFonts w:ascii="Calibri" w:hAnsi="Calibri" w:cs="Calibri"/>
                <w:b/>
                <w:sz w:val="18"/>
                <w:szCs w:val="18"/>
              </w:rPr>
              <w:t>RAZVOJNE POTREBE</w:t>
            </w:r>
          </w:p>
        </w:tc>
      </w:tr>
      <w:tr w:rsidR="004976E4" w14:paraId="2BFDE24D" w14:textId="77777777" w:rsidTr="00F50578">
        <w:tc>
          <w:tcPr>
            <w:tcW w:w="4532" w:type="dxa"/>
            <w:shd w:val="clear" w:color="auto" w:fill="D9D9D9"/>
          </w:tcPr>
          <w:p w14:paraId="75F71EEB" w14:textId="26A6A138" w:rsidR="004976E4"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orast broja korisnika uslijed</w:t>
            </w:r>
            <w:r w:rsidR="004976E4">
              <w:rPr>
                <w:rFonts w:cs="Calibri"/>
                <w:sz w:val="18"/>
                <w:szCs w:val="18"/>
              </w:rPr>
              <w:t xml:space="preserve"> nove </w:t>
            </w:r>
            <w:r w:rsidR="004976E4">
              <w:rPr>
                <w:rFonts w:ascii="Calibri" w:hAnsi="Calibri" w:cs="Calibri"/>
                <w:sz w:val="18"/>
                <w:szCs w:val="18"/>
              </w:rPr>
              <w:t xml:space="preserve"> gospodarske krize</w:t>
            </w:r>
          </w:p>
          <w:p w14:paraId="246A13E9" w14:textId="13F05FED" w:rsidR="004976E4"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z</w:t>
            </w:r>
            <w:r w:rsidR="004976E4">
              <w:rPr>
                <w:rFonts w:ascii="Calibri" w:hAnsi="Calibri" w:cs="Calibri"/>
                <w:sz w:val="18"/>
                <w:szCs w:val="18"/>
              </w:rPr>
              <w:t>načajan broj stanovnika u riziku od siromaštva je izvan sustava socijalne skrbi</w:t>
            </w:r>
          </w:p>
          <w:p w14:paraId="148A92E9" w14:textId="2138BBE4" w:rsidR="004976E4"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d</w:t>
            </w:r>
            <w:r w:rsidR="004976E4">
              <w:rPr>
                <w:rFonts w:ascii="Calibri" w:hAnsi="Calibri" w:cs="Calibri"/>
                <w:sz w:val="18"/>
                <w:szCs w:val="18"/>
              </w:rPr>
              <w:t xml:space="preserve">ugotrajni korisnici novčane pomoći su pretežno nezaposlene radno sposobne osobe </w:t>
            </w:r>
          </w:p>
          <w:p w14:paraId="2332B024" w14:textId="6C67FE1C" w:rsidR="004976E4"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edovoljan broj smještajnih kapaciteta za funkcionalno ovisne starije osobe oboljele od Alzheimerove i drugih demencija</w:t>
            </w:r>
          </w:p>
          <w:p w14:paraId="6A9C1118" w14:textId="6174A955" w:rsidR="004976E4" w:rsidRPr="00126CA5"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 xml:space="preserve">edovoljan broj </w:t>
            </w:r>
            <w:r w:rsidR="004976E4">
              <w:rPr>
                <w:rFonts w:cs="Calibri"/>
                <w:sz w:val="18"/>
                <w:szCs w:val="18"/>
              </w:rPr>
              <w:t xml:space="preserve">smještajnih kapaciteta za starije osobe </w:t>
            </w:r>
          </w:p>
          <w:p w14:paraId="0048B285" w14:textId="7C325238" w:rsidR="004976E4"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v</w:t>
            </w:r>
            <w:r w:rsidR="004976E4">
              <w:rPr>
                <w:rFonts w:ascii="Calibri" w:hAnsi="Calibri" w:cs="Calibri"/>
                <w:sz w:val="18"/>
                <w:szCs w:val="18"/>
              </w:rPr>
              <w:t>isoka cijena za smještaj starijih osoba u privatnim ustanovama koja nadmašuje visinu mirovina korisnika</w:t>
            </w:r>
          </w:p>
          <w:p w14:paraId="7FF541E6" w14:textId="764D084B" w:rsidR="004976E4"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edovoljna koordinacija različitih nositelja sustava socijalne skrbi na državnoj, regionalnoj i lokalnoj razini</w:t>
            </w:r>
          </w:p>
          <w:p w14:paraId="7EEE0D7D" w14:textId="44C52574" w:rsidR="004976E4"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edovoljan broj izvaninstitucijskih oblika smještaja (stambene zajednice) za mlade koji izlaze iz alternativnih oblika skrbi</w:t>
            </w:r>
          </w:p>
          <w:p w14:paraId="0D886315" w14:textId="184D07E2" w:rsidR="004976E4" w:rsidRPr="00684A78" w:rsidRDefault="00F62635"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edovoljan broj izvaninstitucijskih oblika smještaja (stambene zajednice) za beskućnike</w:t>
            </w:r>
          </w:p>
          <w:p w14:paraId="444DDB0B" w14:textId="77777777" w:rsidR="004976E4" w:rsidRDefault="004976E4" w:rsidP="00F50578">
            <w:pPr>
              <w:pStyle w:val="StandardWeb"/>
              <w:spacing w:before="60" w:beforeAutospacing="0" w:after="60" w:afterAutospacing="0"/>
              <w:ind w:left="284" w:right="-2"/>
              <w:rPr>
                <w:rFonts w:ascii="Calibri" w:hAnsi="Calibri" w:cs="Calibri"/>
                <w:sz w:val="18"/>
                <w:szCs w:val="18"/>
              </w:rPr>
            </w:pPr>
          </w:p>
        </w:tc>
        <w:tc>
          <w:tcPr>
            <w:tcW w:w="4540" w:type="dxa"/>
            <w:shd w:val="clear" w:color="auto" w:fill="99CCFF"/>
            <w:hideMark/>
          </w:tcPr>
          <w:p w14:paraId="79D91A98" w14:textId="11A66EA5" w:rsidR="004976E4" w:rsidRPr="008A09E2"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d</w:t>
            </w:r>
            <w:r w:rsidR="004976E4" w:rsidRPr="008A09E2">
              <w:rPr>
                <w:rFonts w:asciiTheme="minorHAnsi" w:hAnsiTheme="minorHAnsi" w:cstheme="minorHAnsi"/>
                <w:sz w:val="18"/>
                <w:szCs w:val="18"/>
              </w:rPr>
              <w:t xml:space="preserve">ecentralizirati, reformirati i informatički umrežiti sustav socijalne skrbi </w:t>
            </w:r>
          </w:p>
          <w:p w14:paraId="18DE451D" w14:textId="65DDB477" w:rsidR="004976E4" w:rsidRPr="008A09E2"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i</w:t>
            </w:r>
            <w:r w:rsidR="004976E4" w:rsidRPr="008A09E2">
              <w:rPr>
                <w:rFonts w:asciiTheme="minorHAnsi" w:hAnsiTheme="minorHAnsi" w:cstheme="minorHAnsi"/>
                <w:sz w:val="18"/>
                <w:szCs w:val="18"/>
              </w:rPr>
              <w:t>nformatički umrežiti sustave socijalne skrbi na državnoj razini i regionalnoj odnosno lokalnoj razini</w:t>
            </w:r>
          </w:p>
          <w:p w14:paraId="220E21CF" w14:textId="7DC2AA8B" w:rsidR="004976E4" w:rsidRPr="008A09E2"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8A09E2">
              <w:rPr>
                <w:rFonts w:asciiTheme="minorHAnsi" w:hAnsiTheme="minorHAnsi" w:cstheme="minorHAnsi"/>
                <w:sz w:val="18"/>
                <w:szCs w:val="18"/>
              </w:rPr>
              <w:t>sigurati dovoljan broj adekvatnog stručnog kadra za rad u ustanovama socijalne skrbi</w:t>
            </w:r>
          </w:p>
          <w:p w14:paraId="1333C57D" w14:textId="48DB5069" w:rsidR="004976E4" w:rsidRPr="00126CA5" w:rsidRDefault="00AF3FF6"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e</w:t>
            </w:r>
            <w:r w:rsidR="004976E4">
              <w:rPr>
                <w:rFonts w:ascii="Calibri" w:hAnsi="Calibri" w:cs="Calibri"/>
                <w:sz w:val="18"/>
                <w:szCs w:val="18"/>
              </w:rPr>
              <w:t xml:space="preserve">ducirati i informirati stručnjake iz područja socijalne skrbi o socijalnom planiranju </w:t>
            </w:r>
          </w:p>
          <w:p w14:paraId="442C043B" w14:textId="0078EBC9" w:rsidR="004976E4" w:rsidRDefault="00AF3FF6"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s</w:t>
            </w:r>
            <w:r w:rsidR="004976E4">
              <w:rPr>
                <w:rFonts w:ascii="Calibri" w:hAnsi="Calibri" w:cs="Calibri"/>
                <w:sz w:val="18"/>
                <w:szCs w:val="18"/>
              </w:rPr>
              <w:t>ustavno pratiti i ocjenjivati mjere socijalne skrbi</w:t>
            </w:r>
          </w:p>
          <w:p w14:paraId="67AB31A2" w14:textId="4C07E0CE" w:rsidR="004976E4" w:rsidRDefault="00AF3FF6"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j</w:t>
            </w:r>
            <w:r w:rsidR="004976E4">
              <w:rPr>
                <w:rFonts w:ascii="Calibri" w:hAnsi="Calibri" w:cs="Calibri"/>
                <w:sz w:val="18"/>
                <w:szCs w:val="18"/>
              </w:rPr>
              <w:t>ačati standarde socijalnih usluga prema korisnicima</w:t>
            </w:r>
          </w:p>
          <w:p w14:paraId="2D9C0AC4" w14:textId="19353E8A" w:rsidR="004976E4" w:rsidRPr="006D7939" w:rsidRDefault="00AF3FF6"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i</w:t>
            </w:r>
            <w:r w:rsidR="004976E4">
              <w:rPr>
                <w:rFonts w:ascii="Calibri" w:hAnsi="Calibri" w:cs="Calibri"/>
                <w:sz w:val="18"/>
                <w:szCs w:val="18"/>
              </w:rPr>
              <w:t>nformirati građane, poglavito osjetljive skupine o pravima i uslugama koje su im na raspolaganju u gradu</w:t>
            </w:r>
          </w:p>
          <w:p w14:paraId="5655BECB" w14:textId="49F87268" w:rsidR="004976E4" w:rsidRDefault="00AF3FF6"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a</w:t>
            </w:r>
            <w:r w:rsidR="004976E4">
              <w:rPr>
                <w:rFonts w:ascii="Calibri" w:hAnsi="Calibri" w:cs="Calibri"/>
                <w:sz w:val="18"/>
                <w:szCs w:val="18"/>
              </w:rPr>
              <w:t>nalizirati karakteristike primatelja novčane pomoći (poglavito onih dugotrajnih, radno sposobnih) te predložiti mjere koje bi doprinijele njihovom osamostaljivanju i izlasku iz sustava</w:t>
            </w:r>
          </w:p>
          <w:p w14:paraId="3285576D" w14:textId="3D0BA4F7" w:rsidR="004976E4" w:rsidRPr="00AA080E"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AA080E">
              <w:rPr>
                <w:rFonts w:asciiTheme="minorHAnsi" w:hAnsiTheme="minorHAnsi" w:cstheme="minorHAnsi"/>
                <w:sz w:val="18"/>
                <w:szCs w:val="18"/>
              </w:rPr>
              <w:t>snaživati organizacije civilnog društva u svrhu jačanja mreže socijalnih usluga</w:t>
            </w:r>
          </w:p>
          <w:p w14:paraId="4077B6BB" w14:textId="462BB55D" w:rsidR="004976E4" w:rsidRPr="00AA080E"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AA080E">
              <w:rPr>
                <w:rFonts w:asciiTheme="minorHAnsi" w:hAnsiTheme="minorHAnsi" w:cstheme="minorHAnsi"/>
                <w:sz w:val="18"/>
                <w:szCs w:val="18"/>
              </w:rPr>
              <w:t>sigurati održivost socijalnih usluga koje pružaju organizacije civilnog društva</w:t>
            </w:r>
          </w:p>
          <w:p w14:paraId="4BA9FE5F" w14:textId="57ECAAAD" w:rsidR="004976E4" w:rsidRPr="006D7939" w:rsidRDefault="00AF3FF6"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d</w:t>
            </w:r>
            <w:r w:rsidR="004976E4">
              <w:rPr>
                <w:rFonts w:ascii="Calibri" w:hAnsi="Calibri" w:cs="Calibri"/>
                <w:sz w:val="18"/>
                <w:szCs w:val="18"/>
              </w:rPr>
              <w:t xml:space="preserve">odatno razviti izvaninstitucijske oblike skrbi za mlade koji izlaze iz alternativnih oblika skrbi i za beskućnike </w:t>
            </w:r>
          </w:p>
          <w:p w14:paraId="53906591" w14:textId="5242361E" w:rsidR="004976E4" w:rsidRPr="00AA080E" w:rsidRDefault="00AF3FF6" w:rsidP="00165C16">
            <w:pPr>
              <w:pStyle w:val="StandardWeb"/>
              <w:numPr>
                <w:ilvl w:val="0"/>
                <w:numId w:val="19"/>
              </w:numPr>
              <w:spacing w:before="60" w:beforeAutospacing="0" w:after="60" w:afterAutospacing="0"/>
              <w:ind w:right="-2"/>
              <w:rPr>
                <w:rFonts w:asciiTheme="minorHAnsi" w:hAnsiTheme="minorHAnsi" w:cstheme="minorHAnsi"/>
                <w:strike/>
                <w:sz w:val="18"/>
                <w:szCs w:val="18"/>
              </w:rPr>
            </w:pPr>
            <w:r>
              <w:rPr>
                <w:rFonts w:asciiTheme="minorHAnsi" w:hAnsiTheme="minorHAnsi" w:cstheme="minorHAnsi"/>
                <w:sz w:val="18"/>
                <w:szCs w:val="18"/>
              </w:rPr>
              <w:t>d</w:t>
            </w:r>
            <w:r w:rsidR="004976E4" w:rsidRPr="00AA080E">
              <w:rPr>
                <w:rFonts w:asciiTheme="minorHAnsi" w:hAnsiTheme="minorHAnsi" w:cstheme="minorHAnsi"/>
                <w:sz w:val="18"/>
                <w:szCs w:val="18"/>
              </w:rPr>
              <w:t xml:space="preserve">odatno razviti institucijske, a prije svega izvaninstitucijske oblike i usluge na razini lokalne zajednice uz omogućavanje starijim osobama da što duže ostanu  živjeti u vlastitom domu  </w:t>
            </w:r>
          </w:p>
          <w:p w14:paraId="57238EF4" w14:textId="45E1DC83" w:rsidR="00FE11BF" w:rsidRPr="00FE11BF" w:rsidRDefault="00AF3FF6" w:rsidP="00FE11BF">
            <w:pPr>
              <w:pStyle w:val="Odlomakpopisa"/>
              <w:numPr>
                <w:ilvl w:val="0"/>
                <w:numId w:val="19"/>
              </w:numPr>
              <w:jc w:val="both"/>
              <w:rPr>
                <w:rFonts w:cstheme="minorHAnsi"/>
                <w:color w:val="000000" w:themeColor="text1"/>
                <w:sz w:val="18"/>
                <w:szCs w:val="18"/>
              </w:rPr>
            </w:pPr>
            <w:r>
              <w:rPr>
                <w:rFonts w:ascii="Calibri" w:hAnsi="Calibri" w:cs="Calibri"/>
                <w:sz w:val="18"/>
                <w:szCs w:val="18"/>
              </w:rPr>
              <w:t>r</w:t>
            </w:r>
            <w:r w:rsidR="004976E4">
              <w:rPr>
                <w:rFonts w:ascii="Calibri" w:hAnsi="Calibri" w:cs="Calibri"/>
                <w:sz w:val="18"/>
                <w:szCs w:val="18"/>
              </w:rPr>
              <w:t>azvijati sadržaje za starije osobe</w:t>
            </w:r>
            <w:r w:rsidR="00FE11BF">
              <w:rPr>
                <w:rFonts w:cstheme="minorHAnsi"/>
                <w:sz w:val="18"/>
                <w:szCs w:val="18"/>
              </w:rPr>
              <w:t xml:space="preserve"> </w:t>
            </w:r>
          </w:p>
          <w:p w14:paraId="0FF9BE92" w14:textId="0AD0CE6B" w:rsidR="00FE11BF" w:rsidRPr="00FE11BF" w:rsidRDefault="00AF3FF6" w:rsidP="00FE11BF">
            <w:pPr>
              <w:pStyle w:val="Odlomakpopisa"/>
              <w:numPr>
                <w:ilvl w:val="0"/>
                <w:numId w:val="19"/>
              </w:numPr>
              <w:jc w:val="both"/>
              <w:rPr>
                <w:rFonts w:cstheme="minorHAnsi"/>
                <w:color w:val="000000" w:themeColor="text1"/>
                <w:sz w:val="18"/>
                <w:szCs w:val="18"/>
              </w:rPr>
            </w:pPr>
            <w:r>
              <w:rPr>
                <w:rFonts w:cstheme="minorHAnsi"/>
                <w:sz w:val="18"/>
                <w:szCs w:val="18"/>
              </w:rPr>
              <w:t>j</w:t>
            </w:r>
            <w:r w:rsidR="00FE11BF">
              <w:rPr>
                <w:rFonts w:cstheme="minorHAnsi"/>
                <w:sz w:val="18"/>
                <w:szCs w:val="18"/>
              </w:rPr>
              <w:t>ač</w:t>
            </w:r>
            <w:r w:rsidR="00E84A58">
              <w:rPr>
                <w:rFonts w:cstheme="minorHAnsi"/>
                <w:sz w:val="18"/>
                <w:szCs w:val="18"/>
              </w:rPr>
              <w:t>ati</w:t>
            </w:r>
            <w:r w:rsidR="00FE11BF">
              <w:rPr>
                <w:rFonts w:cstheme="minorHAnsi"/>
                <w:sz w:val="18"/>
                <w:szCs w:val="18"/>
              </w:rPr>
              <w:t xml:space="preserve"> suradnj</w:t>
            </w:r>
            <w:r w:rsidR="00E84A58">
              <w:rPr>
                <w:rFonts w:cstheme="minorHAnsi"/>
                <w:sz w:val="18"/>
                <w:szCs w:val="18"/>
              </w:rPr>
              <w:t>u</w:t>
            </w:r>
            <w:r w:rsidR="00FE11BF">
              <w:rPr>
                <w:rFonts w:cstheme="minorHAnsi"/>
                <w:sz w:val="18"/>
                <w:szCs w:val="18"/>
              </w:rPr>
              <w:t xml:space="preserve"> s privatnim ustanovama na području Grada, posebice u onim dijelovima gdje nisu dovoljni javni kapaciteti</w:t>
            </w:r>
          </w:p>
          <w:p w14:paraId="2B566217" w14:textId="77777777" w:rsidR="004976E4" w:rsidRDefault="004976E4" w:rsidP="00F50578">
            <w:pPr>
              <w:pStyle w:val="StandardWeb"/>
              <w:spacing w:before="60" w:beforeAutospacing="0" w:after="60" w:afterAutospacing="0"/>
              <w:ind w:left="284" w:right="-2"/>
              <w:rPr>
                <w:rFonts w:ascii="Calibri" w:hAnsi="Calibri" w:cs="Calibri"/>
                <w:sz w:val="18"/>
                <w:szCs w:val="18"/>
              </w:rPr>
            </w:pPr>
          </w:p>
        </w:tc>
      </w:tr>
    </w:tbl>
    <w:p w14:paraId="7924B8CE" w14:textId="77777777" w:rsidR="00710303" w:rsidRDefault="004976E4" w:rsidP="004976E4">
      <w:pPr>
        <w:spacing w:line="240" w:lineRule="auto"/>
        <w:jc w:val="both"/>
        <w:rPr>
          <w:rFonts w:cs="Calibri"/>
          <w:b/>
        </w:rPr>
      </w:pPr>
      <w:r>
        <w:rPr>
          <w:rFonts w:cs="Calibri"/>
          <w:b/>
        </w:rPr>
        <w:br/>
      </w:r>
    </w:p>
    <w:p w14:paraId="45DF6490" w14:textId="5F87D5DF" w:rsidR="004976E4" w:rsidRDefault="004976E4" w:rsidP="004976E4">
      <w:pPr>
        <w:spacing w:line="240" w:lineRule="auto"/>
        <w:jc w:val="both"/>
        <w:rPr>
          <w:rFonts w:cs="Calibri"/>
        </w:rPr>
      </w:pPr>
      <w:r>
        <w:rPr>
          <w:rFonts w:cs="Calibri"/>
          <w:b/>
        </w:rPr>
        <w:t>Djeca s teškoćama u razvoju i osobe s invaliditetom.</w:t>
      </w:r>
      <w:r>
        <w:rPr>
          <w:rFonts w:cs="Calibri"/>
        </w:rPr>
        <w:t xml:space="preserve">, Grad Zagreb kontinuirano provodi mjere i aktivnosti kojima utječe na svakodnevni život i unapređenje kvalitete života osoba s invaliditetom. Prateći svakodnevne potrebe osoba s invaliditetom u suradnji s njihovim predstavnicima, taj se raspon mjera i aktivnosti stalno proširuje i nadopunjava. </w:t>
      </w:r>
      <w:r>
        <w:rPr>
          <w:rFonts w:cs="Calibri"/>
          <w:b/>
        </w:rPr>
        <w:t xml:space="preserve"> </w:t>
      </w:r>
      <w:r>
        <w:rPr>
          <w:rFonts w:cs="Calibri"/>
        </w:rPr>
        <w:t xml:space="preserve">U Gradu Zagrebu djeluju ustanove koje pružaju uslugu smještaja (privremeni ili dugotrajni) za djecu s teškoćama u razvoju i osobe s invaliditetom, a osnivači su Republika Hrvatska, Grad Zagreb i drugi osnivači – organizacije civilnog društva i privatni osnivači. </w:t>
      </w:r>
      <w:r>
        <w:rPr>
          <w:rFonts w:cs="Calibri"/>
          <w:bCs/>
        </w:rPr>
        <w:t xml:space="preserve">Grad je osnivač ustanova koje pružaju izvaninstitucijsku potporu osobama s invaliditetom, djeci s teškoćama u razvoju i članovima njihovih obitelji, kroz sofisticirane i visokokvalitetne programe i </w:t>
      </w:r>
      <w:r>
        <w:rPr>
          <w:rFonts w:cs="Calibri"/>
        </w:rPr>
        <w:t xml:space="preserve">usluge: Centar za rehabilitaciju Silver, Dnevni centar za rehabilitaciju djece i mladeži „Mali dom-Zagreb“ i Centar za autizam Zagreb. Također, 2017. osnovan je Centar za pružanje usluga u zajednici „Novi Jelkovec“ koji će pružati uslugu smještaja za 25 osoba s najtežim tjelesnim invaliditetom kroz oblik organiziranog stanovanja uz podršku, usluge boravka za 50 osoba te niz socijalnih usluga u zajednici (rana intervencija, pomoć u kući, psihosocijalna podrška, savjetovanje i pomaganje itd.). Udruge osoba s invaliditetom i udruge koje djeluju u korist osoba s invaliditetom, također, pružaju izvaninstitucionalne usluge. </w:t>
      </w:r>
    </w:p>
    <w:p w14:paraId="2621B1D2" w14:textId="52E3398C" w:rsidR="004976E4" w:rsidRDefault="00D211DB" w:rsidP="004976E4">
      <w:pPr>
        <w:spacing w:line="240" w:lineRule="auto"/>
        <w:jc w:val="both"/>
        <w:rPr>
          <w:rFonts w:cs="Calibri"/>
        </w:rPr>
      </w:pPr>
      <w:r w:rsidRPr="00D211DB">
        <w:rPr>
          <w:rFonts w:cs="Calibri"/>
        </w:rPr>
        <w:t xml:space="preserve">Uzimajući </w:t>
      </w:r>
      <w:r w:rsidR="004976E4">
        <w:rPr>
          <w:rFonts w:cs="Calibri"/>
        </w:rPr>
        <w:t xml:space="preserve">u obzir težinu situacije u kojoj se nalaze roditelji djece s teškoćama u razvoju tijekom 2018., Odlukom o novčanoj pomoći za roditelja odgojitelja pravo je prošireno na način da najstarije dijete može biti starije od dvadeset šest godina života ako ima teži invaliditet (III. stupanj) ili teški invaliditet (IV. stupanj). </w:t>
      </w:r>
    </w:p>
    <w:p w14:paraId="75AF8008" w14:textId="58749763" w:rsidR="004976E4" w:rsidRDefault="004976E4" w:rsidP="004976E4">
      <w:pPr>
        <w:spacing w:line="240" w:lineRule="auto"/>
        <w:jc w:val="both"/>
        <w:rPr>
          <w:rFonts w:cs="Calibri"/>
        </w:rPr>
      </w:pPr>
      <w:r>
        <w:rPr>
          <w:rFonts w:cs="Calibri"/>
        </w:rPr>
        <w:t xml:space="preserve">Grad Zagreb </w:t>
      </w:r>
      <w:r w:rsidR="00D211DB">
        <w:rPr>
          <w:rFonts w:cs="Calibri"/>
        </w:rPr>
        <w:t xml:space="preserve">također  osigurava </w:t>
      </w:r>
      <w:r>
        <w:rPr>
          <w:rFonts w:cs="Calibri"/>
        </w:rPr>
        <w:t>novčanu pomoć osobama kojima je priznato pravo na status roditelja njegovatelja ili status njegovatelja. Novčana pomoć priznaje se svakoj osobi kojoj je priznato pravo na status roditelja njegovatelja kada je u obitelji više osoba s ostvarenim pravom statusa roditelja njegovatelja, te roditelju u jednoroditeljskoj obitelji koji ostvaruje status roditelja njegovatelja, neovisno o visini iznosa mjesečnog uzdržavanja koju eventualno ostvaruje temeljem propisa o obiteljskim odnosima.</w:t>
      </w:r>
    </w:p>
    <w:p w14:paraId="68CF9C54" w14:textId="77777777" w:rsidR="004976E4" w:rsidRDefault="004976E4" w:rsidP="004976E4">
      <w:pPr>
        <w:spacing w:line="240" w:lineRule="auto"/>
        <w:jc w:val="both"/>
        <w:rPr>
          <w:rFonts w:cs="Calibri"/>
        </w:rPr>
      </w:pPr>
      <w:r>
        <w:rPr>
          <w:rFonts w:cs="Calibri"/>
          <w:b/>
          <w:bCs/>
        </w:rPr>
        <w:t xml:space="preserve">Državne potpore za zapošljavanje. </w:t>
      </w:r>
      <w:r>
        <w:rPr>
          <w:rFonts w:cs="Calibri"/>
        </w:rPr>
        <w:t>Budući da je zaštitno zapošljavanje značajan oblik zapošljavanja, osobito osoba s težim stupnjem invaliditeta koji teško mogu ostvariti zaposlenje na otvorenom tržištu rada, Grad Zagreb potiče programe zapošljavanja uz potporu u zaštićenim i otvorenim uvjetima rada. U sklopu Programa državne potpore za zapošljavanje osoba s invaliditetom, Grad Zagreb dodjeljuje državne potpore za zapošljavanje osoba s invaliditetom koje mogu ostvariti mali, srednji i veliki poduzetnici koji, registrirani kao zaštitna radionica zapošljavaju najmanje 51% osoba s invaliditetom u odnosu na ukupan broj zaposlenika.</w:t>
      </w:r>
    </w:p>
    <w:tbl>
      <w:tblPr>
        <w:tblW w:w="0" w:type="auto"/>
        <w:tblLook w:val="00A0" w:firstRow="1" w:lastRow="0" w:firstColumn="1" w:lastColumn="0" w:noHBand="0" w:noVBand="0"/>
      </w:tblPr>
      <w:tblGrid>
        <w:gridCol w:w="4530"/>
        <w:gridCol w:w="4542"/>
      </w:tblGrid>
      <w:tr w:rsidR="004976E4" w14:paraId="78C81C53" w14:textId="77777777" w:rsidTr="007773DF">
        <w:tc>
          <w:tcPr>
            <w:tcW w:w="4530" w:type="dxa"/>
            <w:shd w:val="clear" w:color="auto" w:fill="D9D9D9"/>
            <w:hideMark/>
          </w:tcPr>
          <w:p w14:paraId="326CFAF8" w14:textId="77777777" w:rsidR="004976E4" w:rsidRDefault="004976E4" w:rsidP="00F50578">
            <w:pPr>
              <w:pStyle w:val="StandardWeb"/>
              <w:spacing w:before="60" w:beforeAutospacing="0" w:after="0" w:afterAutospacing="0" w:line="360" w:lineRule="auto"/>
              <w:rPr>
                <w:rFonts w:ascii="Calibri" w:hAnsi="Calibri" w:cs="Calibri"/>
                <w:b/>
                <w:sz w:val="18"/>
                <w:szCs w:val="18"/>
              </w:rPr>
            </w:pPr>
            <w:r>
              <w:rPr>
                <w:rFonts w:ascii="Calibri" w:hAnsi="Calibri" w:cs="Calibri"/>
                <w:b/>
                <w:sz w:val="18"/>
                <w:szCs w:val="18"/>
              </w:rPr>
              <w:t>RAZVOJNI PROBLEMI</w:t>
            </w:r>
          </w:p>
        </w:tc>
        <w:tc>
          <w:tcPr>
            <w:tcW w:w="4542" w:type="dxa"/>
            <w:shd w:val="clear" w:color="auto" w:fill="99CCFF"/>
            <w:hideMark/>
          </w:tcPr>
          <w:p w14:paraId="19E4C78D" w14:textId="77777777" w:rsidR="004976E4" w:rsidRDefault="004976E4" w:rsidP="00F50578">
            <w:pPr>
              <w:pStyle w:val="StandardWeb"/>
              <w:spacing w:before="60" w:beforeAutospacing="0" w:after="0" w:afterAutospacing="0" w:line="360" w:lineRule="auto"/>
              <w:rPr>
                <w:rFonts w:ascii="Calibri" w:hAnsi="Calibri" w:cs="Calibri"/>
                <w:b/>
                <w:sz w:val="18"/>
                <w:szCs w:val="18"/>
              </w:rPr>
            </w:pPr>
            <w:r>
              <w:rPr>
                <w:rFonts w:ascii="Calibri" w:hAnsi="Calibri" w:cs="Calibri"/>
                <w:b/>
                <w:sz w:val="18"/>
                <w:szCs w:val="18"/>
              </w:rPr>
              <w:t>RAZVOJNE POTREBE</w:t>
            </w:r>
          </w:p>
        </w:tc>
      </w:tr>
      <w:tr w:rsidR="004976E4" w14:paraId="4AE88D0B" w14:textId="77777777" w:rsidTr="007773DF">
        <w:tc>
          <w:tcPr>
            <w:tcW w:w="4530" w:type="dxa"/>
            <w:shd w:val="clear" w:color="auto" w:fill="D9D9D9"/>
          </w:tcPr>
          <w:p w14:paraId="2FF38D85" w14:textId="135CF0C5" w:rsidR="004976E4" w:rsidRDefault="00AF3FF6" w:rsidP="00165C16">
            <w:pPr>
              <w:pStyle w:val="StandardWeb"/>
              <w:numPr>
                <w:ilvl w:val="0"/>
                <w:numId w:val="19"/>
              </w:numPr>
              <w:spacing w:before="60" w:beforeAutospacing="0" w:after="60" w:afterAutospacing="0"/>
              <w:ind w:right="-2"/>
              <w:rPr>
                <w:rFonts w:ascii="Calibri" w:hAnsi="Calibri" w:cs="Calibri"/>
                <w:sz w:val="18"/>
                <w:szCs w:val="18"/>
              </w:rPr>
            </w:pPr>
            <w:r>
              <w:rPr>
                <w:rFonts w:ascii="Calibri" w:hAnsi="Calibri" w:cs="Calibri"/>
                <w:sz w:val="18"/>
                <w:szCs w:val="18"/>
              </w:rPr>
              <w:t>p</w:t>
            </w:r>
            <w:r w:rsidR="004976E4">
              <w:rPr>
                <w:rFonts w:ascii="Calibri" w:hAnsi="Calibri" w:cs="Calibri"/>
                <w:sz w:val="18"/>
                <w:szCs w:val="18"/>
              </w:rPr>
              <w:t>orast broja djece s teškoćama u razvoju i osoba s invaliditetom</w:t>
            </w:r>
          </w:p>
          <w:p w14:paraId="2D88FA6A" w14:textId="21342374" w:rsidR="004976E4" w:rsidRDefault="00AF3FF6" w:rsidP="00165C16">
            <w:pPr>
              <w:pStyle w:val="StandardWeb"/>
              <w:numPr>
                <w:ilvl w:val="0"/>
                <w:numId w:val="19"/>
              </w:numPr>
              <w:spacing w:before="60" w:beforeAutospacing="0" w:after="60" w:afterAutospacing="0"/>
              <w:ind w:right="-2"/>
              <w:jc w:val="both"/>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edovoljan broj alternativnih usluga u zajednici (usluga rane intervencije, specijaliziranih udomiteljskih obitelji..)</w:t>
            </w:r>
          </w:p>
          <w:p w14:paraId="7AFB78D7" w14:textId="1935D83A" w:rsidR="004976E4" w:rsidRDefault="00AF3FF6" w:rsidP="00165C16">
            <w:pPr>
              <w:pStyle w:val="StandardWeb"/>
              <w:numPr>
                <w:ilvl w:val="0"/>
                <w:numId w:val="19"/>
              </w:numPr>
              <w:spacing w:before="60" w:beforeAutospacing="0" w:after="60" w:afterAutospacing="0"/>
              <w:ind w:right="-2"/>
              <w:jc w:val="both"/>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edovoljan broj smještajnih kapaciteta za osobe s teškim tjelesnim invaliditetom, ovisne o pomoći drugih osoba</w:t>
            </w:r>
          </w:p>
          <w:p w14:paraId="1C57C31F" w14:textId="56158F25" w:rsidR="004976E4" w:rsidRDefault="00AF3FF6" w:rsidP="00165C16">
            <w:pPr>
              <w:pStyle w:val="StandardWeb"/>
              <w:numPr>
                <w:ilvl w:val="0"/>
                <w:numId w:val="19"/>
              </w:numPr>
              <w:spacing w:before="60" w:beforeAutospacing="0" w:after="60" w:afterAutospacing="0"/>
              <w:ind w:right="-2"/>
              <w:jc w:val="both"/>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edovoljna zaposlenost osoba s invaliditetom</w:t>
            </w:r>
          </w:p>
          <w:p w14:paraId="6DE54F34" w14:textId="61CB2B38" w:rsidR="004976E4" w:rsidRDefault="00AF3FF6" w:rsidP="00165C16">
            <w:pPr>
              <w:pStyle w:val="StandardWeb"/>
              <w:numPr>
                <w:ilvl w:val="0"/>
                <w:numId w:val="19"/>
              </w:numPr>
              <w:spacing w:before="60" w:beforeAutospacing="0" w:after="60" w:afterAutospacing="0"/>
              <w:ind w:right="-2"/>
              <w:jc w:val="both"/>
              <w:rPr>
                <w:rFonts w:ascii="Calibri" w:hAnsi="Calibri" w:cs="Calibri"/>
                <w:sz w:val="18"/>
                <w:szCs w:val="18"/>
              </w:rPr>
            </w:pPr>
            <w:r>
              <w:rPr>
                <w:rFonts w:ascii="Calibri" w:hAnsi="Calibri" w:cs="Calibri"/>
                <w:sz w:val="18"/>
                <w:szCs w:val="18"/>
              </w:rPr>
              <w:t>n</w:t>
            </w:r>
            <w:r w:rsidR="004976E4">
              <w:rPr>
                <w:rFonts w:ascii="Calibri" w:hAnsi="Calibri" w:cs="Calibri"/>
                <w:sz w:val="18"/>
                <w:szCs w:val="18"/>
              </w:rPr>
              <w:t>edovoljna koordinacija različitih nositelja sustava socijalne skrbi na državnoj, regionalnoj i lokalnoj razini</w:t>
            </w:r>
          </w:p>
          <w:p w14:paraId="111C8105" w14:textId="76BE94AC" w:rsidR="004976E4" w:rsidRPr="00FD1929" w:rsidRDefault="00AF3FF6" w:rsidP="00165C16">
            <w:pPr>
              <w:pStyle w:val="StandardWeb"/>
              <w:numPr>
                <w:ilvl w:val="0"/>
                <w:numId w:val="19"/>
              </w:numPr>
              <w:spacing w:before="60" w:after="60"/>
              <w:ind w:right="-2"/>
              <w:jc w:val="both"/>
              <w:rPr>
                <w:rFonts w:ascii="Calibri" w:hAnsi="Calibri" w:cs="Calibri"/>
                <w:sz w:val="18"/>
                <w:szCs w:val="18"/>
              </w:rPr>
            </w:pPr>
            <w:r>
              <w:rPr>
                <w:rFonts w:ascii="Calibri" w:hAnsi="Calibri" w:cs="Calibri"/>
                <w:sz w:val="18"/>
                <w:szCs w:val="18"/>
              </w:rPr>
              <w:t>o</w:t>
            </w:r>
            <w:r w:rsidR="004976E4" w:rsidRPr="00FD1929">
              <w:rPr>
                <w:rFonts w:ascii="Calibri" w:hAnsi="Calibri" w:cs="Calibri"/>
                <w:sz w:val="18"/>
                <w:szCs w:val="18"/>
              </w:rPr>
              <w:t>težan pristup osoba s invaliditetom svakodnevnim uslugama uslijed COVID19 epidemiološke situacije</w:t>
            </w:r>
          </w:p>
          <w:p w14:paraId="0D8E4B80" w14:textId="136DA05C" w:rsidR="004976E4" w:rsidRPr="00FD1929" w:rsidRDefault="00AF3FF6" w:rsidP="00165C16">
            <w:pPr>
              <w:pStyle w:val="StandardWeb"/>
              <w:numPr>
                <w:ilvl w:val="0"/>
                <w:numId w:val="19"/>
              </w:numPr>
              <w:spacing w:before="60" w:after="60"/>
              <w:ind w:right="-2"/>
              <w:jc w:val="both"/>
              <w:rPr>
                <w:rFonts w:ascii="Calibri" w:hAnsi="Calibri" w:cs="Calibri"/>
                <w:sz w:val="18"/>
                <w:szCs w:val="18"/>
              </w:rPr>
            </w:pPr>
            <w:r>
              <w:rPr>
                <w:rFonts w:ascii="Calibri" w:hAnsi="Calibri" w:cs="Calibri"/>
                <w:sz w:val="18"/>
                <w:szCs w:val="18"/>
              </w:rPr>
              <w:t>o</w:t>
            </w:r>
            <w:r w:rsidR="004976E4" w:rsidRPr="00FD1929">
              <w:rPr>
                <w:rFonts w:ascii="Calibri" w:hAnsi="Calibri" w:cs="Calibri"/>
                <w:sz w:val="18"/>
                <w:szCs w:val="18"/>
              </w:rPr>
              <w:t>težan pristup osoba s invaliditetom  zdravstvenim, rehabilitacijskim i socijalnim uslugama uslijed COVID19 pandemije</w:t>
            </w:r>
          </w:p>
          <w:p w14:paraId="26F32732" w14:textId="766B270E" w:rsidR="004976E4" w:rsidRPr="00FD1929" w:rsidRDefault="00AF3FF6" w:rsidP="00165C16">
            <w:pPr>
              <w:pStyle w:val="StandardWeb"/>
              <w:numPr>
                <w:ilvl w:val="0"/>
                <w:numId w:val="19"/>
              </w:numPr>
              <w:spacing w:before="60" w:after="60"/>
              <w:ind w:right="-2"/>
              <w:jc w:val="both"/>
              <w:rPr>
                <w:rFonts w:ascii="Calibri" w:hAnsi="Calibri" w:cs="Calibri"/>
                <w:sz w:val="18"/>
                <w:szCs w:val="18"/>
              </w:rPr>
            </w:pPr>
            <w:r>
              <w:rPr>
                <w:rFonts w:ascii="Calibri" w:hAnsi="Calibri" w:cs="Calibri"/>
                <w:sz w:val="18"/>
                <w:szCs w:val="18"/>
              </w:rPr>
              <w:t>p</w:t>
            </w:r>
            <w:r w:rsidR="004976E4" w:rsidRPr="00FD1929">
              <w:rPr>
                <w:rFonts w:ascii="Calibri" w:hAnsi="Calibri" w:cs="Calibri"/>
                <w:sz w:val="18"/>
                <w:szCs w:val="18"/>
              </w:rPr>
              <w:t>ovećan rizik od socijalne isključenosti osoba s invaliditetom</w:t>
            </w:r>
            <w:r w:rsidR="004976E4">
              <w:rPr>
                <w:rFonts w:ascii="Calibri" w:hAnsi="Calibri" w:cs="Calibri"/>
                <w:sz w:val="18"/>
                <w:szCs w:val="18"/>
              </w:rPr>
              <w:t xml:space="preserve"> uslijed COVID19 pandemije</w:t>
            </w:r>
          </w:p>
          <w:p w14:paraId="59337DC2" w14:textId="5B77B70D" w:rsidR="004976E4" w:rsidRPr="00FD1929" w:rsidRDefault="00AF3FF6" w:rsidP="00165C16">
            <w:pPr>
              <w:pStyle w:val="StandardWeb"/>
              <w:numPr>
                <w:ilvl w:val="0"/>
                <w:numId w:val="19"/>
              </w:numPr>
              <w:spacing w:before="60" w:after="60"/>
              <w:ind w:right="-2"/>
              <w:jc w:val="both"/>
              <w:rPr>
                <w:rFonts w:ascii="Calibri" w:hAnsi="Calibri" w:cs="Calibri"/>
                <w:sz w:val="18"/>
                <w:szCs w:val="18"/>
              </w:rPr>
            </w:pPr>
            <w:r>
              <w:rPr>
                <w:rFonts w:ascii="Calibri" w:hAnsi="Calibri" w:cs="Calibri"/>
                <w:sz w:val="18"/>
                <w:szCs w:val="18"/>
              </w:rPr>
              <w:t>n</w:t>
            </w:r>
            <w:r w:rsidR="004976E4" w:rsidRPr="00FD1929">
              <w:rPr>
                <w:rFonts w:ascii="Calibri" w:hAnsi="Calibri" w:cs="Calibri"/>
                <w:sz w:val="18"/>
                <w:szCs w:val="18"/>
              </w:rPr>
              <w:t xml:space="preserve">edostatni smještajni kapaciteti za socijalno ugrožene građane i osobe s invaliditetom </w:t>
            </w:r>
            <w:r w:rsidR="004976E4">
              <w:rPr>
                <w:rFonts w:ascii="Calibri" w:hAnsi="Calibri" w:cs="Calibri"/>
                <w:sz w:val="18"/>
                <w:szCs w:val="18"/>
              </w:rPr>
              <w:t>u kriznim situacijama</w:t>
            </w:r>
          </w:p>
          <w:p w14:paraId="276C5817" w14:textId="616DA83F" w:rsidR="004976E4" w:rsidRPr="00FD1929" w:rsidRDefault="00AF3FF6" w:rsidP="00165C16">
            <w:pPr>
              <w:pStyle w:val="StandardWeb"/>
              <w:numPr>
                <w:ilvl w:val="0"/>
                <w:numId w:val="19"/>
              </w:numPr>
              <w:spacing w:before="60" w:after="60"/>
              <w:ind w:right="-2"/>
              <w:jc w:val="both"/>
              <w:rPr>
                <w:rFonts w:ascii="Calibri" w:hAnsi="Calibri" w:cs="Calibri"/>
                <w:sz w:val="18"/>
                <w:szCs w:val="18"/>
              </w:rPr>
            </w:pPr>
            <w:r>
              <w:rPr>
                <w:rFonts w:ascii="Calibri" w:hAnsi="Calibri" w:cs="Calibri"/>
                <w:sz w:val="18"/>
                <w:szCs w:val="18"/>
              </w:rPr>
              <w:t>n</w:t>
            </w:r>
            <w:r w:rsidR="004976E4" w:rsidRPr="00FD1929">
              <w:rPr>
                <w:rFonts w:ascii="Calibri" w:hAnsi="Calibri" w:cs="Calibri"/>
                <w:sz w:val="18"/>
                <w:szCs w:val="18"/>
              </w:rPr>
              <w:t>edostatak protokola za postupanje osobe s invaliditetom u kriznim i izvanrednim situacijama</w:t>
            </w:r>
            <w:r w:rsidR="004976E4">
              <w:rPr>
                <w:rFonts w:ascii="Calibri" w:hAnsi="Calibri" w:cs="Calibri"/>
                <w:sz w:val="18"/>
                <w:szCs w:val="18"/>
              </w:rPr>
              <w:t xml:space="preserve"> </w:t>
            </w:r>
          </w:p>
          <w:p w14:paraId="027C3151" w14:textId="77777777" w:rsidR="004976E4" w:rsidRDefault="004976E4" w:rsidP="00F50578">
            <w:pPr>
              <w:pStyle w:val="StandardWeb"/>
              <w:spacing w:before="60" w:beforeAutospacing="0" w:after="60" w:afterAutospacing="0"/>
              <w:ind w:left="284" w:right="-2"/>
              <w:rPr>
                <w:rFonts w:ascii="Calibri" w:hAnsi="Calibri" w:cs="Calibri"/>
                <w:sz w:val="18"/>
                <w:szCs w:val="18"/>
              </w:rPr>
            </w:pPr>
          </w:p>
        </w:tc>
        <w:tc>
          <w:tcPr>
            <w:tcW w:w="4542" w:type="dxa"/>
            <w:shd w:val="clear" w:color="auto" w:fill="99CCFF"/>
            <w:hideMark/>
          </w:tcPr>
          <w:p w14:paraId="717CA46C" w14:textId="5A25B46D"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š</w:t>
            </w:r>
            <w:r w:rsidR="004976E4" w:rsidRPr="003A34C4">
              <w:rPr>
                <w:rFonts w:asciiTheme="minorHAnsi" w:hAnsiTheme="minorHAnsi" w:cstheme="minorHAnsi"/>
                <w:sz w:val="18"/>
                <w:szCs w:val="18"/>
              </w:rPr>
              <w:t>iriti mrežu usluga i programa u zajednici</w:t>
            </w:r>
          </w:p>
          <w:p w14:paraId="55BCC5B0" w14:textId="32D125A1"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k</w:t>
            </w:r>
            <w:r w:rsidR="004976E4" w:rsidRPr="003A34C4">
              <w:rPr>
                <w:rFonts w:asciiTheme="minorHAnsi" w:hAnsiTheme="minorHAnsi" w:cstheme="minorHAnsi"/>
                <w:sz w:val="18"/>
                <w:szCs w:val="18"/>
              </w:rPr>
              <w:t xml:space="preserve">ontinuirano educirati i informirati stručnjake iz područja socijalne skrbi, zdravstva i obrazovanja </w:t>
            </w:r>
          </w:p>
          <w:p w14:paraId="45F8C47C" w14:textId="5B7F25F7"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3A34C4">
              <w:rPr>
                <w:rFonts w:asciiTheme="minorHAnsi" w:hAnsiTheme="minorHAnsi" w:cstheme="minorHAnsi"/>
                <w:sz w:val="18"/>
                <w:szCs w:val="18"/>
              </w:rPr>
              <w:t>sigurati dostupnost specijaliziranih usluga (pomoćnici u nastavi, radni asistenti, osobni asistenti, dostupnost javnog i specijaliziranog prijevoza, specijalizirane zdravstvene usluge)</w:t>
            </w:r>
          </w:p>
          <w:p w14:paraId="739690D3" w14:textId="366363FC"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3A34C4">
              <w:rPr>
                <w:rFonts w:asciiTheme="minorHAnsi" w:hAnsiTheme="minorHAnsi" w:cstheme="minorHAnsi"/>
                <w:sz w:val="18"/>
                <w:szCs w:val="18"/>
              </w:rPr>
              <w:t>sigurati dovoljan broj kvalitetnog stručnog kadra za rad u obrazovnim i socijalnim ustanovama</w:t>
            </w:r>
          </w:p>
          <w:p w14:paraId="723EEF4D" w14:textId="6DEFCE09"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j</w:t>
            </w:r>
            <w:r w:rsidR="004976E4" w:rsidRPr="003A34C4">
              <w:rPr>
                <w:rFonts w:asciiTheme="minorHAnsi" w:hAnsiTheme="minorHAnsi" w:cstheme="minorHAnsi"/>
                <w:sz w:val="18"/>
                <w:szCs w:val="18"/>
              </w:rPr>
              <w:t>ačati standarde socijalnih usluga prema korisnicima</w:t>
            </w:r>
          </w:p>
          <w:p w14:paraId="736F5887" w14:textId="1C6623AD"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3A34C4">
              <w:rPr>
                <w:rFonts w:asciiTheme="minorHAnsi" w:hAnsiTheme="minorHAnsi" w:cstheme="minorHAnsi"/>
                <w:sz w:val="18"/>
                <w:szCs w:val="18"/>
              </w:rPr>
              <w:t>sigurati transformaciju ustanova koje skrbe o osobama s invaliditetom razvojem različitih oblika smještaja</w:t>
            </w:r>
          </w:p>
          <w:p w14:paraId="11A4211E" w14:textId="2A91DF25"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3A34C4">
              <w:rPr>
                <w:rFonts w:asciiTheme="minorHAnsi" w:hAnsiTheme="minorHAnsi" w:cstheme="minorHAnsi"/>
                <w:sz w:val="18"/>
                <w:szCs w:val="18"/>
              </w:rPr>
              <w:t>drža</w:t>
            </w:r>
            <w:r>
              <w:rPr>
                <w:rFonts w:asciiTheme="minorHAnsi" w:hAnsiTheme="minorHAnsi" w:cstheme="minorHAnsi"/>
                <w:sz w:val="18"/>
                <w:szCs w:val="18"/>
              </w:rPr>
              <w:t>vati</w:t>
            </w:r>
            <w:r w:rsidR="004976E4" w:rsidRPr="003A34C4">
              <w:rPr>
                <w:rFonts w:asciiTheme="minorHAnsi" w:hAnsiTheme="minorHAnsi" w:cstheme="minorHAnsi"/>
                <w:sz w:val="18"/>
                <w:szCs w:val="18"/>
              </w:rPr>
              <w:t xml:space="preserve"> postojeć</w:t>
            </w:r>
            <w:r>
              <w:rPr>
                <w:rFonts w:asciiTheme="minorHAnsi" w:hAnsiTheme="minorHAnsi" w:cstheme="minorHAnsi"/>
                <w:sz w:val="18"/>
                <w:szCs w:val="18"/>
              </w:rPr>
              <w:t>e</w:t>
            </w:r>
            <w:r w:rsidR="004976E4" w:rsidRPr="003A34C4">
              <w:rPr>
                <w:rFonts w:asciiTheme="minorHAnsi" w:hAnsiTheme="minorHAnsi" w:cstheme="minorHAnsi"/>
                <w:sz w:val="18"/>
                <w:szCs w:val="18"/>
              </w:rPr>
              <w:t xml:space="preserve"> ustanov</w:t>
            </w:r>
            <w:r>
              <w:rPr>
                <w:rFonts w:asciiTheme="minorHAnsi" w:hAnsiTheme="minorHAnsi" w:cstheme="minorHAnsi"/>
                <w:sz w:val="18"/>
                <w:szCs w:val="18"/>
              </w:rPr>
              <w:t>e</w:t>
            </w:r>
          </w:p>
          <w:p w14:paraId="609728EE" w14:textId="54A473B4"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 xml:space="preserve">osnovati </w:t>
            </w:r>
            <w:r w:rsidR="004976E4" w:rsidRPr="003A34C4">
              <w:rPr>
                <w:rFonts w:asciiTheme="minorHAnsi" w:hAnsiTheme="minorHAnsi" w:cstheme="minorHAnsi"/>
                <w:sz w:val="18"/>
                <w:szCs w:val="18"/>
              </w:rPr>
              <w:t>dnevn</w:t>
            </w:r>
            <w:r>
              <w:rPr>
                <w:rFonts w:asciiTheme="minorHAnsi" w:hAnsiTheme="minorHAnsi" w:cstheme="minorHAnsi"/>
                <w:sz w:val="18"/>
                <w:szCs w:val="18"/>
              </w:rPr>
              <w:t>i</w:t>
            </w:r>
            <w:r w:rsidR="004976E4" w:rsidRPr="003A34C4">
              <w:rPr>
                <w:rFonts w:asciiTheme="minorHAnsi" w:hAnsiTheme="minorHAnsi" w:cstheme="minorHAnsi"/>
                <w:sz w:val="18"/>
                <w:szCs w:val="18"/>
              </w:rPr>
              <w:t xml:space="preserve"> cent</w:t>
            </w:r>
            <w:r>
              <w:rPr>
                <w:rFonts w:asciiTheme="minorHAnsi" w:hAnsiTheme="minorHAnsi" w:cstheme="minorHAnsi"/>
                <w:sz w:val="18"/>
                <w:szCs w:val="18"/>
              </w:rPr>
              <w:t>ar</w:t>
            </w:r>
            <w:r w:rsidR="004976E4" w:rsidRPr="003A34C4">
              <w:rPr>
                <w:rFonts w:asciiTheme="minorHAnsi" w:hAnsiTheme="minorHAnsi" w:cstheme="minorHAnsi"/>
                <w:sz w:val="18"/>
                <w:szCs w:val="18"/>
              </w:rPr>
              <w:t xml:space="preserve"> za osobe s mentalnim teškoćama</w:t>
            </w:r>
          </w:p>
          <w:p w14:paraId="220A12AC" w14:textId="7C2E3168"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osnovati</w:t>
            </w:r>
            <w:r w:rsidR="004976E4" w:rsidRPr="003A34C4">
              <w:rPr>
                <w:rFonts w:asciiTheme="minorHAnsi" w:hAnsiTheme="minorHAnsi" w:cstheme="minorHAnsi"/>
                <w:sz w:val="18"/>
                <w:szCs w:val="18"/>
              </w:rPr>
              <w:t xml:space="preserve"> Cent</w:t>
            </w:r>
            <w:r>
              <w:rPr>
                <w:rFonts w:asciiTheme="minorHAnsi" w:hAnsiTheme="minorHAnsi" w:cstheme="minorHAnsi"/>
                <w:sz w:val="18"/>
                <w:szCs w:val="18"/>
              </w:rPr>
              <w:t>ar</w:t>
            </w:r>
            <w:r w:rsidR="004976E4" w:rsidRPr="003A34C4">
              <w:rPr>
                <w:rFonts w:asciiTheme="minorHAnsi" w:hAnsiTheme="minorHAnsi" w:cstheme="minorHAnsi"/>
                <w:sz w:val="18"/>
                <w:szCs w:val="18"/>
              </w:rPr>
              <w:t xml:space="preserve"> za rehabilitaciju gluhih i naglugih osoba Grada Zagreba</w:t>
            </w:r>
          </w:p>
          <w:p w14:paraId="777B0CA6" w14:textId="0E3BD14A" w:rsidR="004976E4" w:rsidRPr="003A34C4" w:rsidRDefault="00AF3FF6" w:rsidP="00165C16">
            <w:pPr>
              <w:pStyle w:val="StandardWeb"/>
              <w:numPr>
                <w:ilvl w:val="0"/>
                <w:numId w:val="19"/>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3A34C4">
              <w:rPr>
                <w:rFonts w:asciiTheme="minorHAnsi" w:hAnsiTheme="minorHAnsi" w:cstheme="minorHAnsi"/>
                <w:sz w:val="18"/>
                <w:szCs w:val="18"/>
              </w:rPr>
              <w:t>sigurati smještajne kapacitete za osobe s teškim</w:t>
            </w:r>
            <w:r w:rsidR="004976E4">
              <w:rPr>
                <w:rFonts w:asciiTheme="minorHAnsi" w:hAnsiTheme="minorHAnsi" w:cstheme="minorHAnsi"/>
                <w:sz w:val="18"/>
                <w:szCs w:val="18"/>
              </w:rPr>
              <w:t xml:space="preserve"> psihosocijalnim teškoćama i</w:t>
            </w:r>
            <w:r w:rsidR="004976E4" w:rsidRPr="003A34C4">
              <w:rPr>
                <w:rFonts w:asciiTheme="minorHAnsi" w:hAnsiTheme="minorHAnsi" w:cstheme="minorHAnsi"/>
                <w:sz w:val="18"/>
                <w:szCs w:val="18"/>
              </w:rPr>
              <w:t xml:space="preserve">  </w:t>
            </w:r>
            <w:r w:rsidR="004976E4">
              <w:rPr>
                <w:rFonts w:asciiTheme="minorHAnsi" w:hAnsiTheme="minorHAnsi" w:cstheme="minorHAnsi"/>
                <w:sz w:val="18"/>
                <w:szCs w:val="18"/>
              </w:rPr>
              <w:t xml:space="preserve">teškim </w:t>
            </w:r>
            <w:r w:rsidR="004976E4" w:rsidRPr="003A34C4">
              <w:rPr>
                <w:rFonts w:asciiTheme="minorHAnsi" w:hAnsiTheme="minorHAnsi" w:cstheme="minorHAnsi"/>
                <w:sz w:val="18"/>
                <w:szCs w:val="18"/>
              </w:rPr>
              <w:t>tjelesnim invaliditetom u stambenim zajednicama</w:t>
            </w:r>
          </w:p>
          <w:p w14:paraId="46A1370A" w14:textId="3E5E48D9" w:rsidR="004976E4" w:rsidRPr="003A34C4" w:rsidRDefault="00AF3FF6" w:rsidP="00165C16">
            <w:pPr>
              <w:pStyle w:val="StandardWeb"/>
              <w:numPr>
                <w:ilvl w:val="0"/>
                <w:numId w:val="20"/>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s</w:t>
            </w:r>
            <w:r w:rsidR="004976E4" w:rsidRPr="003A34C4">
              <w:rPr>
                <w:rFonts w:asciiTheme="minorHAnsi" w:hAnsiTheme="minorHAnsi" w:cstheme="minorHAnsi"/>
                <w:sz w:val="18"/>
                <w:szCs w:val="18"/>
              </w:rPr>
              <w:t>manjiti broj korisnika u ustanovama i razviti mrežu izvaninstitucionalnih smještajnih kapaciteta</w:t>
            </w:r>
          </w:p>
          <w:p w14:paraId="31C9427E" w14:textId="7F4342FE" w:rsidR="004976E4" w:rsidRDefault="00AF3FF6" w:rsidP="00165C16">
            <w:pPr>
              <w:pStyle w:val="StandardWeb"/>
              <w:numPr>
                <w:ilvl w:val="0"/>
                <w:numId w:val="20"/>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p</w:t>
            </w:r>
            <w:r w:rsidR="004976E4" w:rsidRPr="003A34C4">
              <w:rPr>
                <w:rFonts w:asciiTheme="minorHAnsi" w:hAnsiTheme="minorHAnsi" w:cstheme="minorHAnsi"/>
                <w:sz w:val="18"/>
                <w:szCs w:val="18"/>
              </w:rPr>
              <w:t>oticati zapošljavanje osoba s invaliditetom</w:t>
            </w:r>
          </w:p>
          <w:p w14:paraId="110896AC" w14:textId="62415FE4" w:rsidR="004976E4" w:rsidRDefault="00AF3FF6" w:rsidP="00165C16">
            <w:pPr>
              <w:pStyle w:val="StandardWeb"/>
              <w:numPr>
                <w:ilvl w:val="0"/>
                <w:numId w:val="20"/>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i</w:t>
            </w:r>
            <w:r w:rsidR="004976E4" w:rsidRPr="003A34C4">
              <w:rPr>
                <w:rFonts w:asciiTheme="minorHAnsi" w:hAnsiTheme="minorHAnsi" w:cstheme="minorHAnsi"/>
                <w:sz w:val="18"/>
                <w:szCs w:val="18"/>
              </w:rPr>
              <w:t>nformirati građane o pravima i uslugama koje su im na raspolaganju u gradu</w:t>
            </w:r>
          </w:p>
          <w:p w14:paraId="1188EF1F" w14:textId="6F8565DD" w:rsidR="004976E4" w:rsidRPr="00FD1929" w:rsidRDefault="00AF3FF6" w:rsidP="00165C16">
            <w:pPr>
              <w:pStyle w:val="StandardWeb"/>
              <w:numPr>
                <w:ilvl w:val="0"/>
                <w:numId w:val="20"/>
              </w:numPr>
              <w:spacing w:before="60" w:after="60"/>
              <w:ind w:right="-2"/>
              <w:rPr>
                <w:rFonts w:asciiTheme="minorHAnsi" w:hAnsiTheme="minorHAnsi" w:cstheme="minorHAnsi"/>
                <w:sz w:val="18"/>
                <w:szCs w:val="18"/>
              </w:rPr>
            </w:pPr>
            <w:r>
              <w:rPr>
                <w:rFonts w:asciiTheme="minorHAnsi" w:hAnsiTheme="minorHAnsi" w:cstheme="minorHAnsi"/>
                <w:sz w:val="18"/>
                <w:szCs w:val="18"/>
              </w:rPr>
              <w:t>r</w:t>
            </w:r>
            <w:r w:rsidR="004976E4" w:rsidRPr="00FD1929">
              <w:rPr>
                <w:rFonts w:asciiTheme="minorHAnsi" w:hAnsiTheme="minorHAnsi" w:cstheme="minorHAnsi"/>
                <w:sz w:val="18"/>
                <w:szCs w:val="18"/>
              </w:rPr>
              <w:t xml:space="preserve">azvijati i poticati usluge skrbi i pomoći </w:t>
            </w:r>
            <w:r w:rsidR="004976E4">
              <w:rPr>
                <w:rFonts w:asciiTheme="minorHAnsi" w:hAnsiTheme="minorHAnsi" w:cstheme="minorHAnsi"/>
                <w:sz w:val="18"/>
                <w:szCs w:val="18"/>
              </w:rPr>
              <w:t>u dostavi hrane i drugim životnim potrebama tokom kriznih situacija</w:t>
            </w:r>
          </w:p>
          <w:p w14:paraId="4D4A394D" w14:textId="36AAE24D" w:rsidR="004976E4" w:rsidRDefault="00AF3FF6" w:rsidP="00165C16">
            <w:pPr>
              <w:pStyle w:val="StandardWeb"/>
              <w:numPr>
                <w:ilvl w:val="0"/>
                <w:numId w:val="20"/>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sidRPr="00FD1929">
              <w:rPr>
                <w:rFonts w:asciiTheme="minorHAnsi" w:hAnsiTheme="minorHAnsi" w:cstheme="minorHAnsi"/>
                <w:sz w:val="18"/>
                <w:szCs w:val="18"/>
              </w:rPr>
              <w:t>sigurati pravovremen i pristupačan pristup socijalnim i zdravstvenim</w:t>
            </w:r>
            <w:r w:rsidR="004976E4">
              <w:rPr>
                <w:rFonts w:asciiTheme="minorHAnsi" w:hAnsiTheme="minorHAnsi" w:cstheme="minorHAnsi"/>
                <w:sz w:val="18"/>
                <w:szCs w:val="18"/>
              </w:rPr>
              <w:t xml:space="preserve"> ustanovama  tokom kriznih situacija</w:t>
            </w:r>
          </w:p>
          <w:p w14:paraId="33850BED" w14:textId="420D8546" w:rsidR="004976E4" w:rsidRDefault="00AF3FF6" w:rsidP="00165C16">
            <w:pPr>
              <w:pStyle w:val="StandardWeb"/>
              <w:numPr>
                <w:ilvl w:val="0"/>
                <w:numId w:val="20"/>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o</w:t>
            </w:r>
            <w:r w:rsidR="004976E4">
              <w:rPr>
                <w:rFonts w:asciiTheme="minorHAnsi" w:hAnsiTheme="minorHAnsi" w:cstheme="minorHAnsi"/>
                <w:sz w:val="18"/>
                <w:szCs w:val="18"/>
              </w:rPr>
              <w:t>sigurati smještajne kapacitete za osobe s invaliditetom u kriznim situacijama</w:t>
            </w:r>
          </w:p>
          <w:p w14:paraId="4F5354C9" w14:textId="28FEC59F" w:rsidR="004976E4" w:rsidRPr="003A34C4" w:rsidRDefault="00AF3FF6" w:rsidP="00195597">
            <w:pPr>
              <w:pStyle w:val="StandardWeb"/>
              <w:numPr>
                <w:ilvl w:val="0"/>
                <w:numId w:val="20"/>
              </w:numPr>
              <w:spacing w:before="60" w:beforeAutospacing="0" w:after="60" w:afterAutospacing="0"/>
              <w:ind w:right="-2"/>
              <w:rPr>
                <w:rFonts w:asciiTheme="minorHAnsi" w:hAnsiTheme="minorHAnsi" w:cstheme="minorHAnsi"/>
                <w:sz w:val="18"/>
                <w:szCs w:val="18"/>
              </w:rPr>
            </w:pPr>
            <w:r>
              <w:rPr>
                <w:rFonts w:asciiTheme="minorHAnsi" w:hAnsiTheme="minorHAnsi" w:cstheme="minorHAnsi"/>
                <w:sz w:val="18"/>
                <w:szCs w:val="18"/>
              </w:rPr>
              <w:t>izraditi</w:t>
            </w:r>
            <w:r w:rsidR="004976E4">
              <w:rPr>
                <w:rFonts w:asciiTheme="minorHAnsi" w:hAnsiTheme="minorHAnsi" w:cstheme="minorHAnsi"/>
                <w:sz w:val="18"/>
                <w:szCs w:val="18"/>
              </w:rPr>
              <w:t xml:space="preserve"> protok</w:t>
            </w:r>
            <w:r>
              <w:rPr>
                <w:rFonts w:asciiTheme="minorHAnsi" w:hAnsiTheme="minorHAnsi" w:cstheme="minorHAnsi"/>
                <w:sz w:val="18"/>
                <w:szCs w:val="18"/>
              </w:rPr>
              <w:t>ol</w:t>
            </w:r>
            <w:r w:rsidR="004976E4">
              <w:rPr>
                <w:rFonts w:asciiTheme="minorHAnsi" w:hAnsiTheme="minorHAnsi" w:cstheme="minorHAnsi"/>
                <w:sz w:val="18"/>
                <w:szCs w:val="18"/>
              </w:rPr>
              <w:t xml:space="preserve"> </w:t>
            </w:r>
            <w:r w:rsidR="004976E4" w:rsidRPr="002915DE">
              <w:rPr>
                <w:rFonts w:asciiTheme="minorHAnsi" w:hAnsiTheme="minorHAnsi" w:cstheme="minorHAnsi"/>
                <w:sz w:val="18"/>
                <w:szCs w:val="18"/>
              </w:rPr>
              <w:t>za postupanje osob</w:t>
            </w:r>
            <w:r>
              <w:rPr>
                <w:rFonts w:asciiTheme="minorHAnsi" w:hAnsiTheme="minorHAnsi" w:cstheme="minorHAnsi"/>
                <w:sz w:val="18"/>
                <w:szCs w:val="18"/>
              </w:rPr>
              <w:t>a</w:t>
            </w:r>
            <w:r w:rsidR="004976E4" w:rsidRPr="002915DE">
              <w:rPr>
                <w:rFonts w:asciiTheme="minorHAnsi" w:hAnsiTheme="minorHAnsi" w:cstheme="minorHAnsi"/>
                <w:sz w:val="18"/>
                <w:szCs w:val="18"/>
              </w:rPr>
              <w:t xml:space="preserve"> s invaliditetom u kriznim i izvanrednim situacijama</w:t>
            </w:r>
            <w:r w:rsidR="004976E4">
              <w:rPr>
                <w:rFonts w:asciiTheme="minorHAnsi" w:hAnsiTheme="minorHAnsi" w:cstheme="minorHAnsi"/>
                <w:sz w:val="18"/>
                <w:szCs w:val="18"/>
              </w:rPr>
              <w:t xml:space="preserve"> </w:t>
            </w:r>
            <w:r w:rsidR="004976E4" w:rsidRPr="003A34C4">
              <w:rPr>
                <w:rFonts w:asciiTheme="minorHAnsi" w:hAnsiTheme="minorHAnsi" w:cstheme="minorHAnsi"/>
                <w:sz w:val="18"/>
                <w:szCs w:val="18"/>
              </w:rPr>
              <w:t xml:space="preserve">        </w:t>
            </w:r>
          </w:p>
        </w:tc>
      </w:tr>
    </w:tbl>
    <w:p w14:paraId="5677B9A9" w14:textId="608015D1" w:rsidR="004976E4" w:rsidRPr="00DD5276" w:rsidRDefault="004976E4" w:rsidP="00DD5276">
      <w:pPr>
        <w:pStyle w:val="Stil2"/>
      </w:pPr>
      <w:r>
        <w:rPr>
          <w:rFonts w:cs="Calibri"/>
          <w:caps/>
        </w:rPr>
        <w:br/>
      </w:r>
      <w:bookmarkStart w:id="41" w:name="_Toc97123794"/>
      <w:r w:rsidRPr="00DD5276">
        <w:rPr>
          <w:rStyle w:val="Stil2Char"/>
          <w:b/>
          <w:bCs/>
        </w:rPr>
        <w:t>2.2. UNAPR</w:t>
      </w:r>
      <w:r w:rsidR="007B22DB" w:rsidRPr="00DD5276">
        <w:rPr>
          <w:rStyle w:val="Stil2Char"/>
          <w:b/>
          <w:bCs/>
        </w:rPr>
        <w:t>J</w:t>
      </w:r>
      <w:r w:rsidRPr="00DD5276">
        <w:rPr>
          <w:rStyle w:val="Stil2Char"/>
          <w:b/>
          <w:bCs/>
        </w:rPr>
        <w:t>EĐENJE I PROMICANJE LJUDSKIH PRAVA I PARTICIPACIJA GRAĐANA</w:t>
      </w:r>
      <w:bookmarkEnd w:id="41"/>
    </w:p>
    <w:p w14:paraId="4A1A59FE" w14:textId="77777777" w:rsidR="004976E4" w:rsidRDefault="004976E4" w:rsidP="004976E4">
      <w:pPr>
        <w:spacing w:after="0" w:line="240" w:lineRule="auto"/>
        <w:jc w:val="both"/>
        <w:rPr>
          <w:rFonts w:cs="Calibri"/>
        </w:rPr>
      </w:pPr>
      <w:r w:rsidRPr="002F5770">
        <w:rPr>
          <w:rFonts w:cs="Calibri"/>
        </w:rPr>
        <w:t>Ustav Republike Hrvatske, u izvorišnim osnovama, utvrđuje da je Republika Hrvatska suverena i demokratska država u kojoj se jamče i osiguravaju ravnopravnost, slobode i prava čovjeka. Ustavom se jamči jednakost građana pred zakonom i utvrđuje kako svatko u Republici Hrvatskoj ima prava i slobode neovisno o rasi, boji kože, spolu, jeziku, vjeri, političkom ili drugom uvjerenju, nacionalnom ili socijalnom podrijetlu, imovini, rođenju, naobrazbi, društvenom položaju ili drugim osobinama. Odredbom članka 15. Ustava posebno je zajamčena ravnopravnost pripadnicima nacionalnih manjina.</w:t>
      </w:r>
    </w:p>
    <w:p w14:paraId="6FFB37B1" w14:textId="77777777" w:rsidR="004976E4" w:rsidRDefault="004976E4" w:rsidP="004976E4">
      <w:pPr>
        <w:spacing w:after="0" w:line="240" w:lineRule="auto"/>
        <w:jc w:val="both"/>
        <w:rPr>
          <w:rFonts w:eastAsia="Times New Roman"/>
          <w:bCs/>
          <w:lang w:eastAsia="hr-HR"/>
        </w:rPr>
      </w:pPr>
      <w:r>
        <w:rPr>
          <w:rFonts w:cs="Calibri"/>
        </w:rPr>
        <w:t xml:space="preserve">Također, zaštita i promicanje ljudskih prava uređeni su zakonima, nacionalnim politikama, programima i strategijama te međunarodnim dokumentima. </w:t>
      </w:r>
      <w:r w:rsidRPr="002B6B44">
        <w:rPr>
          <w:rFonts w:cs="Calibri"/>
        </w:rPr>
        <w:t>Grad Zagreb, sukladno</w:t>
      </w:r>
      <w:r>
        <w:rPr>
          <w:rFonts w:cs="Calibri"/>
        </w:rPr>
        <w:t xml:space="preserve"> navedenome </w:t>
      </w:r>
      <w:r w:rsidRPr="002B6B44">
        <w:rPr>
          <w:rFonts w:cs="Calibri"/>
        </w:rPr>
        <w:t xml:space="preserve">koristi kapacitete za podizanje javne svijesti građana Zagreba o važnosti poznavanja i ostvarivanja ljudskih prava žena i ravnopravnosti spolova, suzbijanja rasne i druge diskriminacije, prava nacionalnih manjina, vjerskih prava i sloboda, poticanja razvoja civilnoga društva i ostvarivanja slobode udruživanja. U tom cilju potiče se </w:t>
      </w:r>
      <w:r w:rsidRPr="002B6B44">
        <w:rPr>
          <w:rFonts w:eastAsia="Times New Roman"/>
          <w:bCs/>
          <w:lang w:eastAsia="hr-HR"/>
        </w:rPr>
        <w:t xml:space="preserve"> sudjelovanje </w:t>
      </w:r>
      <w:r>
        <w:rPr>
          <w:rFonts w:eastAsia="Times New Roman"/>
          <w:bCs/>
          <w:lang w:eastAsia="hr-HR"/>
        </w:rPr>
        <w:t xml:space="preserve">udruga i drugih </w:t>
      </w:r>
      <w:r w:rsidRPr="002B6B44">
        <w:rPr>
          <w:rFonts w:eastAsia="Times New Roman"/>
          <w:bCs/>
          <w:lang w:eastAsia="hr-HR"/>
        </w:rPr>
        <w:t>organizacija civilnog društva u provedbi gradskih i nacionalnih strateških dokumenata iz područja ljudskih prava kako bi na taj način dali doprinos  razvoju svijesti o društvenoj opasnosti diskriminacije i dobrobiti koje nam donosi poštivan</w:t>
      </w:r>
      <w:r>
        <w:rPr>
          <w:rFonts w:eastAsia="Times New Roman"/>
          <w:bCs/>
          <w:lang w:eastAsia="hr-HR"/>
        </w:rPr>
        <w:t xml:space="preserve">je prava drugoga i drugačijega te pružili pomoć </w:t>
      </w:r>
      <w:r w:rsidRPr="00831829">
        <w:rPr>
          <w:rFonts w:eastAsia="Times New Roman"/>
          <w:bCs/>
          <w:lang w:eastAsia="hr-HR"/>
        </w:rPr>
        <w:t>ugroženim socijalnim skupinama i pojedincima koji zbog nepoznavanja pravnih propisa i</w:t>
      </w:r>
      <w:r>
        <w:rPr>
          <w:rFonts w:eastAsia="Times New Roman"/>
          <w:bCs/>
          <w:lang w:eastAsia="hr-HR"/>
        </w:rPr>
        <w:t xml:space="preserve"> složenosti</w:t>
      </w:r>
      <w:r w:rsidRPr="00831829">
        <w:rPr>
          <w:rFonts w:eastAsia="Times New Roman"/>
          <w:bCs/>
          <w:lang w:eastAsia="hr-HR"/>
        </w:rPr>
        <w:t xml:space="preserve"> sustava imaju poteškoće u ostvarivanju svojih prava.</w:t>
      </w:r>
      <w:r>
        <w:rPr>
          <w:rFonts w:eastAsia="Times New Roman"/>
          <w:bCs/>
          <w:lang w:eastAsia="hr-HR"/>
        </w:rPr>
        <w:t xml:space="preserve"> </w:t>
      </w:r>
      <w:r w:rsidRPr="00ED7FFB">
        <w:rPr>
          <w:rFonts w:eastAsia="Times New Roman"/>
          <w:bCs/>
          <w:lang w:eastAsia="hr-HR"/>
        </w:rPr>
        <w:t xml:space="preserve">Grad Zagreb </w:t>
      </w:r>
      <w:r>
        <w:rPr>
          <w:rFonts w:eastAsia="Times New Roman"/>
          <w:bCs/>
          <w:lang w:eastAsia="hr-HR"/>
        </w:rPr>
        <w:t>je 2019. godine u</w:t>
      </w:r>
      <w:r w:rsidRPr="00ED7FFB">
        <w:rPr>
          <w:rFonts w:eastAsia="Times New Roman"/>
          <w:bCs/>
          <w:lang w:eastAsia="hr-HR"/>
        </w:rPr>
        <w:t xml:space="preserve"> </w:t>
      </w:r>
      <w:r>
        <w:rPr>
          <w:rFonts w:eastAsia="Times New Roman"/>
          <w:bCs/>
          <w:lang w:eastAsia="hr-HR"/>
        </w:rPr>
        <w:t>okviru</w:t>
      </w:r>
      <w:r w:rsidRPr="00ED7FFB">
        <w:rPr>
          <w:rFonts w:eastAsia="Times New Roman"/>
          <w:bCs/>
          <w:lang w:eastAsia="hr-HR"/>
        </w:rPr>
        <w:t xml:space="preserve"> pro</w:t>
      </w:r>
      <w:r>
        <w:rPr>
          <w:rFonts w:eastAsia="Times New Roman"/>
          <w:bCs/>
          <w:lang w:eastAsia="hr-HR"/>
        </w:rPr>
        <w:t>jekta Gradovi za jednakost, Hrvatskog pravnog centra i Udruge gradova,</w:t>
      </w:r>
      <w:r w:rsidRPr="00ED7FFB">
        <w:rPr>
          <w:rFonts w:eastAsia="Times New Roman"/>
          <w:bCs/>
          <w:lang w:eastAsia="hr-HR"/>
        </w:rPr>
        <w:t xml:space="preserve"> dobio nagradu za najbolje ocijenjenu praksu u području jednakosti</w:t>
      </w:r>
      <w:r w:rsidRPr="0042609F">
        <w:t xml:space="preserve"> </w:t>
      </w:r>
      <w:r w:rsidRPr="0042609F">
        <w:rPr>
          <w:rFonts w:eastAsia="Times New Roman"/>
          <w:bCs/>
          <w:lang w:eastAsia="hr-HR"/>
        </w:rPr>
        <w:t>u kategoriji velikih gradova</w:t>
      </w:r>
      <w:r>
        <w:rPr>
          <w:rFonts w:eastAsia="Times New Roman"/>
          <w:bCs/>
          <w:lang w:eastAsia="hr-HR"/>
        </w:rPr>
        <w:t xml:space="preserve">. </w:t>
      </w:r>
    </w:p>
    <w:p w14:paraId="13947A03" w14:textId="77777777" w:rsidR="004976E4" w:rsidRPr="00F61915" w:rsidRDefault="004976E4" w:rsidP="004976E4">
      <w:pPr>
        <w:spacing w:after="0" w:line="240" w:lineRule="auto"/>
        <w:jc w:val="both"/>
        <w:rPr>
          <w:rFonts w:eastAsia="Times New Roman"/>
          <w:bCs/>
          <w:lang w:eastAsia="hr-HR"/>
        </w:rPr>
      </w:pPr>
    </w:p>
    <w:p w14:paraId="4219908B" w14:textId="09E31596" w:rsidR="004976E4" w:rsidRDefault="004976E4" w:rsidP="007B22DB">
      <w:pPr>
        <w:pStyle w:val="Stil2"/>
      </w:pPr>
      <w:bookmarkStart w:id="42" w:name="_Toc97123795"/>
      <w:r>
        <w:t>2.2.1. Ravnopravnost spolova</w:t>
      </w:r>
      <w:bookmarkEnd w:id="42"/>
    </w:p>
    <w:p w14:paraId="69CAFAF6" w14:textId="77777777" w:rsidR="004976E4" w:rsidRDefault="004976E4" w:rsidP="004976E4">
      <w:pPr>
        <w:tabs>
          <w:tab w:val="left" w:pos="-720"/>
        </w:tabs>
        <w:suppressAutoHyphens/>
        <w:spacing w:line="240" w:lineRule="auto"/>
        <w:ind w:right="-2"/>
        <w:jc w:val="both"/>
      </w:pPr>
      <w:r w:rsidRPr="0074316D">
        <w:rPr>
          <w:rFonts w:cs="Calibri"/>
        </w:rPr>
        <w:t xml:space="preserve">Jednakost muškaraca i žena je </w:t>
      </w:r>
      <w:r>
        <w:rPr>
          <w:rFonts w:cs="Calibri"/>
        </w:rPr>
        <w:t xml:space="preserve">temeljna vrijednost ustavnog poretka Republike Hrvatske i </w:t>
      </w:r>
      <w:r w:rsidRPr="0074316D">
        <w:rPr>
          <w:rFonts w:cs="Calibri"/>
        </w:rPr>
        <w:t>j</w:t>
      </w:r>
      <w:r>
        <w:rPr>
          <w:rFonts w:cs="Calibri"/>
        </w:rPr>
        <w:t xml:space="preserve">edna od temeljnih vrijednosti Europske unije. Ravnopravnost spolova je u Republici Hrvatskoj uređena Zakonom o ravnopravnosti spolova i nacionalnom politikom koja treba biti donesena za aktualno razdoblje. Grad Zagreb je, 2018. godine, </w:t>
      </w:r>
      <w:r w:rsidRPr="00C25517">
        <w:rPr>
          <w:rFonts w:cs="Calibri"/>
        </w:rPr>
        <w:t>pristupio Europskoj povelji o ravnopravnosti žena i muškaraca na lokalnoj razini</w:t>
      </w:r>
      <w:r>
        <w:rPr>
          <w:rFonts w:cs="Calibri"/>
        </w:rPr>
        <w:t xml:space="preserve"> i na taj način</w:t>
      </w:r>
      <w:r w:rsidRPr="00C25517">
        <w:t xml:space="preserve"> </w:t>
      </w:r>
      <w:r w:rsidRPr="00C25517">
        <w:rPr>
          <w:rFonts w:cs="Calibri"/>
        </w:rPr>
        <w:t>preuzeo obavezu da će slijediti principe ravnopravnosti žena i muškaraca u svojoj sredini i provoditi odredbe propisane Poveljom te donijeti akcijski plan za njezinu provedbu</w:t>
      </w:r>
      <w:r>
        <w:rPr>
          <w:rFonts w:cs="Calibri"/>
        </w:rPr>
        <w:t>. Opći c</w:t>
      </w:r>
      <w:r w:rsidRPr="00E50E60">
        <w:rPr>
          <w:rFonts w:cs="Calibri"/>
        </w:rPr>
        <w:t>ilj koji se želi postići je postizanje ravnopravnosti žena i muškaraca u Gradu Zagreb</w:t>
      </w:r>
      <w:r>
        <w:rPr>
          <w:rFonts w:cs="Calibri"/>
        </w:rPr>
        <w:t xml:space="preserve">u tako </w:t>
      </w:r>
      <w:r w:rsidRPr="00E50E60">
        <w:rPr>
          <w:rFonts w:cs="Calibri"/>
        </w:rPr>
        <w:t xml:space="preserve">da perspektiva ravnopravnosti </w:t>
      </w:r>
      <w:r>
        <w:rPr>
          <w:rFonts w:cs="Calibri"/>
        </w:rPr>
        <w:t xml:space="preserve">bude </w:t>
      </w:r>
      <w:r w:rsidRPr="00E50E60">
        <w:rPr>
          <w:rFonts w:cs="Calibri"/>
        </w:rPr>
        <w:t>uključena u  sva područja djelovanja/kompetencije Grada Zagreba</w:t>
      </w:r>
      <w:r>
        <w:rPr>
          <w:rFonts w:cs="Calibri"/>
        </w:rPr>
        <w:t xml:space="preserve">. </w:t>
      </w:r>
      <w:r w:rsidRPr="005E2845">
        <w:rPr>
          <w:rFonts w:cs="Calibri"/>
        </w:rPr>
        <w:t>Politike ravnopravnosti spolova</w:t>
      </w:r>
      <w:r>
        <w:rPr>
          <w:rFonts w:cs="Calibri"/>
        </w:rPr>
        <w:t xml:space="preserve"> u Gradu Zagrebu </w:t>
      </w:r>
      <w:r w:rsidRPr="005E2845">
        <w:rPr>
          <w:rFonts w:cs="Calibri"/>
        </w:rPr>
        <w:t>i konkretne akcij</w:t>
      </w:r>
      <w:r>
        <w:rPr>
          <w:rFonts w:cs="Calibri"/>
        </w:rPr>
        <w:t>ske mjere istovremeno se nalaze</w:t>
      </w:r>
      <w:r w:rsidRPr="005E2845">
        <w:rPr>
          <w:rFonts w:cs="Calibri"/>
        </w:rPr>
        <w:t xml:space="preserve"> i u gradsk</w:t>
      </w:r>
      <w:r>
        <w:rPr>
          <w:rFonts w:cs="Calibri"/>
        </w:rPr>
        <w:t>im dokumentima</w:t>
      </w:r>
      <w:r w:rsidRPr="005E2845">
        <w:rPr>
          <w:rFonts w:cs="Calibri"/>
        </w:rPr>
        <w:t xml:space="preserve"> kojima fokus nije  prioritetno na ravnopravnosti spolova primjerice u području socijalne zaštite</w:t>
      </w:r>
      <w:r>
        <w:rPr>
          <w:rFonts w:cs="Calibri"/>
        </w:rPr>
        <w:t xml:space="preserve"> (obiteljsko nasilje)</w:t>
      </w:r>
      <w:r w:rsidRPr="005E2845">
        <w:rPr>
          <w:rFonts w:cs="Calibri"/>
        </w:rPr>
        <w:t>, osoba s invaliditetom, uključivanja Roma</w:t>
      </w:r>
      <w:r>
        <w:rPr>
          <w:rFonts w:cs="Calibri"/>
        </w:rPr>
        <w:t xml:space="preserve"> (višestruka diskriminacija)</w:t>
      </w:r>
      <w:r w:rsidRPr="005E2845">
        <w:rPr>
          <w:rFonts w:cs="Calibri"/>
        </w:rPr>
        <w:t>, stambenog zbrinjavanja te razne pomoći i usluge građanima</w:t>
      </w:r>
      <w:r>
        <w:rPr>
          <w:rFonts w:cs="Calibri"/>
        </w:rPr>
        <w:t>. Kontinuirano se provodi koordinacija aktivnosti gradskih upravnih tijela kojima je cilj uspostavljanje i promicanje ravnopravnosti spolova te praćenje provedbe relevantnih dokumenata i aktivnosti.</w:t>
      </w:r>
      <w:r w:rsidRPr="00114308">
        <w:t xml:space="preserve"> </w:t>
      </w:r>
      <w:r w:rsidRPr="00114308">
        <w:rPr>
          <w:rFonts w:cs="Calibri"/>
        </w:rPr>
        <w:t>Postavljene ciljeve nastoji se ostvariti direktnim financiranjem programa i aktivnosti iz gradskog proračuna, pribavljanjem financijskih sredstava iz europskih fondova i financiranjem programa i projekata udruga i drugih organizacija civilnog društva koji doprinose osvješćivanju i promicanju ravnopravnosti spolova.</w:t>
      </w:r>
      <w:r>
        <w:rPr>
          <w:rFonts w:cs="Calibri"/>
        </w:rPr>
        <w:t xml:space="preserve"> U 2019. godini je iz gradskog proračuna za </w:t>
      </w:r>
      <w:r w:rsidRPr="005B1A29">
        <w:rPr>
          <w:rFonts w:cs="Calibri"/>
        </w:rPr>
        <w:t xml:space="preserve">provedbu </w:t>
      </w:r>
      <w:r>
        <w:rPr>
          <w:rFonts w:cs="Calibri"/>
        </w:rPr>
        <w:t>32 projek</w:t>
      </w:r>
      <w:r w:rsidRPr="005B1A29">
        <w:rPr>
          <w:rFonts w:cs="Calibri"/>
        </w:rPr>
        <w:t xml:space="preserve">ta </w:t>
      </w:r>
      <w:r>
        <w:rPr>
          <w:rFonts w:cs="Calibri"/>
        </w:rPr>
        <w:t xml:space="preserve">udruga </w:t>
      </w:r>
      <w:r w:rsidRPr="005B1A29">
        <w:rPr>
          <w:rFonts w:cs="Calibri"/>
        </w:rPr>
        <w:t xml:space="preserve">iz </w:t>
      </w:r>
      <w:r>
        <w:rPr>
          <w:rFonts w:cs="Calibri"/>
        </w:rPr>
        <w:t xml:space="preserve">područja ravnopravnosti spolova </w:t>
      </w:r>
      <w:r w:rsidRPr="005B1A29">
        <w:rPr>
          <w:rFonts w:cs="Calibri"/>
        </w:rPr>
        <w:t>dano  1.481.135,00 kuna</w:t>
      </w:r>
      <w:r>
        <w:rPr>
          <w:rFonts w:cs="Calibri"/>
        </w:rPr>
        <w:t xml:space="preserve">. </w:t>
      </w:r>
      <w:r w:rsidRPr="00255E6A">
        <w:rPr>
          <w:rFonts w:cs="Calibri"/>
        </w:rPr>
        <w:t xml:space="preserve">Međutim, ravnopravnost spolova, unatoč brojnim primjerima službenog priznavanja i pozitivnim pomacima, još uvijek nije dovoljno prisutna u svakidašnjem životu. </w:t>
      </w:r>
      <w:r>
        <w:rPr>
          <w:rFonts w:cs="Calibri"/>
        </w:rPr>
        <w:t>Provedene analize i javno dostupni podaci ukazuju da su i dalje prisutne d</w:t>
      </w:r>
      <w:r w:rsidRPr="00255E6A">
        <w:rPr>
          <w:rFonts w:cs="Calibri"/>
        </w:rPr>
        <w:t>ruštvene, političke, gospodarske i kulturne nejednakosti i zbog toga još uvijek ima puno prostora i potrebe za promicanjem ravnopravnog društva i za dosljednu provedbu prava na ravnopravnost</w:t>
      </w:r>
      <w:r>
        <w:rPr>
          <w:rFonts w:cs="Calibri"/>
        </w:rPr>
        <w:t>.</w:t>
      </w:r>
      <w:r w:rsidRPr="00734CE3">
        <w:t xml:space="preserve"> </w:t>
      </w:r>
    </w:p>
    <w:p w14:paraId="2B0AA0BC" w14:textId="77777777" w:rsidR="004976E4" w:rsidRPr="00515050" w:rsidRDefault="004976E4" w:rsidP="004976E4">
      <w:pPr>
        <w:ind w:left="-3" w:right="240"/>
        <w:jc w:val="both"/>
      </w:pPr>
    </w:p>
    <w:tbl>
      <w:tblPr>
        <w:tblW w:w="0" w:type="auto"/>
        <w:tblLook w:val="01E0" w:firstRow="1" w:lastRow="1" w:firstColumn="1" w:lastColumn="1" w:noHBand="0" w:noVBand="0"/>
      </w:tblPr>
      <w:tblGrid>
        <w:gridCol w:w="4546"/>
        <w:gridCol w:w="4526"/>
      </w:tblGrid>
      <w:tr w:rsidR="004976E4" w:rsidRPr="00903BC1" w14:paraId="2BE4D035" w14:textId="77777777" w:rsidTr="00F50578">
        <w:trPr>
          <w:trHeight w:val="3970"/>
        </w:trPr>
        <w:tc>
          <w:tcPr>
            <w:tcW w:w="4643" w:type="dxa"/>
            <w:shd w:val="clear" w:color="auto" w:fill="CCCCCC"/>
          </w:tcPr>
          <w:p w14:paraId="51C51F51" w14:textId="77777777" w:rsidR="004976E4" w:rsidRDefault="004976E4" w:rsidP="00F50578">
            <w:pPr>
              <w:autoSpaceDE w:val="0"/>
              <w:autoSpaceDN w:val="0"/>
              <w:adjustRightInd w:val="0"/>
              <w:spacing w:after="0" w:line="240" w:lineRule="auto"/>
              <w:rPr>
                <w:rFonts w:cs="Calibri"/>
                <w:b/>
                <w:bCs/>
                <w:color w:val="000000"/>
                <w:sz w:val="18"/>
                <w:szCs w:val="18"/>
                <w:lang w:eastAsia="hr-HR"/>
              </w:rPr>
            </w:pPr>
            <w:r>
              <w:rPr>
                <w:rFonts w:cs="Calibri"/>
                <w:b/>
                <w:bCs/>
                <w:color w:val="000000"/>
                <w:sz w:val="18"/>
                <w:szCs w:val="18"/>
                <w:lang w:eastAsia="hr-HR"/>
              </w:rPr>
              <w:t>RAZVOJNI PROBLEMI</w:t>
            </w:r>
          </w:p>
          <w:p w14:paraId="124F4A29" w14:textId="77777777" w:rsidR="004976E4" w:rsidRPr="00BB239C" w:rsidRDefault="004976E4" w:rsidP="00F50578">
            <w:pPr>
              <w:autoSpaceDE w:val="0"/>
              <w:autoSpaceDN w:val="0"/>
              <w:adjustRightInd w:val="0"/>
              <w:spacing w:after="0" w:line="240" w:lineRule="auto"/>
              <w:rPr>
                <w:rFonts w:cs="Calibri"/>
                <w:color w:val="000000"/>
                <w:sz w:val="18"/>
                <w:szCs w:val="18"/>
                <w:lang w:eastAsia="hr-HR"/>
              </w:rPr>
            </w:pPr>
          </w:p>
          <w:p w14:paraId="06DCB14F" w14:textId="273D5E0E" w:rsidR="004976E4" w:rsidRPr="00074830" w:rsidRDefault="00AF3FF6" w:rsidP="00165C16">
            <w:pPr>
              <w:pStyle w:val="Odlomakpopisa"/>
              <w:numPr>
                <w:ilvl w:val="0"/>
                <w:numId w:val="10"/>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r</w:t>
            </w:r>
            <w:r w:rsidR="004976E4" w:rsidRPr="00074830">
              <w:rPr>
                <w:rFonts w:eastAsia="Calibri" w:cs="Calibri"/>
                <w:color w:val="000000"/>
                <w:sz w:val="18"/>
                <w:szCs w:val="18"/>
                <w:lang w:eastAsia="hr-HR"/>
              </w:rPr>
              <w:t>avnopravnost spolova je nedovoljno prisutna u svakodnevnom životu</w:t>
            </w:r>
          </w:p>
          <w:p w14:paraId="5B8ACFD5" w14:textId="66729587" w:rsidR="004976E4" w:rsidRPr="007535FB" w:rsidRDefault="00AF3FF6" w:rsidP="00165C16">
            <w:pPr>
              <w:pStyle w:val="Odlomakpopisa"/>
              <w:numPr>
                <w:ilvl w:val="0"/>
                <w:numId w:val="10"/>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n</w:t>
            </w:r>
            <w:r w:rsidR="004976E4" w:rsidRPr="007535FB">
              <w:rPr>
                <w:rFonts w:eastAsia="Calibri" w:cs="Calibri"/>
                <w:color w:val="000000"/>
                <w:sz w:val="18"/>
                <w:szCs w:val="18"/>
                <w:lang w:eastAsia="hr-HR"/>
              </w:rPr>
              <w:t>a nacionalnoj razini nema metodologije za prov</w:t>
            </w:r>
            <w:r w:rsidR="004976E4">
              <w:rPr>
                <w:rFonts w:eastAsia="Calibri" w:cs="Calibri"/>
                <w:color w:val="000000"/>
                <w:sz w:val="18"/>
                <w:szCs w:val="18"/>
                <w:lang w:eastAsia="hr-HR"/>
              </w:rPr>
              <w:t xml:space="preserve">edbu strategije uvođenja načela </w:t>
            </w:r>
            <w:r w:rsidR="004976E4" w:rsidRPr="007535FB">
              <w:rPr>
                <w:rFonts w:eastAsia="Calibri" w:cs="Calibri"/>
                <w:color w:val="000000"/>
                <w:sz w:val="18"/>
                <w:szCs w:val="18"/>
                <w:lang w:eastAsia="hr-HR"/>
              </w:rPr>
              <w:t xml:space="preserve">ravnopravnosti spolova u planiranje proračuna, analize proračuna izrađene na temelju  spola te procjenu utjecaja spola </w:t>
            </w:r>
          </w:p>
          <w:p w14:paraId="7753F7B1" w14:textId="36A95A46" w:rsidR="004976E4" w:rsidRDefault="00AF3FF6" w:rsidP="00165C16">
            <w:pPr>
              <w:pStyle w:val="Odlomakpopisa"/>
              <w:numPr>
                <w:ilvl w:val="0"/>
                <w:numId w:val="10"/>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n</w:t>
            </w:r>
            <w:r w:rsidR="004976E4" w:rsidRPr="007535FB">
              <w:rPr>
                <w:rFonts w:eastAsia="Calibri" w:cs="Calibri"/>
                <w:color w:val="000000"/>
                <w:sz w:val="18"/>
                <w:szCs w:val="18"/>
                <w:lang w:eastAsia="hr-HR"/>
              </w:rPr>
              <w:t xml:space="preserve">a nacionalnoj razini nema razrađenog plana i metodologije obrazovanja službenika/službenica o  ravnopravnosti spolova posebice za lokalnu razinu </w:t>
            </w:r>
          </w:p>
          <w:p w14:paraId="6B522EEB" w14:textId="0297A5B9" w:rsidR="004976E4" w:rsidRDefault="00AF3FF6" w:rsidP="00165C16">
            <w:pPr>
              <w:pStyle w:val="Odlomakpopisa"/>
              <w:numPr>
                <w:ilvl w:val="0"/>
                <w:numId w:val="10"/>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n</w:t>
            </w:r>
            <w:r w:rsidR="004976E4">
              <w:rPr>
                <w:rFonts w:eastAsia="Calibri" w:cs="Calibri"/>
                <w:color w:val="000000"/>
                <w:sz w:val="18"/>
                <w:szCs w:val="18"/>
                <w:lang w:eastAsia="hr-HR"/>
              </w:rPr>
              <w:t xml:space="preserve">ejednako sudjelovanje žena i muškaraca u donošenju odluka </w:t>
            </w:r>
          </w:p>
          <w:p w14:paraId="4ADEE3AF" w14:textId="13A2BE86" w:rsidR="004976E4" w:rsidRPr="007535FB" w:rsidRDefault="00AF3FF6" w:rsidP="00165C16">
            <w:pPr>
              <w:pStyle w:val="Odlomakpopisa"/>
              <w:numPr>
                <w:ilvl w:val="0"/>
                <w:numId w:val="10"/>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p</w:t>
            </w:r>
            <w:r w:rsidR="004976E4">
              <w:rPr>
                <w:rFonts w:eastAsia="Calibri" w:cs="Calibri"/>
                <w:color w:val="000000"/>
                <w:sz w:val="18"/>
                <w:szCs w:val="18"/>
                <w:lang w:eastAsia="hr-HR"/>
              </w:rPr>
              <w:t>risustvo rodnih stereotipa</w:t>
            </w:r>
          </w:p>
          <w:p w14:paraId="63D18338" w14:textId="29D4E262" w:rsidR="004976E4" w:rsidRDefault="00AF3FF6" w:rsidP="00165C16">
            <w:pPr>
              <w:pStyle w:val="Odlomakpopisa"/>
              <w:numPr>
                <w:ilvl w:val="0"/>
                <w:numId w:val="10"/>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p</w:t>
            </w:r>
            <w:r w:rsidR="004976E4" w:rsidRPr="007535FB">
              <w:rPr>
                <w:rFonts w:eastAsia="Calibri" w:cs="Calibri"/>
                <w:color w:val="000000"/>
                <w:sz w:val="18"/>
                <w:szCs w:val="18"/>
                <w:lang w:eastAsia="hr-HR"/>
              </w:rPr>
              <w:t xml:space="preserve">roces usklađivanja obiteljskog, privatnog i profesionalnog života ne prati zahtjeve uklanjanja nejednakosti u društvenom položaju muškaraca i žena </w:t>
            </w:r>
          </w:p>
          <w:p w14:paraId="77A3E298" w14:textId="270A4A8D" w:rsidR="004976E4" w:rsidRPr="007535FB" w:rsidRDefault="00AF3FF6" w:rsidP="00165C16">
            <w:pPr>
              <w:pStyle w:val="Odlomakpopisa"/>
              <w:numPr>
                <w:ilvl w:val="0"/>
                <w:numId w:val="10"/>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n</w:t>
            </w:r>
            <w:r w:rsidR="004976E4">
              <w:rPr>
                <w:rFonts w:eastAsia="Calibri" w:cs="Calibri"/>
                <w:color w:val="000000"/>
                <w:sz w:val="18"/>
                <w:szCs w:val="18"/>
                <w:lang w:eastAsia="hr-HR"/>
              </w:rPr>
              <w:t>edovoljno razvijeni mehanizmi za komunikaciju i koordinaciju između upravnih tijela u području ravnopravnosti spolova</w:t>
            </w:r>
          </w:p>
          <w:p w14:paraId="6538C698" w14:textId="77777777" w:rsidR="004976E4" w:rsidRPr="00903BC1" w:rsidRDefault="004976E4" w:rsidP="00F50578">
            <w:pPr>
              <w:spacing w:before="60" w:after="60" w:line="240" w:lineRule="auto"/>
              <w:ind w:left="284" w:right="-2"/>
              <w:rPr>
                <w:rFonts w:cs="Calibri"/>
                <w:sz w:val="18"/>
                <w:szCs w:val="18"/>
              </w:rPr>
            </w:pPr>
          </w:p>
        </w:tc>
        <w:tc>
          <w:tcPr>
            <w:tcW w:w="4643" w:type="dxa"/>
            <w:shd w:val="clear" w:color="auto" w:fill="99CCFF"/>
          </w:tcPr>
          <w:p w14:paraId="4E27AC47" w14:textId="77777777" w:rsidR="004976E4" w:rsidRDefault="004976E4" w:rsidP="00F50578">
            <w:pPr>
              <w:autoSpaceDE w:val="0"/>
              <w:autoSpaceDN w:val="0"/>
              <w:adjustRightInd w:val="0"/>
              <w:spacing w:after="0" w:line="240" w:lineRule="auto"/>
              <w:rPr>
                <w:rFonts w:cs="Calibri"/>
                <w:b/>
                <w:bCs/>
                <w:color w:val="000000"/>
                <w:sz w:val="18"/>
                <w:szCs w:val="18"/>
                <w:lang w:eastAsia="hr-HR"/>
              </w:rPr>
            </w:pPr>
            <w:r w:rsidRPr="00903BC1">
              <w:rPr>
                <w:rFonts w:cs="Calibri"/>
                <w:b/>
                <w:bCs/>
                <w:color w:val="000000"/>
                <w:sz w:val="18"/>
                <w:szCs w:val="18"/>
                <w:lang w:eastAsia="hr-HR"/>
              </w:rPr>
              <w:t xml:space="preserve">RAZVOJNE POTREBE </w:t>
            </w:r>
          </w:p>
          <w:p w14:paraId="630911AF" w14:textId="77777777" w:rsidR="004976E4" w:rsidRPr="00903BC1" w:rsidRDefault="004976E4" w:rsidP="00F50578">
            <w:pPr>
              <w:autoSpaceDE w:val="0"/>
              <w:autoSpaceDN w:val="0"/>
              <w:adjustRightInd w:val="0"/>
              <w:spacing w:after="0" w:line="240" w:lineRule="auto"/>
              <w:rPr>
                <w:rFonts w:cs="Calibri"/>
                <w:color w:val="000000"/>
                <w:sz w:val="18"/>
                <w:szCs w:val="18"/>
                <w:lang w:eastAsia="hr-HR"/>
              </w:rPr>
            </w:pPr>
          </w:p>
          <w:p w14:paraId="6DF84402" w14:textId="72CD951E" w:rsidR="004976E4" w:rsidRDefault="00AF3FF6" w:rsidP="00165C16">
            <w:pPr>
              <w:pStyle w:val="Odlomakpopisa"/>
              <w:numPr>
                <w:ilvl w:val="0"/>
                <w:numId w:val="11"/>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u</w:t>
            </w:r>
            <w:r w:rsidR="004976E4">
              <w:rPr>
                <w:rFonts w:eastAsia="Calibri" w:cs="Calibri"/>
                <w:color w:val="000000"/>
                <w:sz w:val="18"/>
                <w:szCs w:val="18"/>
                <w:lang w:eastAsia="hr-HR"/>
              </w:rPr>
              <w:t>ključiti perspektivu ravnopravnosti spolova u sva područja odgovornosti Grada Zagreba</w:t>
            </w:r>
          </w:p>
          <w:p w14:paraId="6855EDF8" w14:textId="1D048A8A" w:rsidR="004976E4" w:rsidRDefault="00AF3FF6" w:rsidP="00165C16">
            <w:pPr>
              <w:pStyle w:val="Odlomakpopisa"/>
              <w:numPr>
                <w:ilvl w:val="0"/>
                <w:numId w:val="11"/>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u</w:t>
            </w:r>
            <w:r w:rsidR="004976E4">
              <w:rPr>
                <w:rFonts w:eastAsia="Calibri" w:cs="Calibri"/>
                <w:color w:val="000000"/>
                <w:sz w:val="18"/>
                <w:szCs w:val="18"/>
                <w:lang w:eastAsia="hr-HR"/>
              </w:rPr>
              <w:t xml:space="preserve">ključiti načelo ravnopravnosti  </w:t>
            </w:r>
            <w:r w:rsidR="004976E4" w:rsidRPr="001F7A7B">
              <w:rPr>
                <w:rFonts w:eastAsia="Calibri" w:cs="Calibri"/>
                <w:color w:val="000000"/>
                <w:sz w:val="18"/>
                <w:szCs w:val="18"/>
                <w:lang w:eastAsia="hr-HR"/>
              </w:rPr>
              <w:t xml:space="preserve">spolova </w:t>
            </w:r>
            <w:r w:rsidR="004976E4">
              <w:rPr>
                <w:rFonts w:eastAsia="Calibri" w:cs="Calibri"/>
                <w:color w:val="000000"/>
                <w:sz w:val="18"/>
                <w:szCs w:val="18"/>
                <w:lang w:eastAsia="hr-HR"/>
              </w:rPr>
              <w:t>u sve aktivnosti Grada Zagreba pri izradi propisa,  strategija, metoda i instrumenata koji utječu na svakodnevni život građana</w:t>
            </w:r>
          </w:p>
          <w:p w14:paraId="43973D01" w14:textId="052AD1AE" w:rsidR="004976E4" w:rsidRPr="0094736E" w:rsidRDefault="00AF3FF6" w:rsidP="00165C16">
            <w:pPr>
              <w:pStyle w:val="Odlomakpopisa"/>
              <w:numPr>
                <w:ilvl w:val="0"/>
                <w:numId w:val="11"/>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p</w:t>
            </w:r>
            <w:r w:rsidR="004976E4">
              <w:rPr>
                <w:rFonts w:eastAsia="Calibri" w:cs="Calibri"/>
                <w:color w:val="000000"/>
                <w:sz w:val="18"/>
                <w:szCs w:val="18"/>
                <w:lang w:eastAsia="hr-HR"/>
              </w:rPr>
              <w:t>oticati i promicati podjednako sudjelovanje žena i muškaraca u donošenju odluka</w:t>
            </w:r>
          </w:p>
          <w:p w14:paraId="1C0C1726" w14:textId="557202C1" w:rsidR="004976E4" w:rsidRDefault="00AF3FF6" w:rsidP="00165C16">
            <w:pPr>
              <w:pStyle w:val="Odlomakpopisa"/>
              <w:numPr>
                <w:ilvl w:val="0"/>
                <w:numId w:val="11"/>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r</w:t>
            </w:r>
            <w:r w:rsidR="004976E4">
              <w:rPr>
                <w:rFonts w:eastAsia="Calibri" w:cs="Calibri"/>
                <w:color w:val="000000"/>
                <w:sz w:val="18"/>
                <w:szCs w:val="18"/>
                <w:lang w:eastAsia="hr-HR"/>
              </w:rPr>
              <w:t>azviti mehanizme za komunikaciju i koordinaciju između upravnih tijela zbog uspostavljanja i  praćenja ravnopravnosti spolova</w:t>
            </w:r>
          </w:p>
          <w:p w14:paraId="16E0C0BC" w14:textId="6BA5304E" w:rsidR="004976E4" w:rsidRDefault="00AF3FF6" w:rsidP="00165C16">
            <w:pPr>
              <w:pStyle w:val="Odlomakpopisa"/>
              <w:numPr>
                <w:ilvl w:val="0"/>
                <w:numId w:val="11"/>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p</w:t>
            </w:r>
            <w:r w:rsidR="004976E4">
              <w:rPr>
                <w:rFonts w:eastAsia="Calibri" w:cs="Calibri"/>
                <w:color w:val="000000"/>
                <w:sz w:val="18"/>
                <w:szCs w:val="18"/>
                <w:lang w:eastAsia="hr-HR"/>
              </w:rPr>
              <w:t>rovoditi rodne analize proračuna Grada Zagreba</w:t>
            </w:r>
          </w:p>
          <w:p w14:paraId="474E9B0D" w14:textId="614BBA21" w:rsidR="004976E4" w:rsidRPr="00C821EB" w:rsidRDefault="00AF3FF6" w:rsidP="00165C16">
            <w:pPr>
              <w:numPr>
                <w:ilvl w:val="0"/>
                <w:numId w:val="11"/>
              </w:numPr>
              <w:autoSpaceDE w:val="0"/>
              <w:autoSpaceDN w:val="0"/>
              <w:adjustRightInd w:val="0"/>
              <w:spacing w:before="60" w:after="0" w:line="240" w:lineRule="auto"/>
              <w:ind w:right="-2"/>
              <w:rPr>
                <w:rFonts w:cs="Calibri"/>
                <w:color w:val="000000"/>
                <w:sz w:val="18"/>
                <w:szCs w:val="18"/>
                <w:lang w:eastAsia="hr-HR"/>
              </w:rPr>
            </w:pPr>
            <w:r>
              <w:rPr>
                <w:rFonts w:cs="Calibri"/>
                <w:sz w:val="18"/>
                <w:szCs w:val="18"/>
              </w:rPr>
              <w:t>j</w:t>
            </w:r>
            <w:r w:rsidR="004976E4">
              <w:rPr>
                <w:rFonts w:cs="Calibri"/>
                <w:sz w:val="18"/>
                <w:szCs w:val="18"/>
              </w:rPr>
              <w:t>ačati</w:t>
            </w:r>
            <w:r w:rsidR="004976E4" w:rsidRPr="00C821EB">
              <w:rPr>
                <w:rFonts w:cs="Calibri"/>
                <w:sz w:val="18"/>
                <w:szCs w:val="18"/>
              </w:rPr>
              <w:t xml:space="preserve"> suradnj</w:t>
            </w:r>
            <w:r w:rsidR="004976E4">
              <w:rPr>
                <w:rFonts w:cs="Calibri"/>
                <w:sz w:val="18"/>
                <w:szCs w:val="18"/>
              </w:rPr>
              <w:t>u</w:t>
            </w:r>
            <w:r w:rsidR="004976E4" w:rsidRPr="00C821EB">
              <w:rPr>
                <w:rFonts w:cs="Calibri"/>
                <w:sz w:val="18"/>
                <w:szCs w:val="18"/>
              </w:rPr>
              <w:t xml:space="preserve"> s udrugama</w:t>
            </w:r>
            <w:r w:rsidR="004976E4">
              <w:rPr>
                <w:rFonts w:cs="Calibri"/>
                <w:sz w:val="18"/>
                <w:szCs w:val="18"/>
              </w:rPr>
              <w:t xml:space="preserve"> i drugim organizacijama civilnog društva</w:t>
            </w:r>
            <w:r w:rsidR="004976E4" w:rsidRPr="00C821EB">
              <w:rPr>
                <w:rFonts w:cs="Calibri"/>
                <w:sz w:val="18"/>
                <w:szCs w:val="18"/>
              </w:rPr>
              <w:t xml:space="preserve"> iz </w:t>
            </w:r>
            <w:r w:rsidR="004976E4">
              <w:rPr>
                <w:rFonts w:cs="Calibri"/>
                <w:sz w:val="18"/>
                <w:szCs w:val="18"/>
              </w:rPr>
              <w:t>područja ravnopravnosti spolova</w:t>
            </w:r>
          </w:p>
          <w:p w14:paraId="2D9F28C0" w14:textId="2A0D62D9" w:rsidR="004976E4" w:rsidRDefault="00AF3FF6" w:rsidP="00165C16">
            <w:pPr>
              <w:pStyle w:val="Odlomakpopisa"/>
              <w:numPr>
                <w:ilvl w:val="0"/>
                <w:numId w:val="11"/>
              </w:numPr>
              <w:autoSpaceDE w:val="0"/>
              <w:autoSpaceDN w:val="0"/>
              <w:adjustRightInd w:val="0"/>
              <w:spacing w:after="0" w:line="240" w:lineRule="auto"/>
              <w:rPr>
                <w:rFonts w:eastAsia="Calibri" w:cs="Calibri"/>
                <w:color w:val="000000"/>
                <w:sz w:val="18"/>
                <w:szCs w:val="18"/>
                <w:lang w:eastAsia="hr-HR"/>
              </w:rPr>
            </w:pPr>
            <w:r>
              <w:rPr>
                <w:rFonts w:eastAsia="Calibri" w:cs="Calibri"/>
                <w:color w:val="000000"/>
                <w:sz w:val="18"/>
                <w:szCs w:val="18"/>
                <w:lang w:eastAsia="hr-HR"/>
              </w:rPr>
              <w:t>p</w:t>
            </w:r>
            <w:r w:rsidR="004976E4">
              <w:rPr>
                <w:rFonts w:eastAsia="Calibri" w:cs="Calibri"/>
                <w:color w:val="000000"/>
                <w:sz w:val="18"/>
                <w:szCs w:val="18"/>
                <w:lang w:eastAsia="hr-HR"/>
              </w:rPr>
              <w:t xml:space="preserve">rovoditi financiranje projekata udruga iz područja ravnopravnosti spolova </w:t>
            </w:r>
          </w:p>
          <w:p w14:paraId="4DEB1E39" w14:textId="3AA28DF5" w:rsidR="004976E4" w:rsidRDefault="00AF3FF6" w:rsidP="00165C16">
            <w:pPr>
              <w:numPr>
                <w:ilvl w:val="0"/>
                <w:numId w:val="11"/>
              </w:numPr>
              <w:spacing w:before="60" w:beforeAutospacing="1" w:after="60" w:afterAutospacing="1" w:line="240" w:lineRule="auto"/>
              <w:ind w:right="-2"/>
              <w:rPr>
                <w:rFonts w:eastAsia="Times New Roman" w:cs="Calibri"/>
                <w:sz w:val="18"/>
                <w:szCs w:val="18"/>
                <w:lang w:eastAsia="hr-HR"/>
              </w:rPr>
            </w:pPr>
            <w:r>
              <w:rPr>
                <w:rFonts w:eastAsia="Times New Roman" w:cs="Calibri"/>
                <w:sz w:val="18"/>
                <w:szCs w:val="18"/>
                <w:lang w:eastAsia="hr-HR"/>
              </w:rPr>
              <w:t>j</w:t>
            </w:r>
            <w:r w:rsidR="004976E4" w:rsidRPr="00432B01">
              <w:rPr>
                <w:rFonts w:eastAsia="Times New Roman" w:cs="Calibri"/>
                <w:sz w:val="18"/>
                <w:szCs w:val="18"/>
                <w:lang w:eastAsia="hr-HR"/>
              </w:rPr>
              <w:t>ačati kapacitete za optimalnu podršku procesu pripreme i provedbe EU projekata</w:t>
            </w:r>
            <w:r w:rsidR="004976E4" w:rsidRPr="00074830">
              <w:rPr>
                <w:rFonts w:eastAsia="Times New Roman" w:cs="Calibri"/>
                <w:sz w:val="18"/>
                <w:szCs w:val="18"/>
                <w:lang w:eastAsia="hr-HR"/>
              </w:rPr>
              <w:t xml:space="preserve"> iz područja ravnopravnosti spolova</w:t>
            </w:r>
            <w:r w:rsidR="004976E4" w:rsidRPr="00432B01">
              <w:rPr>
                <w:rFonts w:eastAsia="Times New Roman" w:cs="Calibri"/>
                <w:sz w:val="18"/>
                <w:szCs w:val="18"/>
                <w:lang w:eastAsia="hr-HR"/>
              </w:rPr>
              <w:t xml:space="preserve"> u kontekstu iskorištenja fondova EU</w:t>
            </w:r>
          </w:p>
          <w:p w14:paraId="43F8691A" w14:textId="1736CA69" w:rsidR="004976E4" w:rsidRPr="00903BC1" w:rsidRDefault="00AF3FF6" w:rsidP="008C03CC">
            <w:pPr>
              <w:numPr>
                <w:ilvl w:val="0"/>
                <w:numId w:val="11"/>
              </w:numPr>
              <w:spacing w:before="60" w:after="60" w:line="240" w:lineRule="auto"/>
              <w:ind w:right="-2"/>
              <w:rPr>
                <w:rFonts w:cs="Calibri"/>
                <w:b/>
                <w:sz w:val="18"/>
                <w:szCs w:val="18"/>
              </w:rPr>
            </w:pPr>
            <w:r>
              <w:rPr>
                <w:rFonts w:cs="Calibri"/>
                <w:sz w:val="18"/>
                <w:szCs w:val="18"/>
              </w:rPr>
              <w:t>p</w:t>
            </w:r>
            <w:r w:rsidR="004976E4" w:rsidRPr="00D22304">
              <w:rPr>
                <w:rFonts w:cs="Calibri"/>
                <w:sz w:val="18"/>
                <w:szCs w:val="18"/>
              </w:rPr>
              <w:t>oticati razmjenu dobrih praksi i</w:t>
            </w:r>
            <w:r w:rsidR="004976E4">
              <w:rPr>
                <w:rFonts w:cs="Calibri"/>
                <w:sz w:val="18"/>
                <w:szCs w:val="18"/>
              </w:rPr>
              <w:t xml:space="preserve">zmeđu Grada Zagreba i gradova u zemlji i inozemstvu </w:t>
            </w:r>
          </w:p>
        </w:tc>
      </w:tr>
    </w:tbl>
    <w:p w14:paraId="041438DB" w14:textId="77777777" w:rsidR="004976E4" w:rsidRDefault="004976E4" w:rsidP="004976E4">
      <w:pPr>
        <w:pStyle w:val="Odlomakpopisa"/>
        <w:tabs>
          <w:tab w:val="left" w:pos="567"/>
        </w:tabs>
        <w:ind w:left="0"/>
        <w:rPr>
          <w:rFonts w:ascii="Calibri" w:hAnsi="Calibri" w:cs="Calibri"/>
          <w:b/>
          <w:bCs/>
        </w:rPr>
      </w:pPr>
    </w:p>
    <w:p w14:paraId="16D5D47F" w14:textId="7BA8E917" w:rsidR="004976E4" w:rsidRDefault="004976E4" w:rsidP="007B22DB">
      <w:pPr>
        <w:pStyle w:val="Stil2"/>
      </w:pPr>
      <w:bookmarkStart w:id="43" w:name="_Toc97123796"/>
      <w:r>
        <w:t>2.2.2. Suzbijanje rasne i druge diskriminacije</w:t>
      </w:r>
      <w:bookmarkEnd w:id="43"/>
    </w:p>
    <w:p w14:paraId="234A9668" w14:textId="77777777" w:rsidR="004976E4" w:rsidRPr="009050E9" w:rsidRDefault="004976E4" w:rsidP="004976E4">
      <w:pPr>
        <w:tabs>
          <w:tab w:val="left" w:pos="567"/>
        </w:tabs>
        <w:spacing w:line="240" w:lineRule="auto"/>
        <w:jc w:val="both"/>
        <w:rPr>
          <w:rFonts w:cs="Calibri"/>
        </w:rPr>
      </w:pPr>
      <w:r>
        <w:rPr>
          <w:rFonts w:cs="Calibri"/>
        </w:rPr>
        <w:t xml:space="preserve">Područje suzbijanja rasne i druge diskriminacije uređeno je nacionalnim propisima i dokumentima koje provodi i Grad Zagreb. Grad Zagreb je mjesto različitih kultura i vjera  te stanovnika pripadnika brojnih nacionalnih zajednica što objektivno predstavlja rizik od </w:t>
      </w:r>
      <w:r w:rsidRPr="00352E34">
        <w:rPr>
          <w:rFonts w:cs="Calibri"/>
        </w:rPr>
        <w:t>netolerancije, pred</w:t>
      </w:r>
      <w:r>
        <w:rPr>
          <w:rFonts w:cs="Calibri"/>
        </w:rPr>
        <w:t xml:space="preserve">rasuda, diskriminacije i </w:t>
      </w:r>
      <w:r w:rsidRPr="00352E34">
        <w:rPr>
          <w:rFonts w:cs="Calibri"/>
        </w:rPr>
        <w:t xml:space="preserve"> nasilja</w:t>
      </w:r>
      <w:r>
        <w:rPr>
          <w:rFonts w:cs="Calibri"/>
        </w:rPr>
        <w:t xml:space="preserve">. Međutim predanost Grada Zagreba borbi protiv diskriminacije po svakoj osnovi je konstantna i statistike pokazuju da je Zagreb siguran grad u prvom redu zbog nediskriminirajućih propisa koje donosi te mjera i aktivnosti koje provodi kao poslodavac i pružatelj usluga. Gradski propisi i dokumenti odnose se na sve </w:t>
      </w:r>
      <w:r w:rsidRPr="00556809">
        <w:rPr>
          <w:rFonts w:cs="Calibri"/>
        </w:rPr>
        <w:t>jednak</w:t>
      </w:r>
      <w:r>
        <w:rPr>
          <w:rFonts w:cs="Calibri"/>
        </w:rPr>
        <w:t>o bez obzira o kojem se području radi. Na to ukazuju i mjere koje Grad provodi u  područjima socijalne skrbi, osoba s invaliditetom, stambenog zbrinjavanja, uključivanja marginaliziranih skupina, kulture, sporta, obrazovanja, pružanja usluga i drugo. P</w:t>
      </w:r>
      <w:r w:rsidRPr="00E84210">
        <w:rPr>
          <w:rFonts w:cs="Calibri"/>
        </w:rPr>
        <w:t>olitike</w:t>
      </w:r>
      <w:r>
        <w:rPr>
          <w:rFonts w:cs="Calibri"/>
        </w:rPr>
        <w:t xml:space="preserve"> </w:t>
      </w:r>
      <w:r w:rsidRPr="00E84210">
        <w:rPr>
          <w:rFonts w:cs="Calibri"/>
        </w:rPr>
        <w:t xml:space="preserve"> i procedure</w:t>
      </w:r>
      <w:r>
        <w:rPr>
          <w:rFonts w:cs="Calibri"/>
        </w:rPr>
        <w:t xml:space="preserve"> </w:t>
      </w:r>
      <w:r w:rsidRPr="00E84210">
        <w:rPr>
          <w:rFonts w:cs="Calibri"/>
        </w:rPr>
        <w:t xml:space="preserve"> pri zapošljavanju i na radnom mjestu usklađene</w:t>
      </w:r>
      <w:r>
        <w:rPr>
          <w:rFonts w:cs="Calibri"/>
        </w:rPr>
        <w:t xml:space="preserve"> su</w:t>
      </w:r>
      <w:r w:rsidRPr="00E84210">
        <w:rPr>
          <w:rFonts w:cs="Calibri"/>
        </w:rPr>
        <w:t xml:space="preserve"> s odgovarajućim zakonodavstvom i nacionalnim p</w:t>
      </w:r>
      <w:r>
        <w:rPr>
          <w:rFonts w:cs="Calibri"/>
        </w:rPr>
        <w:t>olitikama u području jednakosti, ustanovljen je sustav</w:t>
      </w:r>
      <w:r w:rsidRPr="003C6E89">
        <w:rPr>
          <w:rFonts w:cs="Calibri"/>
        </w:rPr>
        <w:t xml:space="preserve"> za sprečavanje kršenja radnih prava i suzbijanje</w:t>
      </w:r>
      <w:r>
        <w:rPr>
          <w:rFonts w:cs="Calibri"/>
        </w:rPr>
        <w:t xml:space="preserve"> zlostavljanja na radnom mjestu: donesen je </w:t>
      </w:r>
      <w:r w:rsidRPr="00FD7A7F">
        <w:rPr>
          <w:rFonts w:cs="Calibri"/>
        </w:rPr>
        <w:t>Etički kodeks Gradske uprave Grada Zagreba</w:t>
      </w:r>
      <w:r w:rsidRPr="00B145C4">
        <w:t xml:space="preserve"> </w:t>
      </w:r>
      <w:r w:rsidRPr="00B145C4">
        <w:rPr>
          <w:rFonts w:cs="Calibri"/>
        </w:rPr>
        <w:t>i  Anti mobbing protokol Gradske uprave Grada Zagreba</w:t>
      </w:r>
      <w:r>
        <w:rPr>
          <w:rFonts w:cs="Calibri"/>
        </w:rPr>
        <w:t xml:space="preserve"> te je sklopljen </w:t>
      </w:r>
      <w:r w:rsidRPr="003C6E89">
        <w:t>Kolektivni ugovor za službenike i namještenike u gradskim upravnim tijelima Grada Zagreba</w:t>
      </w:r>
      <w:r>
        <w:t xml:space="preserve">. Etički kodeks </w:t>
      </w:r>
      <w:r w:rsidRPr="00BE780B">
        <w:t>utvrđuje temeljna načela, standarde i pravila ponašanja kojih se trebaju pridržavati službenici/e gradskih upravnih tijela u međusobnim odnosima i postupak u slučaju njihova nepoštivanja te postupak zaštite dostojanstva službenika/ca i namještenika/ca u slučaju izravne ili neizravne disk</w:t>
      </w:r>
      <w:r>
        <w:t>r</w:t>
      </w:r>
      <w:r w:rsidRPr="00BE780B">
        <w:t>iminacije, uznemiravanja ili spolnog uznemiravanja</w:t>
      </w:r>
      <w:r>
        <w:t xml:space="preserve">. Kolektivni ugovor </w:t>
      </w:r>
      <w:r w:rsidRPr="00E84210">
        <w:t xml:space="preserve">sadrži odredbe o zabrani izravne ili neizravne diskriminacije službenika i namještenika na temelju rase, boje kože, spola, spolnog opredjeljenja, bračnog stanja, porodičnih obveza, dobi, jezika, vjere, političkog ili drugog uvjerenja, nacionalnog ili socijalnog podrijetla, imovnog stanja, rođenja, društvenog položaja, članstva ili nečlanstva u političkoj stranci, članstva ili nečlanstva u sindikatu, te tjelesnih ili duševnih poteškoća. Pored toga navode se odredbe o dužnosti poslodavaca da zaštititi dostojanstvo službenika/ca i namještenika/ca za vrijeme obavljanja posla tako da im osigura uvjete rada u kojima neće biti izloženi izravnoj ili neizravnoj diskriminaciji te uznemiravanju ili spolnom uznemiravanju. </w:t>
      </w:r>
      <w:bookmarkStart w:id="44" w:name="_Hlk42170679"/>
      <w:r w:rsidRPr="00BE780B">
        <w:t xml:space="preserve">Anti mobbing protokol </w:t>
      </w:r>
      <w:bookmarkEnd w:id="44"/>
      <w:r w:rsidRPr="00BE780B">
        <w:t>je</w:t>
      </w:r>
      <w:r>
        <w:t xml:space="preserve"> donesen u cilju</w:t>
      </w:r>
      <w:r w:rsidRPr="00BE780B">
        <w:t xml:space="preserve"> podizanj</w:t>
      </w:r>
      <w:r>
        <w:t>a</w:t>
      </w:r>
      <w:r w:rsidRPr="00BE780B">
        <w:t xml:space="preserve"> opće svijesti i znanja službenika/ca i namještenika/ca Gradske uprave Grada Zagreba o negativnim posljedicama mobbinga na radnom mjestu, a svrha mu je pravodobno prepoznavanje i provođenje prevencije mobbinga na radnom mjestu u Gradskoj upravi Grada Zagreba. Anti mobbing protokol</w:t>
      </w:r>
      <w:r>
        <w:t xml:space="preserve">, Priručnik o diskriminaciji i mobbingu te video kampanja su dostupni na internetskoj stranici Grada Zagreba. </w:t>
      </w:r>
    </w:p>
    <w:p w14:paraId="7F78DDA8" w14:textId="77777777" w:rsidR="004976E4" w:rsidRDefault="004976E4" w:rsidP="004976E4">
      <w:pPr>
        <w:tabs>
          <w:tab w:val="left" w:pos="567"/>
        </w:tabs>
        <w:spacing w:line="240" w:lineRule="auto"/>
        <w:jc w:val="both"/>
        <w:rPr>
          <w:rFonts w:cs="Calibri"/>
        </w:rPr>
      </w:pPr>
      <w:r w:rsidRPr="00FD7A7F">
        <w:rPr>
          <w:rFonts w:cs="Calibri"/>
        </w:rPr>
        <w:t>Grad Zagreb već niz godina financijski podupire projekte iz područja suzbijanja rasne i druge diskriminacije koje provode udruge</w:t>
      </w:r>
      <w:r>
        <w:rPr>
          <w:rFonts w:cs="Calibri"/>
        </w:rPr>
        <w:t xml:space="preserve"> i ustanove u gradu</w:t>
      </w:r>
      <w:r w:rsidRPr="00FD7A7F">
        <w:rPr>
          <w:rFonts w:cs="Calibri"/>
        </w:rPr>
        <w:t xml:space="preserve"> i koji uključuju sve aktivnosti koje imaju za cilj edukaciju i senzibiliziranje javnosti radi otklanjanja diskriminatornog ponašanja po bilo kojoj osnovi. </w:t>
      </w:r>
    </w:p>
    <w:tbl>
      <w:tblPr>
        <w:tblW w:w="0" w:type="auto"/>
        <w:tblLook w:val="01E0" w:firstRow="1" w:lastRow="1" w:firstColumn="1" w:lastColumn="1" w:noHBand="0" w:noVBand="0"/>
      </w:tblPr>
      <w:tblGrid>
        <w:gridCol w:w="4534"/>
        <w:gridCol w:w="4538"/>
      </w:tblGrid>
      <w:tr w:rsidR="004976E4" w:rsidRPr="00D22304" w14:paraId="2F9098C7" w14:textId="77777777" w:rsidTr="007773DF">
        <w:trPr>
          <w:trHeight w:val="4000"/>
        </w:trPr>
        <w:tc>
          <w:tcPr>
            <w:tcW w:w="4534" w:type="dxa"/>
            <w:shd w:val="clear" w:color="auto" w:fill="CCCCCC"/>
          </w:tcPr>
          <w:p w14:paraId="57406714" w14:textId="77777777" w:rsidR="004976E4" w:rsidRPr="00937457" w:rsidRDefault="004976E4" w:rsidP="00F50578">
            <w:pPr>
              <w:spacing w:before="60" w:line="360" w:lineRule="auto"/>
              <w:rPr>
                <w:rFonts w:cs="Calibri"/>
                <w:b/>
                <w:bCs/>
                <w:sz w:val="18"/>
                <w:szCs w:val="18"/>
              </w:rPr>
            </w:pPr>
            <w:r w:rsidRPr="00937457">
              <w:rPr>
                <w:rFonts w:cs="Calibri"/>
                <w:b/>
                <w:bCs/>
                <w:sz w:val="18"/>
                <w:szCs w:val="18"/>
              </w:rPr>
              <w:t>RAZVOJNI PROBLEMI</w:t>
            </w:r>
          </w:p>
          <w:p w14:paraId="5CBF3C63" w14:textId="1083EDA7" w:rsidR="004976E4" w:rsidRPr="0037757C" w:rsidRDefault="00AF3FF6" w:rsidP="00165C16">
            <w:pPr>
              <w:pStyle w:val="Odlomakpopisa"/>
              <w:numPr>
                <w:ilvl w:val="0"/>
                <w:numId w:val="20"/>
              </w:numPr>
              <w:tabs>
                <w:tab w:val="num" w:pos="644"/>
              </w:tabs>
              <w:spacing w:before="100" w:beforeAutospacing="1" w:after="100" w:afterAutospacing="1" w:line="240" w:lineRule="auto"/>
              <w:ind w:right="-2"/>
              <w:rPr>
                <w:rFonts w:eastAsia="Times New Roman" w:cs="Calibri"/>
                <w:sz w:val="18"/>
                <w:szCs w:val="18"/>
                <w:lang w:eastAsia="hr-HR"/>
              </w:rPr>
            </w:pPr>
            <w:r>
              <w:rPr>
                <w:rFonts w:eastAsia="Times New Roman" w:cs="Calibri"/>
                <w:sz w:val="18"/>
                <w:szCs w:val="18"/>
                <w:lang w:eastAsia="hr-HR"/>
              </w:rPr>
              <w:t>n</w:t>
            </w:r>
            <w:r w:rsidR="004976E4" w:rsidRPr="0037757C">
              <w:rPr>
                <w:rFonts w:eastAsia="Times New Roman" w:cs="Calibri"/>
                <w:sz w:val="18"/>
                <w:szCs w:val="18"/>
                <w:lang w:eastAsia="hr-HR"/>
              </w:rPr>
              <w:t xml:space="preserve">epostojanje nacionalnih dugoročnih prioriteta  u području ljudskih prava s obzirom da </w:t>
            </w:r>
            <w:r w:rsidR="004976E4" w:rsidRPr="0037757C">
              <w:rPr>
                <w:rFonts w:cs="Calibri"/>
                <w:sz w:val="18"/>
                <w:szCs w:val="18"/>
              </w:rPr>
              <w:t xml:space="preserve">nakon 2016. godine nemao nacionalni strateški dokument zaštite i promicanja ljudskih prava </w:t>
            </w:r>
          </w:p>
          <w:p w14:paraId="2F7C7ECD" w14:textId="42052335" w:rsidR="004976E4" w:rsidRPr="0037757C" w:rsidRDefault="00AF3FF6" w:rsidP="00165C16">
            <w:pPr>
              <w:pStyle w:val="Odlomakpopisa"/>
              <w:numPr>
                <w:ilvl w:val="0"/>
                <w:numId w:val="20"/>
              </w:numPr>
              <w:tabs>
                <w:tab w:val="num" w:pos="644"/>
              </w:tabs>
              <w:spacing w:before="60" w:after="60" w:line="240" w:lineRule="auto"/>
              <w:ind w:right="-2"/>
              <w:rPr>
                <w:rFonts w:cs="Calibri"/>
                <w:sz w:val="18"/>
                <w:szCs w:val="18"/>
              </w:rPr>
            </w:pPr>
            <w:r>
              <w:rPr>
                <w:rFonts w:cs="Calibri"/>
                <w:sz w:val="18"/>
                <w:szCs w:val="18"/>
              </w:rPr>
              <w:t>n</w:t>
            </w:r>
            <w:r w:rsidR="004976E4" w:rsidRPr="0037757C">
              <w:rPr>
                <w:rFonts w:cs="Calibri"/>
                <w:sz w:val="18"/>
                <w:szCs w:val="18"/>
              </w:rPr>
              <w:t>edovoljna znanja i osviještenost građana o diskriminaciji</w:t>
            </w:r>
          </w:p>
          <w:p w14:paraId="56195A55" w14:textId="46FB74BE" w:rsidR="004976E4" w:rsidRPr="0037757C" w:rsidRDefault="00AF3FF6" w:rsidP="00165C16">
            <w:pPr>
              <w:pStyle w:val="Odlomakpopisa"/>
              <w:numPr>
                <w:ilvl w:val="0"/>
                <w:numId w:val="20"/>
              </w:numPr>
              <w:tabs>
                <w:tab w:val="num" w:pos="644"/>
              </w:tabs>
              <w:spacing w:before="60" w:after="60" w:line="240" w:lineRule="auto"/>
              <w:ind w:right="-2"/>
              <w:rPr>
                <w:rFonts w:cs="Calibri"/>
                <w:sz w:val="18"/>
                <w:szCs w:val="18"/>
              </w:rPr>
            </w:pPr>
            <w:r>
              <w:rPr>
                <w:rFonts w:cs="Calibri"/>
                <w:sz w:val="18"/>
                <w:szCs w:val="18"/>
              </w:rPr>
              <w:t>n</w:t>
            </w:r>
            <w:r w:rsidR="004976E4" w:rsidRPr="0037757C">
              <w:rPr>
                <w:rFonts w:cs="Calibri"/>
                <w:sz w:val="18"/>
                <w:szCs w:val="18"/>
              </w:rPr>
              <w:t>edovoljna razmjena dobrih praksi između Grada Zagreba i gradova i gradova u zemlji i inozemstvu</w:t>
            </w:r>
          </w:p>
          <w:p w14:paraId="25AB633F" w14:textId="07606E9B" w:rsidR="004976E4" w:rsidRPr="0037757C" w:rsidRDefault="00AF3FF6" w:rsidP="00165C16">
            <w:pPr>
              <w:pStyle w:val="Odlomakpopisa"/>
              <w:numPr>
                <w:ilvl w:val="0"/>
                <w:numId w:val="20"/>
              </w:numPr>
              <w:tabs>
                <w:tab w:val="num" w:pos="644"/>
              </w:tabs>
              <w:spacing w:before="60" w:after="60" w:line="240" w:lineRule="auto"/>
              <w:ind w:right="-2"/>
              <w:rPr>
                <w:rFonts w:cs="Calibri"/>
                <w:sz w:val="18"/>
                <w:szCs w:val="18"/>
              </w:rPr>
            </w:pPr>
            <w:r>
              <w:rPr>
                <w:rFonts w:eastAsia="Times New Roman" w:cs="Calibri"/>
                <w:sz w:val="18"/>
                <w:szCs w:val="18"/>
                <w:lang w:eastAsia="hr-HR"/>
              </w:rPr>
              <w:t>n</w:t>
            </w:r>
            <w:r w:rsidR="004976E4" w:rsidRPr="0037757C">
              <w:rPr>
                <w:rFonts w:eastAsia="Times New Roman" w:cs="Calibri"/>
                <w:sz w:val="18"/>
                <w:szCs w:val="18"/>
                <w:lang w:eastAsia="hr-HR"/>
              </w:rPr>
              <w:t>edovoljno povlačenje sredstava Europske unije</w:t>
            </w:r>
          </w:p>
          <w:p w14:paraId="3B0B1EBC" w14:textId="77777777" w:rsidR="004976E4" w:rsidRPr="00D44682" w:rsidRDefault="004976E4" w:rsidP="00F50578">
            <w:pPr>
              <w:spacing w:before="60" w:after="60" w:line="240" w:lineRule="auto"/>
              <w:ind w:left="284" w:right="-2"/>
              <w:rPr>
                <w:rFonts w:cs="Calibri"/>
                <w:sz w:val="18"/>
                <w:szCs w:val="18"/>
              </w:rPr>
            </w:pPr>
          </w:p>
          <w:p w14:paraId="34A6EAA3" w14:textId="77777777" w:rsidR="004976E4" w:rsidRPr="00D44682" w:rsidRDefault="004976E4" w:rsidP="00F50578">
            <w:pPr>
              <w:spacing w:before="60" w:after="60" w:line="240" w:lineRule="auto"/>
              <w:ind w:left="284" w:right="-2"/>
              <w:rPr>
                <w:rFonts w:cs="Calibri"/>
                <w:sz w:val="18"/>
                <w:szCs w:val="18"/>
              </w:rPr>
            </w:pPr>
          </w:p>
          <w:p w14:paraId="02844EFA" w14:textId="77777777" w:rsidR="004976E4" w:rsidRPr="00D44682" w:rsidRDefault="004976E4" w:rsidP="00F50578">
            <w:pPr>
              <w:spacing w:before="60" w:after="60" w:line="240" w:lineRule="auto"/>
              <w:ind w:left="284" w:right="-2"/>
              <w:rPr>
                <w:rFonts w:cs="Calibri"/>
                <w:sz w:val="18"/>
                <w:szCs w:val="18"/>
              </w:rPr>
            </w:pPr>
          </w:p>
        </w:tc>
        <w:tc>
          <w:tcPr>
            <w:tcW w:w="4538" w:type="dxa"/>
            <w:shd w:val="clear" w:color="auto" w:fill="99CCFF"/>
          </w:tcPr>
          <w:p w14:paraId="28D6858B" w14:textId="77777777" w:rsidR="004976E4" w:rsidRPr="00D22304" w:rsidRDefault="004976E4" w:rsidP="00F50578">
            <w:pPr>
              <w:spacing w:before="60" w:line="360" w:lineRule="auto"/>
              <w:rPr>
                <w:rFonts w:cs="Calibri"/>
                <w:b/>
                <w:sz w:val="18"/>
                <w:szCs w:val="18"/>
              </w:rPr>
            </w:pPr>
            <w:r w:rsidRPr="00D22304">
              <w:rPr>
                <w:rFonts w:cs="Calibri"/>
                <w:b/>
                <w:sz w:val="18"/>
                <w:szCs w:val="18"/>
              </w:rPr>
              <w:t>RAZVOJNE POTREBE</w:t>
            </w:r>
          </w:p>
          <w:p w14:paraId="48CDEC3B" w14:textId="1C5885FC" w:rsidR="004976E4" w:rsidRPr="0037757C" w:rsidRDefault="00AF3FF6" w:rsidP="00165C16">
            <w:pPr>
              <w:pStyle w:val="Odlomakpopisa"/>
              <w:numPr>
                <w:ilvl w:val="0"/>
                <w:numId w:val="20"/>
              </w:numPr>
              <w:tabs>
                <w:tab w:val="num" w:pos="644"/>
              </w:tabs>
              <w:spacing w:before="60" w:after="60" w:line="240" w:lineRule="auto"/>
              <w:ind w:right="-2"/>
              <w:rPr>
                <w:rFonts w:cs="Calibri"/>
                <w:sz w:val="18"/>
                <w:szCs w:val="18"/>
              </w:rPr>
            </w:pPr>
            <w:r>
              <w:rPr>
                <w:rFonts w:cs="Calibri"/>
                <w:sz w:val="18"/>
                <w:szCs w:val="18"/>
              </w:rPr>
              <w:t>o</w:t>
            </w:r>
            <w:r w:rsidR="004976E4" w:rsidRPr="0037757C">
              <w:rPr>
                <w:rFonts w:cs="Calibri"/>
                <w:sz w:val="18"/>
                <w:szCs w:val="18"/>
              </w:rPr>
              <w:t>sigur</w:t>
            </w:r>
            <w:r w:rsidR="00C522CB">
              <w:rPr>
                <w:rFonts w:cs="Calibri"/>
                <w:sz w:val="18"/>
                <w:szCs w:val="18"/>
              </w:rPr>
              <w:t>avati</w:t>
            </w:r>
            <w:r w:rsidR="004976E4" w:rsidRPr="0037757C">
              <w:rPr>
                <w:rFonts w:cs="Calibri"/>
                <w:sz w:val="18"/>
                <w:szCs w:val="18"/>
              </w:rPr>
              <w:t xml:space="preserve"> financijske i stručne preduvjete za poboljšanje znanja o diskriminaciji i senzibilizaciju javnosti za ovu temu</w:t>
            </w:r>
          </w:p>
          <w:p w14:paraId="1EEC6FE6" w14:textId="617CFD12" w:rsidR="004976E4" w:rsidRPr="0037757C" w:rsidRDefault="00AF3FF6" w:rsidP="00165C16">
            <w:pPr>
              <w:pStyle w:val="Odlomakpopisa"/>
              <w:numPr>
                <w:ilvl w:val="0"/>
                <w:numId w:val="20"/>
              </w:numPr>
              <w:tabs>
                <w:tab w:val="num" w:pos="644"/>
              </w:tabs>
              <w:spacing w:before="60" w:after="60" w:line="240" w:lineRule="auto"/>
              <w:ind w:right="-2"/>
              <w:rPr>
                <w:rFonts w:cs="Calibri"/>
                <w:sz w:val="18"/>
                <w:szCs w:val="18"/>
              </w:rPr>
            </w:pPr>
            <w:r>
              <w:rPr>
                <w:rFonts w:cs="Calibri"/>
                <w:sz w:val="18"/>
                <w:szCs w:val="18"/>
              </w:rPr>
              <w:t>p</w:t>
            </w:r>
            <w:r w:rsidR="004976E4" w:rsidRPr="0037757C">
              <w:rPr>
                <w:rFonts w:cs="Calibri"/>
                <w:sz w:val="18"/>
                <w:szCs w:val="18"/>
              </w:rPr>
              <w:t>oticati organizacije civilnog društva da doprinose jačanju javne svijesti o društvenoj opasnosti diskriminacije i dobru koje za svakoga donosi poštivanje prava drugog i drugačijeg</w:t>
            </w:r>
          </w:p>
          <w:p w14:paraId="6F8D8393" w14:textId="531BBFEB" w:rsidR="004976E4" w:rsidRPr="0037757C" w:rsidRDefault="00AF3FF6" w:rsidP="00165C16">
            <w:pPr>
              <w:pStyle w:val="Odlomakpopisa"/>
              <w:numPr>
                <w:ilvl w:val="0"/>
                <w:numId w:val="20"/>
              </w:numPr>
              <w:tabs>
                <w:tab w:val="num" w:pos="644"/>
              </w:tabs>
              <w:autoSpaceDE w:val="0"/>
              <w:autoSpaceDN w:val="0"/>
              <w:adjustRightInd w:val="0"/>
              <w:spacing w:after="0" w:line="240" w:lineRule="auto"/>
              <w:rPr>
                <w:rFonts w:cs="Calibri"/>
                <w:color w:val="000000"/>
                <w:sz w:val="18"/>
                <w:szCs w:val="18"/>
                <w:lang w:eastAsia="hr-HR"/>
              </w:rPr>
            </w:pPr>
            <w:r>
              <w:rPr>
                <w:rFonts w:cs="Calibri"/>
                <w:color w:val="000000"/>
                <w:sz w:val="18"/>
                <w:szCs w:val="18"/>
                <w:lang w:eastAsia="hr-HR"/>
              </w:rPr>
              <w:t>o</w:t>
            </w:r>
            <w:r w:rsidR="004976E4" w:rsidRPr="0037757C">
              <w:rPr>
                <w:rFonts w:cs="Calibri"/>
                <w:color w:val="000000"/>
                <w:sz w:val="18"/>
                <w:szCs w:val="18"/>
                <w:lang w:eastAsia="hr-HR"/>
              </w:rPr>
              <w:t xml:space="preserve">siguravati sredstva u gradskom proračunu za provođenje projekata udruga iz područja suzbijanja rasne i druge diskriminacije </w:t>
            </w:r>
          </w:p>
          <w:p w14:paraId="22FD8103" w14:textId="5DB19835" w:rsidR="004976E4" w:rsidRPr="0037757C" w:rsidRDefault="00AF3FF6" w:rsidP="00165C16">
            <w:pPr>
              <w:pStyle w:val="Odlomakpopisa"/>
              <w:numPr>
                <w:ilvl w:val="0"/>
                <w:numId w:val="20"/>
              </w:numPr>
              <w:tabs>
                <w:tab w:val="num" w:pos="644"/>
              </w:tabs>
              <w:autoSpaceDE w:val="0"/>
              <w:autoSpaceDN w:val="0"/>
              <w:adjustRightInd w:val="0"/>
              <w:spacing w:after="0" w:line="240" w:lineRule="auto"/>
              <w:rPr>
                <w:rFonts w:cs="Calibri"/>
                <w:color w:val="000000"/>
                <w:sz w:val="18"/>
                <w:szCs w:val="18"/>
                <w:lang w:eastAsia="hr-HR"/>
              </w:rPr>
            </w:pPr>
            <w:r>
              <w:rPr>
                <w:rFonts w:cs="Calibri"/>
                <w:color w:val="000000"/>
                <w:sz w:val="18"/>
                <w:szCs w:val="18"/>
                <w:lang w:eastAsia="hr-HR"/>
              </w:rPr>
              <w:t>p</w:t>
            </w:r>
            <w:r w:rsidR="004976E4" w:rsidRPr="0037757C">
              <w:rPr>
                <w:rFonts w:cs="Calibri"/>
                <w:color w:val="000000"/>
                <w:sz w:val="18"/>
                <w:szCs w:val="18"/>
                <w:lang w:eastAsia="hr-HR"/>
              </w:rPr>
              <w:t xml:space="preserve">rovoditi projekte iz područja suzbijanja rasne i druge diskriminacije pribavljanjem financijskih sredstava iz europskih fondova </w:t>
            </w:r>
          </w:p>
          <w:p w14:paraId="724B0510" w14:textId="2028C1B5" w:rsidR="004976E4" w:rsidRPr="0037757C" w:rsidRDefault="00AF3FF6" w:rsidP="00165C16">
            <w:pPr>
              <w:pStyle w:val="Odlomakpopisa"/>
              <w:numPr>
                <w:ilvl w:val="0"/>
                <w:numId w:val="20"/>
              </w:numPr>
              <w:tabs>
                <w:tab w:val="num" w:pos="644"/>
              </w:tabs>
              <w:spacing w:before="60" w:after="60" w:line="240" w:lineRule="auto"/>
              <w:ind w:right="-2"/>
              <w:rPr>
                <w:rFonts w:cs="Calibri"/>
                <w:sz w:val="18"/>
                <w:szCs w:val="18"/>
              </w:rPr>
            </w:pPr>
            <w:r>
              <w:rPr>
                <w:rFonts w:cs="Calibri"/>
                <w:sz w:val="18"/>
                <w:szCs w:val="18"/>
              </w:rPr>
              <w:t>j</w:t>
            </w:r>
            <w:r w:rsidR="004976E4" w:rsidRPr="0037757C">
              <w:rPr>
                <w:rFonts w:cs="Calibri"/>
                <w:sz w:val="18"/>
                <w:szCs w:val="18"/>
              </w:rPr>
              <w:t>ačati ulogu lokalnih medija u promicanju tolerancije i potrebi suzbijanja svakog oblika diskriminacije u Gradu Zagrebu</w:t>
            </w:r>
          </w:p>
          <w:p w14:paraId="430E20C3" w14:textId="3B35D840" w:rsidR="004976E4" w:rsidRPr="0037757C" w:rsidRDefault="00AF3FF6" w:rsidP="00165C16">
            <w:pPr>
              <w:pStyle w:val="Odlomakpopisa"/>
              <w:numPr>
                <w:ilvl w:val="0"/>
                <w:numId w:val="20"/>
              </w:numPr>
              <w:tabs>
                <w:tab w:val="num" w:pos="644"/>
              </w:tabs>
              <w:autoSpaceDE w:val="0"/>
              <w:autoSpaceDN w:val="0"/>
              <w:adjustRightInd w:val="0"/>
              <w:spacing w:before="60" w:after="0" w:line="240" w:lineRule="auto"/>
              <w:ind w:right="-2"/>
              <w:rPr>
                <w:rFonts w:cs="Calibri"/>
                <w:color w:val="000000"/>
                <w:sz w:val="18"/>
                <w:szCs w:val="18"/>
                <w:lang w:eastAsia="hr-HR"/>
              </w:rPr>
            </w:pPr>
            <w:r>
              <w:rPr>
                <w:rFonts w:cs="Calibri"/>
                <w:sz w:val="18"/>
                <w:szCs w:val="18"/>
              </w:rPr>
              <w:t>p</w:t>
            </w:r>
            <w:r w:rsidR="004976E4" w:rsidRPr="0037757C">
              <w:rPr>
                <w:rFonts w:cs="Calibri"/>
                <w:sz w:val="18"/>
                <w:szCs w:val="18"/>
              </w:rPr>
              <w:t>oticati razmjenu dobrih praksi između Grada Zagreba i gradova u zemlji i inozemstvu</w:t>
            </w:r>
          </w:p>
          <w:p w14:paraId="51BF363D" w14:textId="2A016875" w:rsidR="004976E4" w:rsidRPr="00D22304" w:rsidRDefault="00AF3FF6" w:rsidP="008C03CC">
            <w:pPr>
              <w:pStyle w:val="Odlomakpopisa"/>
              <w:numPr>
                <w:ilvl w:val="0"/>
                <w:numId w:val="20"/>
              </w:numPr>
              <w:tabs>
                <w:tab w:val="num" w:pos="644"/>
              </w:tabs>
              <w:autoSpaceDE w:val="0"/>
              <w:autoSpaceDN w:val="0"/>
              <w:adjustRightInd w:val="0"/>
              <w:spacing w:before="60" w:after="0" w:line="240" w:lineRule="auto"/>
              <w:ind w:right="-2"/>
              <w:rPr>
                <w:rFonts w:cs="Calibri"/>
                <w:b/>
                <w:sz w:val="18"/>
                <w:szCs w:val="18"/>
              </w:rPr>
            </w:pPr>
            <w:r>
              <w:rPr>
                <w:rFonts w:cs="Calibri"/>
                <w:sz w:val="18"/>
                <w:szCs w:val="18"/>
              </w:rPr>
              <w:t>p</w:t>
            </w:r>
            <w:r w:rsidR="004976E4" w:rsidRPr="0037757C">
              <w:rPr>
                <w:rFonts w:cs="Calibri"/>
                <w:sz w:val="18"/>
                <w:szCs w:val="18"/>
              </w:rPr>
              <w:t>oticati razmjenu dobrih praksi između Grada Zagreba i gradova EU sudjelovanjem u projektima s ciljem razmjene iskustava, znanja i dobre prakse na temu prihvaćanja različitosti</w:t>
            </w:r>
          </w:p>
        </w:tc>
      </w:tr>
    </w:tbl>
    <w:p w14:paraId="5941E33B" w14:textId="77777777" w:rsidR="004976E4" w:rsidRDefault="004976E4" w:rsidP="004976E4">
      <w:pPr>
        <w:tabs>
          <w:tab w:val="left" w:pos="567"/>
        </w:tabs>
        <w:spacing w:line="240" w:lineRule="auto"/>
        <w:jc w:val="both"/>
        <w:rPr>
          <w:rFonts w:cs="Calibri"/>
          <w:b/>
          <w:bCs/>
        </w:rPr>
      </w:pPr>
    </w:p>
    <w:p w14:paraId="4FB73F93" w14:textId="51C926A1" w:rsidR="004976E4" w:rsidRDefault="004976E4" w:rsidP="002817DA">
      <w:pPr>
        <w:pStyle w:val="Stil2"/>
        <w:numPr>
          <w:ilvl w:val="2"/>
          <w:numId w:val="50"/>
        </w:numPr>
      </w:pPr>
      <w:bookmarkStart w:id="45" w:name="_Toc97123797"/>
      <w:r>
        <w:t>Nacionalne manjine</w:t>
      </w:r>
      <w:bookmarkEnd w:id="45"/>
    </w:p>
    <w:p w14:paraId="316F7BB5" w14:textId="77777777" w:rsidR="00E26914" w:rsidRPr="00E26914" w:rsidRDefault="004976E4" w:rsidP="00E26914">
      <w:pPr>
        <w:spacing w:line="240" w:lineRule="auto"/>
        <w:ind w:right="-57"/>
        <w:contextualSpacing/>
        <w:jc w:val="both"/>
        <w:rPr>
          <w:rFonts w:cs="Calibri"/>
          <w:bCs/>
          <w:lang w:eastAsia="x-none"/>
        </w:rPr>
      </w:pPr>
      <w:r w:rsidRPr="00CD4594">
        <w:rPr>
          <w:rFonts w:cs="Calibri"/>
          <w:bCs/>
          <w:lang w:eastAsia="x-none"/>
        </w:rPr>
        <w:t xml:space="preserve">Republika Hrvatska, sukladno pozitivnim propisima, osigurava ostvarivanje posebnih prava i sloboda pripadnika nacionalnih manjina. U Izvorišnim osnovama Ustava Republike Hrvatske navedeno je da se Republika Hrvatska ustanovljuje kao nacionalna država hrvatskoga naroda i država pripadnika nacionalnih manjina: Srba, Čeha, Slovaka, Talijana, Mađara, Židova, Nijemaca, Austrijanaca, Ukrajinaca, Rusina, Bošnjaka, Slovenaca, Crnogoraca, Makedonaca, Rusa, Bugara, Poljaka, Roma, Rumunja, Turaka, Vlaha, Albanaca i drugih, koji su njezini državljani, kojima se jamči ravnopravnost s građanima hrvatske narodnosti i ostvarivanje nacionalnih prava u skladu s demokratskim normama UN-a i zemalja slobodnoga svijeta. Na području Grada Zagreba tradicionalno prebivaju stanovnici različitih etničkih, kulturnih i vjerskih obilježja i opredjeljenja koji, na poseban i nenadomjestiv način, pridonose bogatstvu i raznolikosti zagrebačkoga gospodarskog, političkog, kulturnog i svekolikoga drugog života. </w:t>
      </w:r>
      <w:r w:rsidR="00E26914" w:rsidRPr="00E26914">
        <w:rPr>
          <w:rFonts w:cs="Calibri"/>
          <w:bCs/>
          <w:lang w:eastAsia="x-none"/>
        </w:rPr>
        <w:t>U vrijeme popisa stanovništva 2011. na području Grada Zagreba živjelo je 41550 pripadnika 22 nacionalne manjine koji su činili 5,26% ukupnoga broja stalnih stanovnika Grada. Najzastupljenija nacionalna manjina su Srbi, kojih u Gradu Zagrebu živi 17,526, a najmanje zastupljena nacionalna manjina su Vlasi, kojih u Gradu Zagrebu živi 7.</w:t>
      </w:r>
      <w:r w:rsidR="00E26914" w:rsidRPr="00E26914">
        <w:t xml:space="preserve"> </w:t>
      </w:r>
      <w:r w:rsidR="00E26914" w:rsidRPr="00E26914">
        <w:rPr>
          <w:rFonts w:cs="Calibri"/>
          <w:bCs/>
          <w:lang w:eastAsia="x-none"/>
        </w:rPr>
        <w:t>Od svih pripadnika nacionalnih manjina, najviše ih se izjasnilo da kao materinskim jezikom govori albanskim (4054 osobe), a najmanje vlaškim (jedna osoba).</w:t>
      </w:r>
    </w:p>
    <w:p w14:paraId="07237DD6" w14:textId="77777777" w:rsidR="004976E4" w:rsidRDefault="004976E4" w:rsidP="004976E4">
      <w:pPr>
        <w:spacing w:line="240" w:lineRule="auto"/>
        <w:ind w:right="-57"/>
        <w:contextualSpacing/>
        <w:jc w:val="both"/>
        <w:rPr>
          <w:rFonts w:cs="Calibri"/>
          <w:bCs/>
          <w:lang w:eastAsia="x-none"/>
        </w:rPr>
      </w:pPr>
      <w:r w:rsidRPr="00CD4594">
        <w:rPr>
          <w:rFonts w:cs="Calibri"/>
          <w:bCs/>
          <w:lang w:eastAsia="x-none"/>
        </w:rPr>
        <w:t>Prava i zaštita nacionalnih manjina uređeni su Ustavnim zakonom o pravima nacionalnih manjina, a u Gradu Zagrebu Statu</w:t>
      </w:r>
      <w:r>
        <w:rPr>
          <w:rFonts w:cs="Calibri"/>
          <w:bCs/>
          <w:lang w:eastAsia="x-none"/>
        </w:rPr>
        <w:t>t</w:t>
      </w:r>
      <w:r w:rsidRPr="00CD4594">
        <w:rPr>
          <w:rFonts w:cs="Calibri"/>
          <w:bCs/>
          <w:lang w:eastAsia="x-none"/>
        </w:rPr>
        <w:t>om Grada Zagreba. U Gradu je razvijen sustav unapređivanja, očuvanja i zaštite položaja nacionalnih manjina koji se sastoji od upravnog tijela zaduženog za nacionalne manjine i koordinaciju aktivnosti u vezi s nacionalnim manjinama te kontinuiranog osiguravanja financijskih sredstava u gradskom proračunu za ostvarivanje prava nacionalnih manjina na sudjelovanje u javnom životu i upravljanju lokalnim poslovima Grada Zagreba. Nacionalne manjine ovo pravo ostvaruju putem vijeća i p</w:t>
      </w:r>
      <w:r>
        <w:rPr>
          <w:rFonts w:cs="Calibri"/>
          <w:bCs/>
          <w:lang w:eastAsia="x-none"/>
        </w:rPr>
        <w:t>redstavnika nacionalnih manjina na način da participiraju sa tri člana u sedmočlanom Odboru za nacionalne manjine Gradske skupštine Grada Zagreba, dobivaju na očitovanje sve materijale za sjednice Gradske skupštine Grada Zagreba te imaju pravo očitovati se na svaki materijal od značaja za nacionalne manjine.</w:t>
      </w:r>
      <w:r w:rsidRPr="00CD4594">
        <w:rPr>
          <w:rFonts w:cs="Calibri"/>
          <w:bCs/>
          <w:lang w:eastAsia="x-none"/>
        </w:rPr>
        <w:t xml:space="preserve"> U aktualnom sazivu 2019.-2023. djeluje 9 vijeća i 11 predstavnika kojima su osigurana sredstva za rad</w:t>
      </w:r>
      <w:r>
        <w:rPr>
          <w:rFonts w:cs="Calibri"/>
          <w:bCs/>
          <w:lang w:eastAsia="x-none"/>
        </w:rPr>
        <w:t>, prostor u sredstva za obavljanje administrativnih poslova. U gradskom proračunu se</w:t>
      </w:r>
      <w:r w:rsidRPr="007C04B1">
        <w:rPr>
          <w:rFonts w:cs="Calibri"/>
          <w:bCs/>
          <w:lang w:eastAsia="x-none"/>
        </w:rPr>
        <w:t>, pored</w:t>
      </w:r>
      <w:r>
        <w:rPr>
          <w:rFonts w:cs="Calibri"/>
          <w:bCs/>
          <w:lang w:eastAsia="x-none"/>
        </w:rPr>
        <w:t xml:space="preserve"> navedenoga, osiguravaju i  sredstva za </w:t>
      </w:r>
      <w:r w:rsidRPr="00F8598D">
        <w:rPr>
          <w:rFonts w:cs="Calibri"/>
          <w:bCs/>
          <w:lang w:eastAsia="x-none"/>
        </w:rPr>
        <w:t>provođenje aktivnosti usmjerenih očuvanju njiho</w:t>
      </w:r>
      <w:r>
        <w:rPr>
          <w:rFonts w:cs="Calibri"/>
          <w:bCs/>
          <w:lang w:eastAsia="x-none"/>
        </w:rPr>
        <w:t xml:space="preserve">vih jezika, tradicije i kulture (obilježavanje značajnih datuma i praznika nacionalnih manjina, tribine, konferencije, seminari, izdavaštvo, </w:t>
      </w:r>
      <w:r w:rsidRPr="007C04B1">
        <w:rPr>
          <w:rFonts w:cs="Calibri"/>
          <w:bCs/>
          <w:lang w:eastAsia="x-none"/>
        </w:rPr>
        <w:t>ljetne i zimske škole</w:t>
      </w:r>
      <w:r>
        <w:rPr>
          <w:rFonts w:cs="Calibri"/>
          <w:bCs/>
          <w:lang w:eastAsia="x-none"/>
        </w:rPr>
        <w:t xml:space="preserve"> i slično). Grad je razvio partnerske odnose s nacionalnim manjinama, osobito s </w:t>
      </w:r>
      <w:r w:rsidRPr="00973C11">
        <w:rPr>
          <w:rFonts w:cs="Calibri"/>
          <w:bCs/>
          <w:lang w:eastAsia="x-none"/>
        </w:rPr>
        <w:t>Koordinacijom vijeća i predstavnika nacionalnih manjina Grada Zagreba koju su, 2003., osnovala vijeća i predstavnici radi usklađivanja i unapređivanja zajedničkih interesa.</w:t>
      </w:r>
      <w:r>
        <w:rPr>
          <w:rFonts w:cs="Calibri"/>
          <w:bCs/>
          <w:lang w:eastAsia="x-none"/>
        </w:rPr>
        <w:t xml:space="preserve"> Rad Koordinacije se, također, financira iz gradskog proračuna.</w:t>
      </w:r>
    </w:p>
    <w:p w14:paraId="779F2406" w14:textId="77777777" w:rsidR="004976E4" w:rsidRDefault="004976E4" w:rsidP="004976E4">
      <w:pPr>
        <w:spacing w:line="240" w:lineRule="auto"/>
        <w:ind w:right="-57"/>
        <w:contextualSpacing/>
        <w:jc w:val="both"/>
        <w:rPr>
          <w:rFonts w:cs="Calibri"/>
          <w:bCs/>
          <w:lang w:eastAsia="x-none"/>
        </w:rPr>
      </w:pPr>
    </w:p>
    <w:p w14:paraId="2F35FD9B" w14:textId="77777777" w:rsidR="004976E4" w:rsidRDefault="004976E4" w:rsidP="004976E4">
      <w:pPr>
        <w:spacing w:line="240" w:lineRule="auto"/>
        <w:ind w:right="-57"/>
        <w:contextualSpacing/>
        <w:jc w:val="both"/>
        <w:rPr>
          <w:rFonts w:cs="Calibri"/>
          <w:bCs/>
          <w:lang w:eastAsia="x-none"/>
        </w:rPr>
      </w:pPr>
      <w:r w:rsidRPr="00166A99">
        <w:rPr>
          <w:rFonts w:cs="Calibri"/>
          <w:bCs/>
          <w:lang w:eastAsia="x-none"/>
        </w:rPr>
        <w:t xml:space="preserve">U organiziranju </w:t>
      </w:r>
      <w:r>
        <w:rPr>
          <w:rFonts w:cs="Calibri"/>
          <w:bCs/>
          <w:lang w:eastAsia="x-none"/>
        </w:rPr>
        <w:t>nacionalnomanjinskog identiteta, pored vijeća i predstavnika, važnu</w:t>
      </w:r>
      <w:r w:rsidRPr="00166A99">
        <w:rPr>
          <w:rFonts w:cs="Calibri"/>
          <w:bCs/>
          <w:lang w:eastAsia="x-none"/>
        </w:rPr>
        <w:t xml:space="preserve"> ulogu imaju kulturno</w:t>
      </w:r>
      <w:r>
        <w:rPr>
          <w:rFonts w:cs="Calibri"/>
          <w:bCs/>
          <w:lang w:eastAsia="x-none"/>
        </w:rPr>
        <w:t>-</w:t>
      </w:r>
      <w:r w:rsidRPr="00166A99">
        <w:rPr>
          <w:rFonts w:cs="Calibri"/>
          <w:bCs/>
          <w:lang w:eastAsia="x-none"/>
        </w:rPr>
        <w:t>umjetničke udruge i društva, a kulturni, umjetnički, obrazovni i religijski aspekti predstavljaju važan dio nacionalnomanjinskog života u Gradu Zagrebu. Programi i projekti udruga nacionalnih manjina kontinuirano se financiraju iz proračuna Grada Zagreba.</w:t>
      </w:r>
    </w:p>
    <w:p w14:paraId="454EEDDD" w14:textId="77777777" w:rsidR="004976E4" w:rsidRDefault="004976E4" w:rsidP="004976E4">
      <w:pPr>
        <w:spacing w:line="240" w:lineRule="auto"/>
        <w:ind w:right="-57"/>
        <w:contextualSpacing/>
        <w:jc w:val="both"/>
        <w:rPr>
          <w:rFonts w:cs="Calibri"/>
          <w:bCs/>
          <w:lang w:eastAsia="x-none"/>
        </w:rPr>
      </w:pPr>
    </w:p>
    <w:p w14:paraId="000806DD" w14:textId="77777777" w:rsidR="004976E4" w:rsidRDefault="004976E4" w:rsidP="004976E4">
      <w:pPr>
        <w:spacing w:line="240" w:lineRule="auto"/>
        <w:ind w:right="-57"/>
        <w:contextualSpacing/>
        <w:jc w:val="both"/>
        <w:rPr>
          <w:rFonts w:cs="Calibri"/>
          <w:bCs/>
          <w:lang w:eastAsia="x-none"/>
        </w:rPr>
      </w:pPr>
      <w:r w:rsidRPr="00CD4594">
        <w:rPr>
          <w:rFonts w:cs="Calibri"/>
          <w:bCs/>
          <w:lang w:eastAsia="x-none"/>
        </w:rPr>
        <w:t>U području predškolskog, osnovnoškolskog i srednjoškolskog obrazovanja provode se programi i dopunska nastava za djecu i učenike pri</w:t>
      </w:r>
      <w:r>
        <w:rPr>
          <w:rFonts w:cs="Calibri"/>
          <w:bCs/>
          <w:lang w:eastAsia="x-none"/>
        </w:rPr>
        <w:t>padnike nacionalnih manjina  u tri</w:t>
      </w:r>
      <w:r w:rsidRPr="00CD4594">
        <w:rPr>
          <w:rFonts w:cs="Calibri"/>
          <w:bCs/>
          <w:lang w:eastAsia="x-none"/>
        </w:rPr>
        <w:t xml:space="preserve"> dječja vrtića (za mađ</w:t>
      </w:r>
      <w:r>
        <w:rPr>
          <w:rFonts w:cs="Calibri"/>
          <w:bCs/>
          <w:lang w:eastAsia="x-none"/>
        </w:rPr>
        <w:t>arski, židovski i romski jezik).</w:t>
      </w:r>
      <w:r w:rsidRPr="00CD4594">
        <w:rPr>
          <w:rFonts w:cs="Calibri"/>
          <w:bCs/>
          <w:lang w:eastAsia="x-none"/>
        </w:rPr>
        <w:t xml:space="preserve">  </w:t>
      </w:r>
      <w:r>
        <w:rPr>
          <w:rFonts w:cs="Calibri"/>
          <w:bCs/>
          <w:lang w:eastAsia="x-none"/>
        </w:rPr>
        <w:t>U devet</w:t>
      </w:r>
      <w:r w:rsidRPr="00CD4594">
        <w:rPr>
          <w:rFonts w:cs="Calibri"/>
          <w:bCs/>
          <w:lang w:eastAsia="x-none"/>
        </w:rPr>
        <w:t xml:space="preserve"> osnovnih škola</w:t>
      </w:r>
      <w:r>
        <w:rPr>
          <w:rFonts w:cs="Calibri"/>
          <w:bCs/>
          <w:lang w:eastAsia="x-none"/>
        </w:rPr>
        <w:t xml:space="preserve"> provodi se nastava po modelu C (</w:t>
      </w:r>
      <w:r w:rsidRPr="00D401E4">
        <w:rPr>
          <w:rFonts w:cs="Calibri"/>
          <w:bCs/>
          <w:lang w:eastAsia="x-none"/>
        </w:rPr>
        <w:t>njegovanje jezika i kulture</w:t>
      </w:r>
      <w:r>
        <w:rPr>
          <w:rFonts w:cs="Calibri"/>
          <w:bCs/>
          <w:lang w:eastAsia="x-none"/>
        </w:rPr>
        <w:t xml:space="preserve">) na </w:t>
      </w:r>
      <w:r w:rsidRPr="00CD4594">
        <w:rPr>
          <w:rFonts w:cs="Calibri"/>
          <w:bCs/>
          <w:lang w:eastAsia="x-none"/>
        </w:rPr>
        <w:t xml:space="preserve"> mađarsk</w:t>
      </w:r>
      <w:r>
        <w:rPr>
          <w:rFonts w:cs="Calibri"/>
          <w:bCs/>
          <w:lang w:eastAsia="x-none"/>
        </w:rPr>
        <w:t>om</w:t>
      </w:r>
      <w:r w:rsidRPr="00CD4594">
        <w:rPr>
          <w:rFonts w:cs="Calibri"/>
          <w:bCs/>
          <w:lang w:eastAsia="x-none"/>
        </w:rPr>
        <w:t>, rusk</w:t>
      </w:r>
      <w:r>
        <w:rPr>
          <w:rFonts w:cs="Calibri"/>
          <w:bCs/>
          <w:lang w:eastAsia="x-none"/>
        </w:rPr>
        <w:t>om</w:t>
      </w:r>
      <w:r w:rsidRPr="00CD4594">
        <w:rPr>
          <w:rFonts w:cs="Calibri"/>
          <w:bCs/>
          <w:lang w:eastAsia="x-none"/>
        </w:rPr>
        <w:t>, poljsk</w:t>
      </w:r>
      <w:r>
        <w:rPr>
          <w:rFonts w:cs="Calibri"/>
          <w:bCs/>
          <w:lang w:eastAsia="x-none"/>
        </w:rPr>
        <w:t>om</w:t>
      </w:r>
      <w:r w:rsidRPr="00CD4594">
        <w:rPr>
          <w:rFonts w:cs="Calibri"/>
          <w:bCs/>
          <w:lang w:eastAsia="x-none"/>
        </w:rPr>
        <w:t>, albansk</w:t>
      </w:r>
      <w:r>
        <w:rPr>
          <w:rFonts w:cs="Calibri"/>
          <w:bCs/>
          <w:lang w:eastAsia="x-none"/>
        </w:rPr>
        <w:t>om</w:t>
      </w:r>
      <w:r w:rsidRPr="00CD4594">
        <w:rPr>
          <w:rFonts w:cs="Calibri"/>
          <w:bCs/>
          <w:lang w:eastAsia="x-none"/>
        </w:rPr>
        <w:t>, češk</w:t>
      </w:r>
      <w:r>
        <w:rPr>
          <w:rFonts w:cs="Calibri"/>
          <w:bCs/>
          <w:lang w:eastAsia="x-none"/>
        </w:rPr>
        <w:t>om</w:t>
      </w:r>
      <w:r w:rsidRPr="00CD4594">
        <w:rPr>
          <w:rFonts w:cs="Calibri"/>
          <w:bCs/>
          <w:lang w:eastAsia="x-none"/>
        </w:rPr>
        <w:t>, ukrajinsk</w:t>
      </w:r>
      <w:r>
        <w:rPr>
          <w:rFonts w:cs="Calibri"/>
          <w:bCs/>
          <w:lang w:eastAsia="x-none"/>
        </w:rPr>
        <w:t>om</w:t>
      </w:r>
      <w:r w:rsidRPr="00CD4594">
        <w:rPr>
          <w:rFonts w:cs="Calibri"/>
          <w:bCs/>
          <w:lang w:eastAsia="x-none"/>
        </w:rPr>
        <w:t>, makedonsk</w:t>
      </w:r>
      <w:r>
        <w:rPr>
          <w:rFonts w:cs="Calibri"/>
          <w:bCs/>
          <w:lang w:eastAsia="x-none"/>
        </w:rPr>
        <w:t>om, hebrejskom i bošnjačkom jeziku te u jednoj po modelu B (</w:t>
      </w:r>
      <w:r w:rsidRPr="00D401E4">
        <w:rPr>
          <w:rFonts w:cs="Calibri"/>
          <w:bCs/>
          <w:lang w:eastAsia="x-none"/>
        </w:rPr>
        <w:t>dvojezična nastava</w:t>
      </w:r>
      <w:r>
        <w:rPr>
          <w:rFonts w:cs="Calibri"/>
          <w:bCs/>
          <w:lang w:eastAsia="x-none"/>
        </w:rPr>
        <w:t>)</w:t>
      </w:r>
      <w:r w:rsidRPr="00D401E4">
        <w:rPr>
          <w:rFonts w:cs="Calibri"/>
          <w:bCs/>
          <w:lang w:eastAsia="x-none"/>
        </w:rPr>
        <w:t xml:space="preserve"> </w:t>
      </w:r>
      <w:r>
        <w:rPr>
          <w:rFonts w:cs="Calibri"/>
          <w:bCs/>
          <w:lang w:eastAsia="x-none"/>
        </w:rPr>
        <w:t>na mađarskom jeziku. U dvije</w:t>
      </w:r>
      <w:r w:rsidRPr="00CD4594">
        <w:rPr>
          <w:rFonts w:cs="Calibri"/>
          <w:bCs/>
          <w:lang w:eastAsia="x-none"/>
        </w:rPr>
        <w:t xml:space="preserve"> srednje škole</w:t>
      </w:r>
      <w:r>
        <w:rPr>
          <w:rFonts w:cs="Calibri"/>
          <w:bCs/>
          <w:lang w:eastAsia="x-none"/>
        </w:rPr>
        <w:t xml:space="preserve"> provodi se nastava po modelu C za  češki, mađarski i makedonski  te u jednoj po modelu A (</w:t>
      </w:r>
      <w:r w:rsidRPr="00D401E4">
        <w:rPr>
          <w:rFonts w:cs="Calibri"/>
          <w:bCs/>
          <w:lang w:eastAsia="x-none"/>
        </w:rPr>
        <w:t>nastava na jeziku i pismu nacionalnih manjina</w:t>
      </w:r>
      <w:r>
        <w:rPr>
          <w:rFonts w:cs="Calibri"/>
          <w:bCs/>
          <w:lang w:eastAsia="x-none"/>
        </w:rPr>
        <w:t>)</w:t>
      </w:r>
      <w:r w:rsidRPr="00D401E4">
        <w:rPr>
          <w:rFonts w:cs="Calibri"/>
          <w:bCs/>
          <w:lang w:eastAsia="x-none"/>
        </w:rPr>
        <w:t xml:space="preserve"> </w:t>
      </w:r>
      <w:r>
        <w:rPr>
          <w:rFonts w:cs="Calibri"/>
          <w:bCs/>
          <w:lang w:eastAsia="x-none"/>
        </w:rPr>
        <w:t>za</w:t>
      </w:r>
      <w:r w:rsidRPr="00D401E4">
        <w:rPr>
          <w:rFonts w:cs="Calibri"/>
          <w:bCs/>
          <w:lang w:eastAsia="x-none"/>
        </w:rPr>
        <w:t xml:space="preserve"> srpski jezik</w:t>
      </w:r>
      <w:r>
        <w:rPr>
          <w:rFonts w:cs="Calibri"/>
          <w:bCs/>
          <w:lang w:eastAsia="x-none"/>
        </w:rPr>
        <w:t xml:space="preserve">. </w:t>
      </w:r>
    </w:p>
    <w:p w14:paraId="4EFBFC04" w14:textId="77777777" w:rsidR="004976E4" w:rsidRDefault="004976E4" w:rsidP="004976E4">
      <w:pPr>
        <w:spacing w:line="240" w:lineRule="auto"/>
        <w:ind w:right="-57"/>
        <w:contextualSpacing/>
        <w:jc w:val="both"/>
        <w:rPr>
          <w:rFonts w:cs="Calibri"/>
          <w:bCs/>
          <w:lang w:eastAsia="x-none"/>
        </w:rPr>
      </w:pPr>
    </w:p>
    <w:p w14:paraId="33FFF3FB" w14:textId="77777777" w:rsidR="004976E4" w:rsidRDefault="004976E4" w:rsidP="004976E4">
      <w:pPr>
        <w:spacing w:line="240" w:lineRule="auto"/>
        <w:ind w:right="-57"/>
        <w:contextualSpacing/>
        <w:jc w:val="both"/>
        <w:rPr>
          <w:rFonts w:cs="Calibri"/>
          <w:bCs/>
          <w:lang w:eastAsia="x-none"/>
        </w:rPr>
      </w:pPr>
      <w:r>
        <w:rPr>
          <w:rFonts w:cs="Calibri"/>
          <w:bCs/>
          <w:lang w:eastAsia="x-none"/>
        </w:rPr>
        <w:t>Uključenost djece, mladih i odraslih pripadnika romske nacionalne manjine u p</w:t>
      </w:r>
      <w:r w:rsidRPr="00533963">
        <w:rPr>
          <w:rFonts w:cs="Calibri"/>
          <w:bCs/>
          <w:lang w:eastAsia="x-none"/>
        </w:rPr>
        <w:t>redškolsko, osnovnoškolsko, srednjoškolsko i visokoškolsko obrazovanje</w:t>
      </w:r>
      <w:r>
        <w:rPr>
          <w:rFonts w:cs="Calibri"/>
          <w:bCs/>
          <w:lang w:eastAsia="x-none"/>
        </w:rPr>
        <w:t xml:space="preserve"> potiče se dodjeljivanjem učeničkih i studentskih stipendija. Broj dodijeljenih stipendija i broj učenika koji završavaju školu dokazuje uspješnost mjere.  </w:t>
      </w:r>
    </w:p>
    <w:p w14:paraId="7D3FB314" w14:textId="77777777" w:rsidR="004976E4" w:rsidRDefault="004976E4" w:rsidP="004976E4">
      <w:pPr>
        <w:spacing w:line="240" w:lineRule="auto"/>
        <w:ind w:right="-57"/>
        <w:contextualSpacing/>
        <w:jc w:val="both"/>
        <w:rPr>
          <w:rFonts w:cs="Calibri"/>
          <w:bCs/>
          <w:lang w:eastAsia="x-none"/>
        </w:rPr>
      </w:pPr>
    </w:p>
    <w:p w14:paraId="0CC2F60E" w14:textId="77777777" w:rsidR="00E26914" w:rsidRPr="00E26914" w:rsidRDefault="00E26914" w:rsidP="00E26914">
      <w:pPr>
        <w:spacing w:line="240" w:lineRule="auto"/>
        <w:ind w:right="-57"/>
        <w:contextualSpacing/>
        <w:jc w:val="both"/>
        <w:rPr>
          <w:rFonts w:cs="Calibri"/>
          <w:bCs/>
          <w:lang w:eastAsia="x-none"/>
        </w:rPr>
      </w:pPr>
      <w:r w:rsidRPr="00E26914">
        <w:rPr>
          <w:rFonts w:cs="Calibri"/>
          <w:bCs/>
          <w:lang w:eastAsia="x-none"/>
        </w:rPr>
        <w:t>Sukladno Nacionalnoj strategiji za uključivanje Roma za razdoblje od 2013. do 2020. godine, koji je donijela Vlada Republike Hrvatske, donesen je Akcijski plan Grada Zagreba za njezinu provedbu do 2020. Ciljevi koji su ostvareni provedbom ovih dokumenata su bolja integracija pripadnika romske nacionalne manjine i poboljšanje kvalitete njihovog života u područjima odgoja i obrazovanja, zdravstvene zaštite, zapošljavanja, stanovanja, prostornog uređenja, socijalne skrbi, uključivanja u kulturni i društveni život te prikupljanja statističkih podataka.</w:t>
      </w:r>
    </w:p>
    <w:p w14:paraId="3C7CC98C" w14:textId="77777777" w:rsidR="004976E4" w:rsidRDefault="004976E4" w:rsidP="004976E4">
      <w:pPr>
        <w:spacing w:line="240" w:lineRule="auto"/>
        <w:ind w:right="-57"/>
        <w:contextualSpacing/>
        <w:jc w:val="both"/>
        <w:rPr>
          <w:rFonts w:cs="Calibri"/>
          <w:bCs/>
          <w:lang w:eastAsia="x-none"/>
        </w:rPr>
      </w:pPr>
    </w:p>
    <w:p w14:paraId="1A4CE41E" w14:textId="77777777" w:rsidR="004976E4" w:rsidRDefault="004976E4" w:rsidP="004976E4">
      <w:pPr>
        <w:spacing w:line="240" w:lineRule="auto"/>
        <w:ind w:right="-57"/>
        <w:contextualSpacing/>
        <w:jc w:val="both"/>
        <w:rPr>
          <w:rFonts w:cs="Calibri"/>
          <w:bCs/>
        </w:rPr>
      </w:pPr>
      <w:r>
        <w:rPr>
          <w:rFonts w:cs="Calibri"/>
          <w:bCs/>
        </w:rPr>
        <w:t>P</w:t>
      </w:r>
      <w:r w:rsidRPr="00CD4594">
        <w:rPr>
          <w:rFonts w:cs="Calibri"/>
          <w:bCs/>
        </w:rPr>
        <w:t>ripadnici nacionalnih manjina u Gradu Za</w:t>
      </w:r>
      <w:r>
        <w:rPr>
          <w:rFonts w:cs="Calibri"/>
          <w:bCs/>
        </w:rPr>
        <w:t xml:space="preserve">grebu ističu </w:t>
      </w:r>
      <w:r w:rsidRPr="00CD4594">
        <w:rPr>
          <w:rFonts w:cs="Calibri"/>
          <w:bCs/>
        </w:rPr>
        <w:t xml:space="preserve"> </w:t>
      </w:r>
      <w:r>
        <w:rPr>
          <w:rFonts w:cs="Calibri"/>
          <w:bCs/>
        </w:rPr>
        <w:t xml:space="preserve">da je odgoj i obrazovanje na jezicima nacionalnih manjina važno radi usvajanja kulturne posebnosti i prava djeteta na odrastanje u integriranoj i tolerantnoj sredini. Zbog toga drže da bi odgoj i obrazovanje na jezicima nacionalnih manjina trebalo omogućiti u što većem broju dječjih vrtića i škola na području grada. </w:t>
      </w:r>
      <w:r w:rsidRPr="00CD4594">
        <w:rPr>
          <w:rFonts w:cs="Calibri"/>
          <w:bCs/>
        </w:rPr>
        <w:t>Nadalje,</w:t>
      </w:r>
      <w:r>
        <w:rPr>
          <w:rFonts w:cs="Calibri"/>
          <w:bCs/>
        </w:rPr>
        <w:t xml:space="preserve"> drže da bi trebalo još raditi na povezivanju</w:t>
      </w:r>
      <w:r w:rsidRPr="00B95D99">
        <w:rPr>
          <w:rFonts w:cs="Calibri"/>
          <w:bCs/>
        </w:rPr>
        <w:t xml:space="preserve"> s</w:t>
      </w:r>
      <w:r>
        <w:rPr>
          <w:rFonts w:cs="Calibri"/>
          <w:bCs/>
        </w:rPr>
        <w:t xml:space="preserve"> </w:t>
      </w:r>
      <w:r w:rsidRPr="00B95D99">
        <w:rPr>
          <w:rFonts w:cs="Calibri"/>
          <w:bCs/>
        </w:rPr>
        <w:t xml:space="preserve">matičnim državama </w:t>
      </w:r>
      <w:r>
        <w:rPr>
          <w:rFonts w:cs="Calibri"/>
          <w:bCs/>
        </w:rPr>
        <w:t>kako bi se otvorio</w:t>
      </w:r>
      <w:r w:rsidRPr="00D03314">
        <w:rPr>
          <w:rFonts w:cs="Calibri"/>
          <w:bCs/>
        </w:rPr>
        <w:t xml:space="preserve"> </w:t>
      </w:r>
      <w:r>
        <w:rPr>
          <w:rFonts w:cs="Calibri"/>
          <w:bCs/>
        </w:rPr>
        <w:t>prostor</w:t>
      </w:r>
      <w:r w:rsidRPr="00D03314">
        <w:rPr>
          <w:rFonts w:cs="Calibri"/>
          <w:bCs/>
        </w:rPr>
        <w:t xml:space="preserve"> za razvoj prekogranične suradnje.</w:t>
      </w:r>
    </w:p>
    <w:p w14:paraId="12D807BA" w14:textId="6B825CC4" w:rsidR="004976E4" w:rsidRDefault="004976E4" w:rsidP="002817DA">
      <w:pPr>
        <w:pStyle w:val="Stil2"/>
        <w:numPr>
          <w:ilvl w:val="2"/>
          <w:numId w:val="50"/>
        </w:numPr>
      </w:pPr>
      <w:bookmarkStart w:id="46" w:name="_Toc97123798"/>
      <w:r>
        <w:t>Vjerska prava i slobode</w:t>
      </w:r>
      <w:bookmarkEnd w:id="46"/>
    </w:p>
    <w:p w14:paraId="04AD2039" w14:textId="77777777" w:rsidR="004976E4" w:rsidRDefault="004976E4" w:rsidP="004976E4">
      <w:pPr>
        <w:tabs>
          <w:tab w:val="left" w:pos="-720"/>
        </w:tabs>
        <w:suppressAutoHyphens/>
        <w:spacing w:line="240" w:lineRule="auto"/>
        <w:ind w:right="-2"/>
        <w:jc w:val="both"/>
        <w:rPr>
          <w:rFonts w:cs="Calibri"/>
          <w:bCs/>
        </w:rPr>
      </w:pPr>
      <w:r>
        <w:rPr>
          <w:rFonts w:cs="Calibri"/>
          <w:bCs/>
        </w:rPr>
        <w:t xml:space="preserve">U </w:t>
      </w:r>
      <w:r w:rsidRPr="00D17648">
        <w:rPr>
          <w:rFonts w:cs="Calibri"/>
          <w:bCs/>
        </w:rPr>
        <w:t>Evidenciju vjerskih zajednica u Republici Hrvatskoj je</w:t>
      </w:r>
      <w:r>
        <w:rPr>
          <w:rFonts w:cs="Calibri"/>
          <w:bCs/>
        </w:rPr>
        <w:t>, krajem 2020.,</w:t>
      </w:r>
      <w:r w:rsidRPr="00D17648">
        <w:rPr>
          <w:rFonts w:cs="Calibri"/>
          <w:bCs/>
        </w:rPr>
        <w:t xml:space="preserve"> bilo upisano</w:t>
      </w:r>
      <w:r>
        <w:rPr>
          <w:rFonts w:cs="Calibri"/>
          <w:bCs/>
        </w:rPr>
        <w:t xml:space="preserve"> 54 </w:t>
      </w:r>
      <w:r w:rsidRPr="00D17648">
        <w:rPr>
          <w:rFonts w:cs="Calibri"/>
          <w:bCs/>
        </w:rPr>
        <w:t xml:space="preserve">vjerskih zajednica te </w:t>
      </w:r>
      <w:r>
        <w:rPr>
          <w:rFonts w:cs="Calibri"/>
          <w:bCs/>
        </w:rPr>
        <w:t>339 udruga</w:t>
      </w:r>
      <w:r>
        <w:t xml:space="preserve"> </w:t>
      </w:r>
      <w:r w:rsidRPr="00D17648">
        <w:rPr>
          <w:rFonts w:cs="Calibri"/>
          <w:bCs/>
        </w:rPr>
        <w:t>iz područja duhovnosti odnosno religijskih/vjerničkih djelatnosti</w:t>
      </w:r>
      <w:r>
        <w:rPr>
          <w:rFonts w:cs="Calibri"/>
          <w:bCs/>
        </w:rPr>
        <w:t xml:space="preserve"> koje djeluju u Gradu Zagrebu. </w:t>
      </w:r>
    </w:p>
    <w:p w14:paraId="00B9E049" w14:textId="77777777" w:rsidR="004976E4" w:rsidRDefault="004976E4" w:rsidP="004976E4">
      <w:pPr>
        <w:tabs>
          <w:tab w:val="left" w:pos="-720"/>
        </w:tabs>
        <w:suppressAutoHyphens/>
        <w:spacing w:line="240" w:lineRule="auto"/>
        <w:ind w:right="-2"/>
        <w:jc w:val="both"/>
        <w:rPr>
          <w:rFonts w:cs="Calibri"/>
          <w:bCs/>
        </w:rPr>
      </w:pPr>
      <w:r w:rsidRPr="00582A2E">
        <w:rPr>
          <w:rFonts w:cs="Calibri"/>
          <w:bCs/>
        </w:rPr>
        <w:t xml:space="preserve">U cilju </w:t>
      </w:r>
      <w:r>
        <w:rPr>
          <w:rFonts w:cs="Calibri"/>
          <w:bCs/>
        </w:rPr>
        <w:t>razvoja i unapređivanja odnosa s vjerskim zajednicama Grad kontinuirano podupire projekte koji promiču ekumenski dijalog</w:t>
      </w:r>
      <w:r w:rsidRPr="00582A2E">
        <w:rPr>
          <w:rFonts w:cs="Calibri"/>
          <w:bCs/>
        </w:rPr>
        <w:t xml:space="preserve"> i međukonfesionaln</w:t>
      </w:r>
      <w:r>
        <w:rPr>
          <w:rFonts w:cs="Calibri"/>
          <w:bCs/>
        </w:rPr>
        <w:t xml:space="preserve">u suradnju te sukladno Zakonu o pravnom položaju vjerskih zajednica daje namjenske potpore za izgradnju i obnovu objekata vjerskih zajednica. </w:t>
      </w:r>
    </w:p>
    <w:p w14:paraId="75DDFF1F" w14:textId="77777777" w:rsidR="004976E4" w:rsidRPr="00B50E45" w:rsidRDefault="004976E4" w:rsidP="004976E4">
      <w:pPr>
        <w:tabs>
          <w:tab w:val="left" w:pos="-720"/>
        </w:tabs>
        <w:suppressAutoHyphens/>
        <w:spacing w:line="240" w:lineRule="auto"/>
        <w:ind w:right="-2"/>
        <w:jc w:val="both"/>
        <w:rPr>
          <w:rFonts w:cs="Calibri"/>
          <w:bCs/>
        </w:rPr>
      </w:pPr>
      <w:r>
        <w:rPr>
          <w:rFonts w:cs="Calibri"/>
          <w:bCs/>
        </w:rPr>
        <w:t>Kako bi se omogućilo ostvarivanje vjerskih prava i sloboda od najranije dobi u</w:t>
      </w:r>
      <w:r w:rsidRPr="00B50E45">
        <w:rPr>
          <w:rFonts w:cs="Calibri"/>
          <w:bCs/>
        </w:rPr>
        <w:t xml:space="preserve"> okviru redovitog programa dječjih gradskih vrtića provode se programi multikulturalnosti </w:t>
      </w:r>
      <w:r>
        <w:rPr>
          <w:rFonts w:cs="Calibri"/>
          <w:bCs/>
        </w:rPr>
        <w:t xml:space="preserve">pri tome </w:t>
      </w:r>
      <w:r w:rsidRPr="00B50E45">
        <w:rPr>
          <w:rFonts w:cs="Calibri"/>
          <w:bCs/>
        </w:rPr>
        <w:t>uvažavajući posebnosti različitih kultura i vjeroispovijesti. U 15 dječjih vrtića Grada Zagreba provodi se program Odgoj u vjeri. U prostorima Mešihata islamske zajednice provodi se program za djecu roditelja islamske vjeroispovijesti.</w:t>
      </w:r>
      <w:r>
        <w:rPr>
          <w:rFonts w:cs="Calibri"/>
          <w:bCs/>
        </w:rPr>
        <w:t xml:space="preserve"> </w:t>
      </w:r>
      <w:r w:rsidRPr="00B50E45">
        <w:rPr>
          <w:rFonts w:cs="Calibri"/>
          <w:bCs/>
        </w:rPr>
        <w:t xml:space="preserve">Grad sufinancira redoviti cjelodnevni program predškolskog odgoja i obrazovanja u 15 dječjih vrtića kojima su osnivači vjerske zajednice – 12 katoličkih, dva židovska i jedan evangelički, te četiri vjerske osnovne škole i dvije vjerske srednje škole s pravom javnosti. </w:t>
      </w:r>
    </w:p>
    <w:p w14:paraId="609147B7" w14:textId="436FED85" w:rsidR="004976E4" w:rsidRPr="00A31026" w:rsidRDefault="004976E4" w:rsidP="004976E4">
      <w:pPr>
        <w:tabs>
          <w:tab w:val="left" w:pos="-720"/>
        </w:tabs>
        <w:suppressAutoHyphens/>
        <w:spacing w:line="240" w:lineRule="auto"/>
        <w:ind w:right="-2"/>
        <w:jc w:val="both"/>
      </w:pPr>
      <w:r w:rsidRPr="00DB563E">
        <w:rPr>
          <w:rFonts w:cs="Calibri"/>
          <w:bCs/>
        </w:rPr>
        <w:t>Sukladno Zakonu o pravnom položaju vjerskih zajednica iz gradskoga se proračuna daju namjenske potpore osobito za gradnju i obnovu objekata vjerskih zajednica</w:t>
      </w:r>
      <w:r w:rsidRPr="008D517E">
        <w:rPr>
          <w:rFonts w:cs="Calibri"/>
          <w:bCs/>
        </w:rPr>
        <w:t xml:space="preserve">. </w:t>
      </w:r>
      <w:r w:rsidRPr="008D517E" w:rsidDel="0006250D">
        <w:rPr>
          <w:rFonts w:cs="Calibri"/>
          <w:bCs/>
        </w:rPr>
        <w:t xml:space="preserve"> </w:t>
      </w:r>
      <w:r w:rsidRPr="00A31026">
        <w:t>Također, na temelju Ugovora Svete Stolice i Republike Hrvatske u cijelosti se financira (osim plaća zaposlenika i naknada za prijevoz, za rad na terenu i odvojeni život)  rad dvije vjerske srednje škole s pravom javnosti.</w:t>
      </w:r>
    </w:p>
    <w:p w14:paraId="40791BCF" w14:textId="57429268" w:rsidR="004976E4" w:rsidRDefault="004976E4" w:rsidP="005A25A2">
      <w:pPr>
        <w:pStyle w:val="Stil2"/>
      </w:pPr>
      <w:bookmarkStart w:id="47" w:name="_Toc97123799"/>
      <w:r>
        <w:t>2.2.5. Poticanje razvoja civilnoga društva i ostvarivanje slobode udruživanja</w:t>
      </w:r>
      <w:bookmarkEnd w:id="47"/>
      <w:r>
        <w:t xml:space="preserve"> </w:t>
      </w:r>
    </w:p>
    <w:p w14:paraId="012CB65C" w14:textId="77777777" w:rsidR="004976E4" w:rsidRPr="00B50E45" w:rsidRDefault="004976E4" w:rsidP="004976E4">
      <w:pPr>
        <w:tabs>
          <w:tab w:val="left" w:pos="-720"/>
        </w:tabs>
        <w:suppressAutoHyphens/>
        <w:spacing w:line="240" w:lineRule="auto"/>
        <w:ind w:right="-2"/>
        <w:jc w:val="both"/>
        <w:rPr>
          <w:rFonts w:cs="Calibri"/>
          <w:bCs/>
        </w:rPr>
      </w:pPr>
      <w:r w:rsidRPr="00B50E45">
        <w:rPr>
          <w:rFonts w:cs="Calibri"/>
          <w:bCs/>
        </w:rPr>
        <w:t xml:space="preserve">Civilno društvo u Gradu Zagrebu, kao glavnom gradu RH, je u posljednjih 15 godina postalo značajan akter i podupiratelj uvođenja pozitivnih društvenih promjena i vrijednosti. </w:t>
      </w:r>
    </w:p>
    <w:p w14:paraId="2B5C98F3" w14:textId="77777777" w:rsidR="004976E4" w:rsidRDefault="004976E4" w:rsidP="004976E4">
      <w:pPr>
        <w:tabs>
          <w:tab w:val="left" w:pos="-720"/>
        </w:tabs>
        <w:suppressAutoHyphens/>
        <w:spacing w:line="240" w:lineRule="auto"/>
        <w:ind w:right="-2"/>
        <w:jc w:val="both"/>
        <w:rPr>
          <w:rFonts w:cs="Calibri"/>
          <w:bCs/>
          <w:highlight w:val="lightGray"/>
        </w:rPr>
      </w:pPr>
      <w:r>
        <w:rPr>
          <w:rFonts w:cs="Calibri"/>
          <w:bCs/>
        </w:rPr>
        <w:t>U</w:t>
      </w:r>
      <w:r w:rsidRPr="00B50E45">
        <w:rPr>
          <w:rFonts w:cs="Calibri"/>
          <w:bCs/>
        </w:rPr>
        <w:t xml:space="preserve"> Registar udruga Republike Hrvatske </w:t>
      </w:r>
      <w:r>
        <w:rPr>
          <w:rFonts w:cs="Calibri"/>
          <w:bCs/>
        </w:rPr>
        <w:t xml:space="preserve">je, krajem 2020. godine, bilo upisano </w:t>
      </w:r>
      <w:r w:rsidRPr="00B50E45">
        <w:rPr>
          <w:rFonts w:cs="Calibri"/>
          <w:bCs/>
        </w:rPr>
        <w:t>12</w:t>
      </w:r>
      <w:r>
        <w:rPr>
          <w:rFonts w:cs="Calibri"/>
          <w:bCs/>
        </w:rPr>
        <w:t>,281</w:t>
      </w:r>
      <w:r w:rsidRPr="00B50E45">
        <w:rPr>
          <w:rFonts w:cs="Calibri"/>
          <w:bCs/>
        </w:rPr>
        <w:t xml:space="preserve"> udruga sa sjedištem u Gradu Zagrebu</w:t>
      </w:r>
      <w:r>
        <w:rPr>
          <w:rFonts w:cs="Calibri"/>
          <w:bCs/>
        </w:rPr>
        <w:t xml:space="preserve"> te</w:t>
      </w:r>
      <w:r w:rsidRPr="00B50E45">
        <w:t xml:space="preserve"> </w:t>
      </w:r>
      <w:r w:rsidRPr="00B50E45">
        <w:rPr>
          <w:rFonts w:cs="Calibri"/>
          <w:bCs/>
        </w:rPr>
        <w:t>16</w:t>
      </w:r>
      <w:r>
        <w:rPr>
          <w:rFonts w:cs="Calibri"/>
          <w:bCs/>
        </w:rPr>
        <w:t>3</w:t>
      </w:r>
      <w:r w:rsidRPr="00B50E45">
        <w:rPr>
          <w:rFonts w:cs="Calibri"/>
          <w:bCs/>
        </w:rPr>
        <w:t xml:space="preserve"> zaklada</w:t>
      </w:r>
      <w:r>
        <w:rPr>
          <w:rFonts w:cs="Calibri"/>
          <w:bCs/>
        </w:rPr>
        <w:t xml:space="preserve"> upisana u Registar</w:t>
      </w:r>
      <w:r w:rsidRPr="00B50E45">
        <w:rPr>
          <w:rFonts w:cs="Calibri"/>
          <w:bCs/>
        </w:rPr>
        <w:t xml:space="preserve"> zaklada</w:t>
      </w:r>
      <w:r>
        <w:rPr>
          <w:rFonts w:cs="Calibri"/>
          <w:bCs/>
        </w:rPr>
        <w:t xml:space="preserve">. </w:t>
      </w:r>
    </w:p>
    <w:p w14:paraId="1A647E98" w14:textId="77777777" w:rsidR="004976E4" w:rsidRDefault="004976E4" w:rsidP="004976E4">
      <w:pPr>
        <w:tabs>
          <w:tab w:val="left" w:pos="-720"/>
        </w:tabs>
        <w:suppressAutoHyphens/>
        <w:spacing w:line="240" w:lineRule="auto"/>
        <w:ind w:right="-2"/>
        <w:jc w:val="both"/>
        <w:rPr>
          <w:rFonts w:cs="Calibri"/>
          <w:bCs/>
        </w:rPr>
      </w:pPr>
      <w:r w:rsidRPr="000A73EF">
        <w:rPr>
          <w:rFonts w:cs="Calibri"/>
          <w:bCs/>
        </w:rPr>
        <w:t xml:space="preserve">Grad je prepoznao organizacije civilnog društva, ponajviše udruge, kao značajne aktere u razvoju gradskih politika, koje najjasnije mogu izraziti potrebe, zahtjeve i očekivanja društvene grupe čije interese zastupaju. Suradnjom </w:t>
      </w:r>
      <w:r>
        <w:rPr>
          <w:rFonts w:cs="Calibri"/>
          <w:bCs/>
        </w:rPr>
        <w:t xml:space="preserve">s </w:t>
      </w:r>
      <w:r w:rsidRPr="000A73EF">
        <w:rPr>
          <w:rFonts w:cs="Calibri"/>
          <w:bCs/>
        </w:rPr>
        <w:t>udruga</w:t>
      </w:r>
      <w:r>
        <w:rPr>
          <w:rFonts w:cs="Calibri"/>
          <w:bCs/>
        </w:rPr>
        <w:t>ma</w:t>
      </w:r>
      <w:r w:rsidRPr="000A73EF">
        <w:rPr>
          <w:rFonts w:cs="Calibri"/>
          <w:bCs/>
        </w:rPr>
        <w:t xml:space="preserve"> utječe se na sustavno jačanje javne svijesti o problemima i pravima pojedinih skupina građana te ostvarenje njihovih specifičnih potreba u lokalnoj zajednici. Kako bi rad udruga bio kvalitetniji i na korist građanima Grad Zagreb daje financijske potpore programima i projektima udruga koji su od interesa za Grad. </w:t>
      </w:r>
      <w:r w:rsidRPr="001B6846">
        <w:rPr>
          <w:rFonts w:cs="Calibri"/>
          <w:bCs/>
        </w:rPr>
        <w:t>Pored toga udrugama se daju na korištenje prostori za rad kako bi se i na taj načina dodatno doprinijelo njihovom djelovanju.</w:t>
      </w:r>
    </w:p>
    <w:p w14:paraId="1C5943CE" w14:textId="77777777" w:rsidR="004976E4" w:rsidRDefault="004976E4" w:rsidP="004976E4">
      <w:pPr>
        <w:tabs>
          <w:tab w:val="left" w:pos="-720"/>
        </w:tabs>
        <w:suppressAutoHyphens/>
        <w:spacing w:line="240" w:lineRule="auto"/>
        <w:ind w:right="-2"/>
        <w:jc w:val="both"/>
        <w:rPr>
          <w:rFonts w:cs="Calibri"/>
          <w:bCs/>
        </w:rPr>
      </w:pPr>
      <w:r>
        <w:rPr>
          <w:rFonts w:cs="Calibri"/>
          <w:bCs/>
        </w:rPr>
        <w:t xml:space="preserve">Financiranje udruga i drugih organizacija civilnog društva iz gradskog proračuna je u potpunosti ujednačeno na način da je uređeno jednim gradskim propisom koji za financiranje </w:t>
      </w:r>
      <w:r w:rsidRPr="001B6846">
        <w:rPr>
          <w:rFonts w:cs="Calibri"/>
          <w:bCs/>
        </w:rPr>
        <w:t>utvrđuje</w:t>
      </w:r>
      <w:r>
        <w:rPr>
          <w:rFonts w:cs="Calibri"/>
          <w:bCs/>
        </w:rPr>
        <w:t xml:space="preserve"> iste uvjete za dodjelu, način dodjele i korištenja sredstava bez obzira o kojem se području radi. Kontinuiranom </w:t>
      </w:r>
      <w:r w:rsidRPr="00CE0D20">
        <w:rPr>
          <w:rFonts w:cs="Calibri"/>
          <w:bCs/>
        </w:rPr>
        <w:t>koordinacijom</w:t>
      </w:r>
      <w:r>
        <w:rPr>
          <w:rFonts w:cs="Calibri"/>
          <w:bCs/>
        </w:rPr>
        <w:t xml:space="preserve"> </w:t>
      </w:r>
      <w:r w:rsidRPr="00CE0D20">
        <w:rPr>
          <w:rFonts w:cs="Calibri"/>
          <w:bCs/>
        </w:rPr>
        <w:t>upravnih tijela</w:t>
      </w:r>
      <w:r>
        <w:rPr>
          <w:rFonts w:cs="Calibri"/>
          <w:bCs/>
        </w:rPr>
        <w:t xml:space="preserve"> u pogledu suradnje s udrugama postigla se ujednačenost postupanja</w:t>
      </w:r>
      <w:r w:rsidRPr="0082188E">
        <w:t xml:space="preserve"> </w:t>
      </w:r>
      <w:r>
        <w:rPr>
          <w:rFonts w:cs="Calibri"/>
          <w:bCs/>
        </w:rPr>
        <w:t>u pogledu planiranja i provedbe financiranja, kontrole trošenja dodijeljenih sredstava i izvješćivanja o utrošenim sredstvima. Prijavljivanje na javni natječaj i obrada prijava su u potpunosti digitalizirani čime je ujednačeno postupanje u procedurama financiranja te istovremeno poboljšana transparentnost postupka financiranja i izvješćivanja.</w:t>
      </w:r>
    </w:p>
    <w:p w14:paraId="278B08F8" w14:textId="77777777" w:rsidR="004976E4" w:rsidRDefault="004976E4" w:rsidP="004976E4">
      <w:pPr>
        <w:tabs>
          <w:tab w:val="left" w:pos="-720"/>
        </w:tabs>
        <w:suppressAutoHyphens/>
        <w:spacing w:line="240" w:lineRule="auto"/>
        <w:ind w:right="-2"/>
        <w:jc w:val="both"/>
        <w:rPr>
          <w:rFonts w:cs="Calibri"/>
          <w:bCs/>
        </w:rPr>
      </w:pPr>
    </w:p>
    <w:tbl>
      <w:tblPr>
        <w:tblW w:w="0" w:type="auto"/>
        <w:tblLook w:val="01E0" w:firstRow="1" w:lastRow="1" w:firstColumn="1" w:lastColumn="1" w:noHBand="0" w:noVBand="0"/>
      </w:tblPr>
      <w:tblGrid>
        <w:gridCol w:w="4536"/>
        <w:gridCol w:w="4536"/>
      </w:tblGrid>
      <w:tr w:rsidR="004976E4" w:rsidRPr="00D22304" w14:paraId="73402FD9" w14:textId="77777777" w:rsidTr="007773DF">
        <w:trPr>
          <w:trHeight w:val="3128"/>
        </w:trPr>
        <w:tc>
          <w:tcPr>
            <w:tcW w:w="4643" w:type="dxa"/>
            <w:shd w:val="clear" w:color="auto" w:fill="CCCCCC"/>
          </w:tcPr>
          <w:p w14:paraId="1BE3ED19" w14:textId="77777777" w:rsidR="004976E4" w:rsidRPr="00D22304" w:rsidRDefault="004976E4" w:rsidP="00F50578">
            <w:pPr>
              <w:spacing w:before="60" w:line="360" w:lineRule="auto"/>
              <w:rPr>
                <w:rFonts w:cs="Calibri"/>
                <w:b/>
                <w:sz w:val="18"/>
                <w:szCs w:val="18"/>
              </w:rPr>
            </w:pPr>
            <w:r w:rsidRPr="00D22304">
              <w:rPr>
                <w:rFonts w:cs="Calibri"/>
                <w:sz w:val="18"/>
                <w:szCs w:val="18"/>
              </w:rPr>
              <w:br w:type="page"/>
            </w:r>
            <w:r w:rsidRPr="00D22304">
              <w:rPr>
                <w:rFonts w:cs="Calibri"/>
                <w:b/>
                <w:sz w:val="18"/>
                <w:szCs w:val="18"/>
              </w:rPr>
              <w:t>RAZVOJNI PROBLEMI</w:t>
            </w:r>
          </w:p>
          <w:p w14:paraId="120B8F7F" w14:textId="0F599FC8" w:rsidR="004976E4" w:rsidRDefault="00AF3FF6" w:rsidP="00165C16">
            <w:pPr>
              <w:numPr>
                <w:ilvl w:val="0"/>
                <w:numId w:val="5"/>
              </w:numPr>
              <w:spacing w:before="60" w:after="60" w:line="240" w:lineRule="auto"/>
              <w:ind w:left="360" w:right="-2"/>
              <w:contextualSpacing/>
              <w:rPr>
                <w:rFonts w:cs="Calibri"/>
                <w:sz w:val="18"/>
                <w:szCs w:val="18"/>
              </w:rPr>
            </w:pPr>
            <w:r>
              <w:rPr>
                <w:rFonts w:cs="Calibri"/>
                <w:sz w:val="18"/>
                <w:szCs w:val="18"/>
              </w:rPr>
              <w:t>n</w:t>
            </w:r>
            <w:r w:rsidR="004976E4">
              <w:rPr>
                <w:rFonts w:cs="Calibri"/>
                <w:sz w:val="18"/>
                <w:szCs w:val="18"/>
              </w:rPr>
              <w:t xml:space="preserve">edostatno sudjelovanje građana i organizacija civilnog društva u savjetovanjima sa zainteresiranom </w:t>
            </w:r>
            <w:r w:rsidR="004976E4" w:rsidRPr="00AE2FE3">
              <w:rPr>
                <w:rFonts w:cs="Calibri"/>
                <w:sz w:val="18"/>
                <w:szCs w:val="18"/>
              </w:rPr>
              <w:t>javnošću u postupcima donošenja gradskih odluka i strateških dokumenata</w:t>
            </w:r>
          </w:p>
          <w:p w14:paraId="608CA7D4" w14:textId="27822109" w:rsidR="004976E4" w:rsidRPr="001873C0" w:rsidRDefault="00AF3FF6" w:rsidP="00165C16">
            <w:pPr>
              <w:numPr>
                <w:ilvl w:val="0"/>
                <w:numId w:val="5"/>
              </w:numPr>
              <w:spacing w:before="60" w:after="60" w:line="240" w:lineRule="auto"/>
              <w:ind w:left="360" w:right="-2"/>
              <w:contextualSpacing/>
              <w:rPr>
                <w:rFonts w:cs="Calibri"/>
                <w:strike/>
                <w:sz w:val="18"/>
                <w:szCs w:val="18"/>
              </w:rPr>
            </w:pPr>
            <w:r>
              <w:rPr>
                <w:rFonts w:cs="Calibri"/>
                <w:sz w:val="18"/>
                <w:szCs w:val="18"/>
              </w:rPr>
              <w:t>n</w:t>
            </w:r>
            <w:r w:rsidR="004976E4">
              <w:rPr>
                <w:rFonts w:cs="Calibri"/>
                <w:sz w:val="18"/>
                <w:szCs w:val="18"/>
              </w:rPr>
              <w:t>edostatak proračunskih sredstava za partnerstvo s civilnim društvom radi provođenja projekata od zajedničkog interesa iz područja promicanja ljudskih prava</w:t>
            </w:r>
          </w:p>
          <w:p w14:paraId="0F0F6A6A" w14:textId="3D6C20D9" w:rsidR="004976E4" w:rsidRPr="001873C0" w:rsidRDefault="00AF3FF6" w:rsidP="00165C16">
            <w:pPr>
              <w:numPr>
                <w:ilvl w:val="0"/>
                <w:numId w:val="5"/>
              </w:numPr>
              <w:spacing w:before="60" w:after="60" w:line="240" w:lineRule="auto"/>
              <w:ind w:left="360" w:right="-2"/>
              <w:contextualSpacing/>
              <w:rPr>
                <w:rFonts w:cs="Calibri"/>
                <w:strike/>
                <w:sz w:val="18"/>
                <w:szCs w:val="18"/>
              </w:rPr>
            </w:pPr>
            <w:r>
              <w:rPr>
                <w:rFonts w:cs="Calibri"/>
                <w:sz w:val="18"/>
                <w:szCs w:val="18"/>
              </w:rPr>
              <w:t>n</w:t>
            </w:r>
            <w:r w:rsidR="004976E4" w:rsidRPr="001873C0">
              <w:rPr>
                <w:rFonts w:cs="Calibri"/>
                <w:sz w:val="18"/>
                <w:szCs w:val="18"/>
              </w:rPr>
              <w:t>epostojanje jedinstvene javne gradske baze podataka o davanju financijskih potpora udrugama</w:t>
            </w:r>
          </w:p>
          <w:p w14:paraId="7E428261" w14:textId="77777777" w:rsidR="004976E4" w:rsidRPr="00D22304" w:rsidRDefault="004976E4" w:rsidP="008F2421">
            <w:pPr>
              <w:spacing w:before="60" w:after="60"/>
              <w:ind w:right="-2"/>
              <w:contextualSpacing/>
              <w:rPr>
                <w:rFonts w:cs="Calibri"/>
                <w:b/>
                <w:sz w:val="18"/>
                <w:szCs w:val="18"/>
              </w:rPr>
            </w:pPr>
          </w:p>
        </w:tc>
        <w:tc>
          <w:tcPr>
            <w:tcW w:w="4643" w:type="dxa"/>
            <w:shd w:val="clear" w:color="auto" w:fill="99CCFF"/>
          </w:tcPr>
          <w:p w14:paraId="5890B008" w14:textId="77777777" w:rsidR="004976E4" w:rsidRPr="00D22304" w:rsidRDefault="004976E4" w:rsidP="00F50578">
            <w:pPr>
              <w:spacing w:before="60" w:line="360" w:lineRule="auto"/>
              <w:rPr>
                <w:rFonts w:cs="Calibri"/>
                <w:b/>
                <w:sz w:val="18"/>
                <w:szCs w:val="18"/>
              </w:rPr>
            </w:pPr>
            <w:r w:rsidRPr="00D22304">
              <w:rPr>
                <w:rFonts w:cs="Calibri"/>
                <w:b/>
                <w:sz w:val="18"/>
                <w:szCs w:val="18"/>
              </w:rPr>
              <w:t>RAZVOJNE POTREBE</w:t>
            </w:r>
          </w:p>
          <w:p w14:paraId="41BE1938" w14:textId="67A221F4" w:rsidR="004976E4" w:rsidRPr="00434CF8" w:rsidRDefault="00434CF8" w:rsidP="00434CF8">
            <w:pPr>
              <w:numPr>
                <w:ilvl w:val="0"/>
                <w:numId w:val="5"/>
              </w:numPr>
              <w:spacing w:before="60" w:after="60" w:line="240" w:lineRule="auto"/>
              <w:ind w:left="360" w:right="-2"/>
              <w:contextualSpacing/>
              <w:rPr>
                <w:rFonts w:cs="Calibri"/>
                <w:sz w:val="18"/>
                <w:szCs w:val="18"/>
              </w:rPr>
            </w:pPr>
            <w:r>
              <w:rPr>
                <w:rFonts w:cs="Calibri"/>
                <w:sz w:val="18"/>
                <w:szCs w:val="18"/>
              </w:rPr>
              <w:t>r</w:t>
            </w:r>
            <w:r w:rsidR="00AF3FF6" w:rsidRPr="00434CF8">
              <w:rPr>
                <w:rFonts w:cs="Calibri"/>
                <w:sz w:val="18"/>
                <w:szCs w:val="18"/>
              </w:rPr>
              <w:t xml:space="preserve">azvijati </w:t>
            </w:r>
            <w:r w:rsidR="004976E4" w:rsidRPr="00434CF8">
              <w:rPr>
                <w:rFonts w:cs="Calibri"/>
                <w:sz w:val="18"/>
                <w:szCs w:val="18"/>
              </w:rPr>
              <w:t>mehaniz</w:t>
            </w:r>
            <w:r w:rsidR="00AF3FF6" w:rsidRPr="00434CF8">
              <w:rPr>
                <w:rFonts w:cs="Calibri"/>
                <w:sz w:val="18"/>
                <w:szCs w:val="18"/>
              </w:rPr>
              <w:t>me</w:t>
            </w:r>
            <w:r w:rsidR="004976E4" w:rsidRPr="00434CF8">
              <w:rPr>
                <w:rFonts w:cs="Calibri"/>
                <w:sz w:val="18"/>
                <w:szCs w:val="18"/>
              </w:rPr>
              <w:t xml:space="preserve"> za poticanje sudjelovanja građana i organizacija civilnog društva u savjetovanjima sa zainteresiranom javnošću u postupcima donošenja gradskih odluka i strateških dokumenata</w:t>
            </w:r>
          </w:p>
          <w:p w14:paraId="34DA4BEA" w14:textId="254F2A9A" w:rsidR="004976E4" w:rsidRPr="00434CF8" w:rsidRDefault="00AF3FF6" w:rsidP="00434CF8">
            <w:pPr>
              <w:numPr>
                <w:ilvl w:val="0"/>
                <w:numId w:val="5"/>
              </w:numPr>
              <w:spacing w:before="60" w:after="60" w:line="240" w:lineRule="auto"/>
              <w:ind w:left="360" w:right="-2"/>
              <w:contextualSpacing/>
              <w:rPr>
                <w:rFonts w:cs="Calibri"/>
                <w:sz w:val="18"/>
                <w:szCs w:val="18"/>
              </w:rPr>
            </w:pPr>
            <w:r>
              <w:rPr>
                <w:rFonts w:cs="Calibri"/>
                <w:sz w:val="18"/>
                <w:szCs w:val="18"/>
              </w:rPr>
              <w:t>uspostaviti</w:t>
            </w:r>
            <w:r w:rsidR="004976E4" w:rsidRPr="00D22304">
              <w:rPr>
                <w:rFonts w:cs="Calibri"/>
                <w:sz w:val="18"/>
                <w:szCs w:val="18"/>
              </w:rPr>
              <w:t xml:space="preserve"> jedinstvene javne gradske baze podataka o davanju financijskih potpora udrugama koja će biti kontinuirano ažurirana</w:t>
            </w:r>
          </w:p>
          <w:p w14:paraId="370C7062" w14:textId="25903EC1" w:rsidR="004976E4" w:rsidRPr="00D22304" w:rsidRDefault="00434CF8" w:rsidP="00434CF8">
            <w:pPr>
              <w:numPr>
                <w:ilvl w:val="0"/>
                <w:numId w:val="5"/>
              </w:numPr>
              <w:spacing w:before="60" w:after="60" w:line="240" w:lineRule="auto"/>
              <w:ind w:left="360" w:right="-2"/>
              <w:contextualSpacing/>
              <w:rPr>
                <w:rFonts w:ascii="Calibri" w:eastAsia="Calibri" w:hAnsi="Calibri" w:cs="Calibri"/>
                <w:b/>
                <w:sz w:val="18"/>
                <w:szCs w:val="18"/>
              </w:rPr>
            </w:pPr>
            <w:r>
              <w:rPr>
                <w:rFonts w:cs="Calibri"/>
                <w:sz w:val="18"/>
                <w:szCs w:val="18"/>
              </w:rPr>
              <w:t>razvijati</w:t>
            </w:r>
            <w:r w:rsidR="004976E4" w:rsidRPr="00885960">
              <w:rPr>
                <w:rFonts w:cs="Calibri"/>
                <w:sz w:val="18"/>
                <w:szCs w:val="18"/>
              </w:rPr>
              <w:t xml:space="preserve"> mehaniz</w:t>
            </w:r>
            <w:r w:rsidR="00AF3FF6">
              <w:rPr>
                <w:rFonts w:cs="Calibri"/>
                <w:sz w:val="18"/>
                <w:szCs w:val="18"/>
              </w:rPr>
              <w:t>me</w:t>
            </w:r>
            <w:r w:rsidR="004976E4" w:rsidRPr="00885960">
              <w:rPr>
                <w:rFonts w:cs="Calibri"/>
                <w:sz w:val="18"/>
                <w:szCs w:val="18"/>
              </w:rPr>
              <w:t xml:space="preserve"> za poticanje organizacija civilnog društva na korištenje sredstava iz EU fondova</w:t>
            </w:r>
          </w:p>
        </w:tc>
      </w:tr>
    </w:tbl>
    <w:p w14:paraId="00788648" w14:textId="77777777" w:rsidR="004976E4" w:rsidRDefault="004976E4" w:rsidP="004976E4">
      <w:pPr>
        <w:rPr>
          <w:rFonts w:cs="Calibri"/>
          <w:b/>
          <w:bCs/>
        </w:rPr>
      </w:pPr>
    </w:p>
    <w:p w14:paraId="2AC421BE" w14:textId="48256639" w:rsidR="004976E4" w:rsidRPr="005A25A2" w:rsidRDefault="005A25A2" w:rsidP="005A25A2">
      <w:pPr>
        <w:pStyle w:val="Stil2"/>
      </w:pPr>
      <w:bookmarkStart w:id="48" w:name="_Toc97123800"/>
      <w:r w:rsidRPr="005A25A2">
        <w:t>2</w:t>
      </w:r>
      <w:r w:rsidRPr="005A25A2">
        <w:rPr>
          <w:b w:val="0"/>
          <w:bCs w:val="0"/>
        </w:rPr>
        <w:t>.</w:t>
      </w:r>
      <w:r>
        <w:t xml:space="preserve">2.6. </w:t>
      </w:r>
      <w:r w:rsidR="004976E4" w:rsidRPr="005A25A2">
        <w:t>Mladi u Gradu Zagrebu</w:t>
      </w:r>
      <w:bookmarkStart w:id="49" w:name="_Hlk48120123"/>
      <w:bookmarkEnd w:id="48"/>
    </w:p>
    <w:p w14:paraId="414F4899" w14:textId="13EC2055" w:rsidR="004976E4" w:rsidRPr="00FE6104" w:rsidRDefault="00383FBF" w:rsidP="004976E4">
      <w:pPr>
        <w:autoSpaceDE w:val="0"/>
        <w:autoSpaceDN w:val="0"/>
        <w:adjustRightInd w:val="0"/>
        <w:spacing w:after="0" w:line="240" w:lineRule="auto"/>
        <w:jc w:val="both"/>
        <w:rPr>
          <w:rFonts w:eastAsia="TimesNewRomanPSMT" w:cstheme="minorHAnsi"/>
        </w:rPr>
      </w:pPr>
      <w:r w:rsidRPr="00383FBF">
        <w:rPr>
          <w:rFonts w:eastAsia="TimesNewRomanPSMT" w:cstheme="minorHAnsi"/>
        </w:rPr>
        <w:t xml:space="preserve">Za potrebe izrade novog Programa za mlade Grada Zagreba, koji bi zamijenio prethodni Program za mlade Grada Zagreba 2015-2018., tijekom rujna 2019. godine provedeno je empirijsko istraživanje mišljenja osoba u dobi između 15 i 30 godina starosti u Gradu Zagrebu. Za potrebe istraživanja Upitnike je kreirao Savjet mladih Grada Zagreba pri čemu je implementiran značajan dio pitanja iz istraživanja koje je provedeno 2016. godine. </w:t>
      </w:r>
      <w:r w:rsidR="004976E4">
        <w:rPr>
          <w:rFonts w:eastAsia="TimesNewRomanPSMT" w:cstheme="minorHAnsi"/>
        </w:rPr>
        <w:t>Rezultati istraživanja su pokazali da su i</w:t>
      </w:r>
      <w:r w:rsidR="004976E4" w:rsidRPr="00FE6104">
        <w:rPr>
          <w:rFonts w:eastAsia="TimesNewRomanPSMT" w:cstheme="minorHAnsi"/>
        </w:rPr>
        <w:t>spitanici relativno neinformirani. 11% ispitanih ne zna za postojanje Gradske skupštine</w:t>
      </w:r>
      <w:r w:rsidR="004976E4">
        <w:rPr>
          <w:rFonts w:eastAsia="TimesNewRomanPSMT" w:cstheme="minorHAnsi"/>
        </w:rPr>
        <w:t xml:space="preserve"> </w:t>
      </w:r>
      <w:r w:rsidR="004976E4" w:rsidRPr="00FE6104">
        <w:rPr>
          <w:rFonts w:eastAsia="TimesNewRomanPSMT" w:cstheme="minorHAnsi"/>
        </w:rPr>
        <w:t>Grada Zagreba, odnosno, 58% ispitanih ne poznaje njezinu ulogu; 26% ispitanih ne zna za</w:t>
      </w:r>
      <w:r w:rsidR="004976E4">
        <w:rPr>
          <w:rFonts w:eastAsia="TimesNewRomanPSMT" w:cstheme="minorHAnsi"/>
        </w:rPr>
        <w:t xml:space="preserve"> </w:t>
      </w:r>
      <w:r w:rsidR="004976E4" w:rsidRPr="00FE6104">
        <w:rPr>
          <w:rFonts w:eastAsia="TimesNewRomanPSMT" w:cstheme="minorHAnsi"/>
        </w:rPr>
        <w:t>postojanje vijeća gradskih četvrti, odnosno, 69% ispitanih ne poznaje njihovu ulogu; 23%</w:t>
      </w:r>
      <w:r w:rsidR="004976E4">
        <w:rPr>
          <w:rFonts w:eastAsia="TimesNewRomanPSMT" w:cstheme="minorHAnsi"/>
        </w:rPr>
        <w:t xml:space="preserve"> </w:t>
      </w:r>
      <w:r w:rsidR="004976E4" w:rsidRPr="00FE6104">
        <w:rPr>
          <w:rFonts w:eastAsia="TimesNewRomanPSMT" w:cstheme="minorHAnsi"/>
        </w:rPr>
        <w:t>ispitanih ne zna za postojanje vijeća mjesnih odbora, odnosno, 65% ispitanih ne poznaje</w:t>
      </w:r>
      <w:r w:rsidR="004976E4">
        <w:rPr>
          <w:rFonts w:eastAsia="TimesNewRomanPSMT" w:cstheme="minorHAnsi"/>
        </w:rPr>
        <w:t xml:space="preserve"> </w:t>
      </w:r>
      <w:r w:rsidR="004976E4" w:rsidRPr="00FE6104">
        <w:rPr>
          <w:rFonts w:eastAsia="TimesNewRomanPSMT" w:cstheme="minorHAnsi"/>
        </w:rPr>
        <w:t>njihovu ulogu. Razina aktivne participacije u mjesnoj samoupravi također je relativno niska.</w:t>
      </w:r>
      <w:r w:rsidR="004976E4">
        <w:rPr>
          <w:rFonts w:eastAsia="TimesNewRomanPSMT" w:cstheme="minorHAnsi"/>
        </w:rPr>
        <w:t xml:space="preserve"> </w:t>
      </w:r>
      <w:r w:rsidR="004976E4" w:rsidRPr="00FE6104">
        <w:rPr>
          <w:rFonts w:eastAsia="TimesNewRomanPSMT" w:cstheme="minorHAnsi"/>
        </w:rPr>
        <w:t>64% ispitanih uopće ne posjećuje prostorije mjesne samouprave, dok je u posljednjih godinu</w:t>
      </w:r>
      <w:r w:rsidR="004976E4">
        <w:rPr>
          <w:rFonts w:eastAsia="TimesNewRomanPSMT" w:cstheme="minorHAnsi"/>
        </w:rPr>
        <w:t xml:space="preserve"> </w:t>
      </w:r>
      <w:r w:rsidR="004976E4" w:rsidRPr="00FE6104">
        <w:rPr>
          <w:rFonts w:eastAsia="TimesNewRomanPSMT" w:cstheme="minorHAnsi"/>
        </w:rPr>
        <w:t>dana tek 7% ispitanih uputilo određeni broj inicijativa Vijeću mjesnog odbora i/ili Vijeću</w:t>
      </w:r>
      <w:r w:rsidR="004976E4">
        <w:rPr>
          <w:rFonts w:eastAsia="TimesNewRomanPSMT" w:cstheme="minorHAnsi"/>
        </w:rPr>
        <w:t xml:space="preserve"> </w:t>
      </w:r>
      <w:r w:rsidR="004976E4" w:rsidRPr="00FE6104">
        <w:rPr>
          <w:rFonts w:eastAsia="TimesNewRomanPSMT" w:cstheme="minorHAnsi"/>
        </w:rPr>
        <w:t>gradske četvrti.</w:t>
      </w:r>
      <w:r w:rsidR="004976E4">
        <w:rPr>
          <w:rFonts w:eastAsia="TimesNewRomanPSMT" w:cstheme="minorHAnsi"/>
        </w:rPr>
        <w:t xml:space="preserve"> </w:t>
      </w:r>
      <w:r w:rsidR="004976E4" w:rsidRPr="00FE6104">
        <w:rPr>
          <w:rFonts w:eastAsia="TimesNewRomanPSMT" w:cstheme="minorHAnsi"/>
        </w:rPr>
        <w:t>Kad su u pitanju posljednji izbori za Gradsku skupštinu, Vijeće gradske četvrti ili Vijeće</w:t>
      </w:r>
      <w:r w:rsidR="004976E4">
        <w:rPr>
          <w:rFonts w:eastAsia="TimesNewRomanPSMT" w:cstheme="minorHAnsi"/>
        </w:rPr>
        <w:t xml:space="preserve"> </w:t>
      </w:r>
      <w:r w:rsidR="004976E4" w:rsidRPr="00FE6104">
        <w:rPr>
          <w:rFonts w:eastAsia="TimesNewRomanPSMT" w:cstheme="minorHAnsi"/>
        </w:rPr>
        <w:t>mjesnog odbora, 60% ispitanih nije izašlo na izbore, odnosno, nije glasovalo. Upitani za</w:t>
      </w:r>
      <w:r w:rsidR="004976E4">
        <w:rPr>
          <w:rFonts w:eastAsia="TimesNewRomanPSMT" w:cstheme="minorHAnsi"/>
        </w:rPr>
        <w:t xml:space="preserve"> </w:t>
      </w:r>
      <w:r w:rsidR="004976E4" w:rsidRPr="00FE6104">
        <w:rPr>
          <w:rFonts w:eastAsia="TimesNewRomanPSMT" w:cstheme="minorHAnsi"/>
        </w:rPr>
        <w:t>mjere kojima bi lokalna vlast mogla potaknuti veću izlaznost mladih na izbore, najveći udio</w:t>
      </w:r>
      <w:r w:rsidR="004976E4">
        <w:rPr>
          <w:rFonts w:eastAsia="TimesNewRomanPSMT" w:cstheme="minorHAnsi"/>
        </w:rPr>
        <w:t xml:space="preserve"> </w:t>
      </w:r>
      <w:r w:rsidR="004976E4" w:rsidRPr="00FE6104">
        <w:rPr>
          <w:rFonts w:eastAsia="TimesNewRomanPSMT" w:cstheme="minorHAnsi"/>
        </w:rPr>
        <w:t>ispitanih, gotovo polovica, njih 48%, nisu mogli navesti konkretne mjere kojima bi lokalna</w:t>
      </w:r>
      <w:r w:rsidR="004976E4">
        <w:rPr>
          <w:rFonts w:eastAsia="TimesNewRomanPSMT" w:cstheme="minorHAnsi"/>
        </w:rPr>
        <w:t xml:space="preserve"> </w:t>
      </w:r>
      <w:r w:rsidR="004976E4" w:rsidRPr="00FE6104">
        <w:rPr>
          <w:rFonts w:eastAsia="TimesNewRomanPSMT" w:cstheme="minorHAnsi"/>
        </w:rPr>
        <w:t>vlast mogla potaknuti veću izlaznost mladih na izbore, petina ispitanih (21%) smatra kako</w:t>
      </w:r>
      <w:r w:rsidR="004976E4">
        <w:rPr>
          <w:rFonts w:eastAsia="TimesNewRomanPSMT" w:cstheme="minorHAnsi"/>
        </w:rPr>
        <w:t xml:space="preserve"> </w:t>
      </w:r>
      <w:r w:rsidR="004976E4" w:rsidRPr="00FE6104">
        <w:rPr>
          <w:rFonts w:eastAsia="TimesNewRomanPSMT" w:cstheme="minorHAnsi"/>
        </w:rPr>
        <w:t>lokalna vlast ne može učiniti ništa s čime bi potaknula veću izlaznost mladih na izbore, 17%</w:t>
      </w:r>
      <w:r w:rsidR="004976E4">
        <w:rPr>
          <w:rFonts w:eastAsia="TimesNewRomanPSMT" w:cstheme="minorHAnsi"/>
        </w:rPr>
        <w:t xml:space="preserve"> </w:t>
      </w:r>
      <w:r w:rsidR="004976E4" w:rsidRPr="00FE6104">
        <w:rPr>
          <w:rFonts w:eastAsia="TimesNewRomanPSMT" w:cstheme="minorHAnsi"/>
        </w:rPr>
        <w:t>ispitanih smatra kako nije na lokalnoj vlasti da potiče veću izlaznost mladih na izbore, dok je</w:t>
      </w:r>
      <w:r w:rsidR="004976E4">
        <w:rPr>
          <w:rFonts w:eastAsia="TimesNewRomanPSMT" w:cstheme="minorHAnsi"/>
        </w:rPr>
        <w:t xml:space="preserve"> </w:t>
      </w:r>
      <w:r w:rsidR="004976E4" w:rsidRPr="00FE6104">
        <w:rPr>
          <w:rFonts w:eastAsia="TimesNewRomanPSMT" w:cstheme="minorHAnsi"/>
        </w:rPr>
        <w:t>tek 15% ispitanih navelo konkretne mjere kojima bi lokalna vlast mogla potaknuti veću</w:t>
      </w:r>
      <w:r w:rsidR="004976E4">
        <w:rPr>
          <w:rFonts w:eastAsia="TimesNewRomanPSMT" w:cstheme="minorHAnsi"/>
        </w:rPr>
        <w:t xml:space="preserve"> </w:t>
      </w:r>
      <w:r w:rsidR="004976E4" w:rsidRPr="00FE6104">
        <w:rPr>
          <w:rFonts w:eastAsia="TimesNewRomanPSMT" w:cstheme="minorHAnsi"/>
        </w:rPr>
        <w:t>izlaznost mladih na izbore.</w:t>
      </w:r>
      <w:r w:rsidR="004976E4">
        <w:rPr>
          <w:rFonts w:eastAsia="TimesNewRomanPSMT" w:cstheme="minorHAnsi"/>
        </w:rPr>
        <w:t xml:space="preserve"> </w:t>
      </w:r>
      <w:r w:rsidR="004976E4" w:rsidRPr="00FE6104">
        <w:rPr>
          <w:rFonts w:eastAsia="TimesNewRomanPSMT" w:cstheme="minorHAnsi"/>
        </w:rPr>
        <w:t>Iskazan je afirmativan stav prema e-glasovanju kao obliku izjašnjavanja na dan izbora,</w:t>
      </w:r>
      <w:r w:rsidR="004976E4">
        <w:rPr>
          <w:rFonts w:eastAsia="TimesNewRomanPSMT" w:cstheme="minorHAnsi"/>
        </w:rPr>
        <w:t xml:space="preserve"> </w:t>
      </w:r>
      <w:r w:rsidR="004976E4" w:rsidRPr="00FE6104">
        <w:rPr>
          <w:rFonts w:eastAsia="TimesNewRomanPSMT" w:cstheme="minorHAnsi"/>
        </w:rPr>
        <w:t>najveći udio ispitanih, njih 81%, smatra kako uvođenje e-glasovanja predstavlja uglavnom</w:t>
      </w:r>
      <w:r w:rsidR="004976E4">
        <w:rPr>
          <w:rFonts w:eastAsia="TimesNewRomanPSMT" w:cstheme="minorHAnsi"/>
        </w:rPr>
        <w:t xml:space="preserve"> </w:t>
      </w:r>
      <w:r w:rsidR="004976E4" w:rsidRPr="00FE6104">
        <w:rPr>
          <w:rFonts w:eastAsia="TimesNewRomanPSMT" w:cstheme="minorHAnsi"/>
        </w:rPr>
        <w:t>(32%) ili u potpunosti (49%) dobru i korisnu inicijativu.</w:t>
      </w:r>
    </w:p>
    <w:p w14:paraId="19A0DB01" w14:textId="77777777" w:rsidR="004976E4" w:rsidRPr="00FE6104" w:rsidRDefault="004976E4" w:rsidP="004976E4">
      <w:pPr>
        <w:autoSpaceDE w:val="0"/>
        <w:autoSpaceDN w:val="0"/>
        <w:adjustRightInd w:val="0"/>
        <w:spacing w:after="0" w:line="240" w:lineRule="auto"/>
        <w:jc w:val="both"/>
        <w:rPr>
          <w:rFonts w:eastAsia="TimesNewRomanPSMT" w:cstheme="minorHAnsi"/>
        </w:rPr>
      </w:pPr>
      <w:r w:rsidRPr="00FE6104">
        <w:rPr>
          <w:rFonts w:eastAsia="TimesNewRomanPSMT" w:cstheme="minorHAnsi"/>
        </w:rPr>
        <w:t>Razina informiranosti o odabranim ustanovama, programima, mjerama i politikama za mlade</w:t>
      </w:r>
      <w:r>
        <w:rPr>
          <w:rFonts w:eastAsia="TimesNewRomanPSMT" w:cstheme="minorHAnsi"/>
        </w:rPr>
        <w:t xml:space="preserve"> </w:t>
      </w:r>
      <w:r w:rsidRPr="00FE6104">
        <w:rPr>
          <w:rFonts w:eastAsia="TimesNewRomanPSMT" w:cstheme="minorHAnsi"/>
        </w:rPr>
        <w:t>Grada Zagreba također je relativno niska. Tako primjerice 46% ispitanih ne zna za postojanje</w:t>
      </w:r>
      <w:r>
        <w:rPr>
          <w:rFonts w:eastAsia="TimesNewRomanPSMT" w:cstheme="minorHAnsi"/>
        </w:rPr>
        <w:t xml:space="preserve"> </w:t>
      </w:r>
      <w:r w:rsidRPr="00FE6104">
        <w:rPr>
          <w:rFonts w:eastAsia="TimesNewRomanPSMT" w:cstheme="minorHAnsi"/>
        </w:rPr>
        <w:t>Savjeta mladih Grada Zagreba, trećina ispitanih (33%) zna samo da Savjet postoji, dok je tek</w:t>
      </w:r>
      <w:r>
        <w:rPr>
          <w:rFonts w:eastAsia="TimesNewRomanPSMT" w:cstheme="minorHAnsi"/>
        </w:rPr>
        <w:t xml:space="preserve"> </w:t>
      </w:r>
      <w:r w:rsidRPr="00FE6104">
        <w:rPr>
          <w:rFonts w:eastAsia="TimesNewRomanPSMT" w:cstheme="minorHAnsi"/>
        </w:rPr>
        <w:t>petina ispitanih (21%) djelomično ili u potpunosti upoznata s njegovom ulogom. Pri tome,</w:t>
      </w:r>
      <w:r>
        <w:rPr>
          <w:rFonts w:eastAsia="TimesNewRomanPSMT" w:cstheme="minorHAnsi"/>
        </w:rPr>
        <w:t xml:space="preserve"> </w:t>
      </w:r>
      <w:r w:rsidRPr="00FE6104">
        <w:rPr>
          <w:rFonts w:eastAsia="TimesNewRomanPSMT" w:cstheme="minorHAnsi"/>
        </w:rPr>
        <w:t>86,5% ispitanih ne zna tko sve može biti član Savjeta mladih Grada Zagreba. Nadalje,</w:t>
      </w:r>
      <w:r>
        <w:rPr>
          <w:rFonts w:eastAsia="TimesNewRomanPSMT" w:cstheme="minorHAnsi"/>
        </w:rPr>
        <w:t xml:space="preserve"> </w:t>
      </w:r>
      <w:r w:rsidRPr="00FE6104">
        <w:rPr>
          <w:rFonts w:eastAsia="TimesNewRomanPSMT" w:cstheme="minorHAnsi"/>
        </w:rPr>
        <w:t>polovica ispitanih (51%) nikada nije čula za Nacionalni program za mlade koji je vrijedio za</w:t>
      </w:r>
      <w:r>
        <w:rPr>
          <w:rFonts w:eastAsia="TimesNewRomanPSMT" w:cstheme="minorHAnsi"/>
        </w:rPr>
        <w:t xml:space="preserve"> </w:t>
      </w:r>
      <w:r w:rsidRPr="00FE6104">
        <w:rPr>
          <w:rFonts w:eastAsia="TimesNewRomanPSMT" w:cstheme="minorHAnsi"/>
        </w:rPr>
        <w:t>razdoblje od 2014. do 2017. godine, dok je trećina (35%) čula za Program no ne zna ništa o</w:t>
      </w:r>
      <w:r>
        <w:rPr>
          <w:rFonts w:eastAsia="TimesNewRomanPSMT" w:cstheme="minorHAnsi"/>
        </w:rPr>
        <w:t xml:space="preserve"> </w:t>
      </w:r>
      <w:r w:rsidRPr="00FE6104">
        <w:rPr>
          <w:rFonts w:eastAsia="TimesNewRomanPSMT" w:cstheme="minorHAnsi"/>
        </w:rPr>
        <w:t>mjerama Programa.</w:t>
      </w:r>
      <w:r>
        <w:rPr>
          <w:rFonts w:eastAsia="TimesNewRomanPSMT" w:cstheme="minorHAnsi"/>
        </w:rPr>
        <w:t xml:space="preserve"> </w:t>
      </w:r>
      <w:r w:rsidRPr="00FE6104">
        <w:rPr>
          <w:rFonts w:eastAsia="TimesNewRomanPSMT" w:cstheme="minorHAnsi"/>
        </w:rPr>
        <w:t>Za Program za mlade Grada Zagreba koji je vrijedio za razdoblje od 2015. do 2018. godine</w:t>
      </w:r>
      <w:r>
        <w:rPr>
          <w:rFonts w:eastAsia="TimesNewRomanPSMT" w:cstheme="minorHAnsi"/>
        </w:rPr>
        <w:t xml:space="preserve"> </w:t>
      </w:r>
      <w:r w:rsidRPr="00FE6104">
        <w:rPr>
          <w:rFonts w:eastAsia="TimesNewRomanPSMT" w:cstheme="minorHAnsi"/>
        </w:rPr>
        <w:t>48% ispitanih nikada nije čulo, 40% ispitanih za navedeni je program čulo no ne zna ništa o</w:t>
      </w:r>
      <w:r>
        <w:rPr>
          <w:rFonts w:eastAsia="TimesNewRomanPSMT" w:cstheme="minorHAnsi"/>
        </w:rPr>
        <w:t xml:space="preserve"> </w:t>
      </w:r>
      <w:r w:rsidRPr="00FE6104">
        <w:rPr>
          <w:rFonts w:eastAsia="TimesNewRomanPSMT" w:cstheme="minorHAnsi"/>
        </w:rPr>
        <w:t>njemu, dok je tek 12% ispitanih djelomično (11%) ili u potpunosti (1%) upoznato s</w:t>
      </w:r>
      <w:r>
        <w:rPr>
          <w:rFonts w:eastAsia="TimesNewRomanPSMT" w:cstheme="minorHAnsi"/>
        </w:rPr>
        <w:t xml:space="preserve"> </w:t>
      </w:r>
      <w:r w:rsidRPr="00FE6104">
        <w:rPr>
          <w:rFonts w:eastAsia="TimesNewRomanPSMT" w:cstheme="minorHAnsi"/>
        </w:rPr>
        <w:t>Programom.</w:t>
      </w:r>
    </w:p>
    <w:p w14:paraId="4AFE872F" w14:textId="77777777" w:rsidR="004976E4" w:rsidRPr="00FE6104" w:rsidRDefault="004976E4" w:rsidP="004976E4">
      <w:pPr>
        <w:autoSpaceDE w:val="0"/>
        <w:autoSpaceDN w:val="0"/>
        <w:adjustRightInd w:val="0"/>
        <w:spacing w:after="0" w:line="240" w:lineRule="auto"/>
        <w:jc w:val="both"/>
        <w:rPr>
          <w:rFonts w:eastAsia="TimesNewRomanPSMT" w:cstheme="minorHAnsi"/>
        </w:rPr>
      </w:pPr>
    </w:p>
    <w:p w14:paraId="2194FD67" w14:textId="77777777" w:rsidR="004976E4" w:rsidRPr="00FE6104" w:rsidRDefault="004976E4" w:rsidP="004976E4">
      <w:pPr>
        <w:autoSpaceDE w:val="0"/>
        <w:autoSpaceDN w:val="0"/>
        <w:adjustRightInd w:val="0"/>
        <w:spacing w:after="0" w:line="240" w:lineRule="auto"/>
        <w:jc w:val="both"/>
        <w:rPr>
          <w:rFonts w:eastAsia="TimesNewRomanPSMT" w:cstheme="minorHAnsi"/>
        </w:rPr>
      </w:pPr>
      <w:r w:rsidRPr="00FE6104">
        <w:rPr>
          <w:rFonts w:eastAsia="TimesNewRomanPSMT" w:cstheme="minorHAnsi"/>
        </w:rPr>
        <w:t>Razina upoznatosti s radom Centra za mlade Grada Zagreba također je relativno niska. Tek je</w:t>
      </w:r>
      <w:r>
        <w:rPr>
          <w:rFonts w:eastAsia="TimesNewRomanPSMT" w:cstheme="minorHAnsi"/>
        </w:rPr>
        <w:t xml:space="preserve"> </w:t>
      </w:r>
      <w:r w:rsidRPr="00FE6104">
        <w:rPr>
          <w:rFonts w:eastAsia="TimesNewRomanPSMT" w:cstheme="minorHAnsi"/>
        </w:rPr>
        <w:t xml:space="preserve">16% ispitanih izjavilo kako je upoznato s radom Centra za mlade Grada Zagreba. </w:t>
      </w:r>
      <w:r>
        <w:rPr>
          <w:rFonts w:eastAsia="TimesNewRomanPSMT" w:cstheme="minorHAnsi"/>
        </w:rPr>
        <w:t>Također,</w:t>
      </w:r>
      <w:r w:rsidRPr="00FE6104">
        <w:rPr>
          <w:rFonts w:eastAsia="TimesNewRomanPSMT" w:cstheme="minorHAnsi"/>
        </w:rPr>
        <w:t xml:space="preserve"> na</w:t>
      </w:r>
      <w:r>
        <w:rPr>
          <w:rFonts w:eastAsia="TimesNewRomanPSMT" w:cstheme="minorHAnsi"/>
        </w:rPr>
        <w:t xml:space="preserve"> </w:t>
      </w:r>
      <w:r w:rsidRPr="00FE6104">
        <w:rPr>
          <w:rFonts w:eastAsia="TimesNewRomanPSMT" w:cstheme="minorHAnsi"/>
        </w:rPr>
        <w:t>upoznatost s radom Pogona, zagrebačkim centrom za nezavisnu kulturu i mlade, tek je 5%</w:t>
      </w:r>
      <w:r>
        <w:rPr>
          <w:rFonts w:eastAsia="TimesNewRomanPSMT" w:cstheme="minorHAnsi"/>
        </w:rPr>
        <w:t xml:space="preserve"> </w:t>
      </w:r>
      <w:r w:rsidRPr="00FE6104">
        <w:rPr>
          <w:rFonts w:eastAsia="TimesNewRomanPSMT" w:cstheme="minorHAnsi"/>
        </w:rPr>
        <w:t>ispitanih izjavilo kako je upoznato s njegovim radom. Kad je u pitanju informiranost o</w:t>
      </w:r>
      <w:r>
        <w:rPr>
          <w:rFonts w:eastAsia="TimesNewRomanPSMT" w:cstheme="minorHAnsi"/>
        </w:rPr>
        <w:t xml:space="preserve"> </w:t>
      </w:r>
      <w:r w:rsidRPr="00FE6104">
        <w:rPr>
          <w:rFonts w:eastAsia="TimesNewRomanPSMT" w:cstheme="minorHAnsi"/>
        </w:rPr>
        <w:t>načinima na koje Grad Zagreb pomaže mladim osobama oko obrazovanja, zaposlenja,</w:t>
      </w:r>
      <w:r>
        <w:rPr>
          <w:rFonts w:eastAsia="TimesNewRomanPSMT" w:cstheme="minorHAnsi"/>
        </w:rPr>
        <w:t xml:space="preserve"> </w:t>
      </w:r>
      <w:r w:rsidRPr="00FE6104">
        <w:rPr>
          <w:rFonts w:eastAsia="TimesNewRomanPSMT" w:cstheme="minorHAnsi"/>
        </w:rPr>
        <w:t>stambenog zbrinjavanja i sličnog, 46% ispitanih izjavljuje kako znaju koga i gdje pitati za</w:t>
      </w:r>
      <w:r>
        <w:rPr>
          <w:rFonts w:eastAsia="TimesNewRomanPSMT" w:cstheme="minorHAnsi"/>
        </w:rPr>
        <w:t xml:space="preserve"> </w:t>
      </w:r>
      <w:r w:rsidRPr="00FE6104">
        <w:rPr>
          <w:rFonts w:eastAsia="TimesNewRomanPSMT" w:cstheme="minorHAnsi"/>
        </w:rPr>
        <w:t>takve informacije, dok više od polovice ispitanih, njih 54%, ne znaju koga i gdje pitati za</w:t>
      </w:r>
      <w:r>
        <w:rPr>
          <w:rFonts w:eastAsia="TimesNewRomanPSMT" w:cstheme="minorHAnsi"/>
        </w:rPr>
        <w:t xml:space="preserve"> </w:t>
      </w:r>
      <w:r w:rsidRPr="00FE6104">
        <w:rPr>
          <w:rFonts w:eastAsia="TimesNewRomanPSMT" w:cstheme="minorHAnsi"/>
        </w:rPr>
        <w:t>takve informacije.</w:t>
      </w:r>
    </w:p>
    <w:p w14:paraId="6BCA1E66" w14:textId="77777777" w:rsidR="004976E4" w:rsidRPr="00FE6104" w:rsidRDefault="004976E4" w:rsidP="004976E4">
      <w:pPr>
        <w:autoSpaceDE w:val="0"/>
        <w:autoSpaceDN w:val="0"/>
        <w:adjustRightInd w:val="0"/>
        <w:spacing w:after="0" w:line="240" w:lineRule="auto"/>
        <w:jc w:val="both"/>
        <w:rPr>
          <w:rFonts w:eastAsia="TimesNewRomanPSMT" w:cstheme="minorHAnsi"/>
        </w:rPr>
      </w:pPr>
      <w:r>
        <w:rPr>
          <w:rFonts w:eastAsia="TimesNewRomanPSMT" w:cstheme="minorHAnsi"/>
        </w:rPr>
        <w:t>Vezano za</w:t>
      </w:r>
      <w:r w:rsidRPr="00FE6104">
        <w:rPr>
          <w:rFonts w:eastAsia="TimesNewRomanPSMT" w:cstheme="minorHAnsi"/>
        </w:rPr>
        <w:t xml:space="preserve"> programe za pomoć pri traženju posla i planiranju karijere, četvrtina ispitanih</w:t>
      </w:r>
      <w:r>
        <w:rPr>
          <w:rFonts w:eastAsia="TimesNewRomanPSMT" w:cstheme="minorHAnsi"/>
        </w:rPr>
        <w:t xml:space="preserve"> </w:t>
      </w:r>
      <w:r w:rsidRPr="00FE6104">
        <w:rPr>
          <w:rFonts w:eastAsia="TimesNewRomanPSMT" w:cstheme="minorHAnsi"/>
        </w:rPr>
        <w:t xml:space="preserve">(26%) upoznata je s takvim programima, dok gotovo </w:t>
      </w:r>
      <w:r w:rsidRPr="00FE6104">
        <w:rPr>
          <w:rFonts w:eastAsia="TimesNewRomanPSMT" w:cstheme="minorHAnsi"/>
          <w:lang w:val="en-US"/>
        </w:rPr>
        <w:t xml:space="preserve">¾ </w:t>
      </w:r>
      <w:r w:rsidRPr="00FE6104">
        <w:rPr>
          <w:rFonts w:eastAsia="TimesNewRomanPSMT" w:cstheme="minorHAnsi"/>
        </w:rPr>
        <w:t>ispitanih (74%) nije upoznato s</w:t>
      </w:r>
      <w:r>
        <w:rPr>
          <w:rFonts w:eastAsia="TimesNewRomanPSMT" w:cstheme="minorHAnsi"/>
        </w:rPr>
        <w:t xml:space="preserve"> </w:t>
      </w:r>
      <w:r w:rsidRPr="00FE6104">
        <w:rPr>
          <w:rFonts w:eastAsia="TimesNewRomanPSMT" w:cstheme="minorHAnsi"/>
        </w:rPr>
        <w:t>takvim programima.</w:t>
      </w:r>
    </w:p>
    <w:p w14:paraId="43FD21EB" w14:textId="77777777" w:rsidR="004976E4" w:rsidRPr="00FE6104" w:rsidRDefault="004976E4" w:rsidP="004976E4">
      <w:pPr>
        <w:autoSpaceDE w:val="0"/>
        <w:autoSpaceDN w:val="0"/>
        <w:adjustRightInd w:val="0"/>
        <w:spacing w:after="0" w:line="240" w:lineRule="auto"/>
        <w:jc w:val="both"/>
        <w:rPr>
          <w:rFonts w:eastAsia="TimesNewRomanPSMT" w:cstheme="minorHAnsi"/>
        </w:rPr>
      </w:pPr>
      <w:r w:rsidRPr="00FE6104">
        <w:rPr>
          <w:rFonts w:eastAsia="TimesNewRomanPSMT" w:cstheme="minorHAnsi"/>
        </w:rPr>
        <w:t>Po mišljenju najvećeg broja ispitanih, njih 75% smatra da je glavni problem mladih Grada</w:t>
      </w:r>
      <w:r>
        <w:rPr>
          <w:rFonts w:eastAsia="TimesNewRomanPSMT" w:cstheme="minorHAnsi"/>
        </w:rPr>
        <w:t xml:space="preserve"> </w:t>
      </w:r>
      <w:r w:rsidRPr="00FE6104">
        <w:rPr>
          <w:rFonts w:eastAsia="TimesNewRomanPSMT" w:cstheme="minorHAnsi"/>
        </w:rPr>
        <w:t>Zagreba nezaposlenost. Od ostalih problema, više od polovice ispitanih istaklo je ovisnost</w:t>
      </w:r>
      <w:r>
        <w:rPr>
          <w:rFonts w:eastAsia="TimesNewRomanPSMT" w:cstheme="minorHAnsi"/>
        </w:rPr>
        <w:t xml:space="preserve"> </w:t>
      </w:r>
      <w:r w:rsidRPr="00FE6104">
        <w:rPr>
          <w:rFonts w:eastAsia="TimesNewRomanPSMT" w:cstheme="minorHAnsi"/>
        </w:rPr>
        <w:t>mladih o drogama, alkoholu i duhanu (69%), važnost "veza" a ne sposobnosti i stručnosti</w:t>
      </w:r>
      <w:r>
        <w:rPr>
          <w:rFonts w:eastAsia="TimesNewRomanPSMT" w:cstheme="minorHAnsi"/>
        </w:rPr>
        <w:t xml:space="preserve"> </w:t>
      </w:r>
      <w:r w:rsidRPr="00FE6104">
        <w:rPr>
          <w:rFonts w:eastAsia="TimesNewRomanPSMT" w:cstheme="minorHAnsi"/>
        </w:rPr>
        <w:t>(60%), nisku političku participaciju mladih (58%), nedovoljnu briga društva i države za mlade</w:t>
      </w:r>
      <w:r>
        <w:rPr>
          <w:rFonts w:eastAsia="TimesNewRomanPSMT" w:cstheme="minorHAnsi"/>
        </w:rPr>
        <w:t xml:space="preserve"> </w:t>
      </w:r>
      <w:r w:rsidRPr="00FE6104">
        <w:rPr>
          <w:rFonts w:eastAsia="TimesNewRomanPSMT" w:cstheme="minorHAnsi"/>
        </w:rPr>
        <w:t>(56%), nizak životni standard (58%), problem stanovanja (57%), okupiranost zabavom i</w:t>
      </w:r>
      <w:r>
        <w:rPr>
          <w:rFonts w:eastAsia="TimesNewRomanPSMT" w:cstheme="minorHAnsi"/>
        </w:rPr>
        <w:t xml:space="preserve"> </w:t>
      </w:r>
      <w:r w:rsidRPr="00FE6104">
        <w:rPr>
          <w:rFonts w:eastAsia="TimesNewRomanPSMT" w:cstheme="minorHAnsi"/>
        </w:rPr>
        <w:t>potrošnjom (60%), nedostatak životne perspektive (55%), apatičnost i nedostatak interesa za</w:t>
      </w:r>
      <w:r>
        <w:rPr>
          <w:rFonts w:eastAsia="TimesNewRomanPSMT" w:cstheme="minorHAnsi"/>
        </w:rPr>
        <w:t xml:space="preserve"> </w:t>
      </w:r>
      <w:r w:rsidRPr="00FE6104">
        <w:rPr>
          <w:rFonts w:eastAsia="TimesNewRomanPSMT" w:cstheme="minorHAnsi"/>
        </w:rPr>
        <w:t>društvena zbivanja (56%) te nedostatak tolerancije prema manjinskim društvenim skupinama</w:t>
      </w:r>
      <w:r>
        <w:rPr>
          <w:rFonts w:eastAsia="TimesNewRomanPSMT" w:cstheme="minorHAnsi"/>
        </w:rPr>
        <w:t xml:space="preserve"> </w:t>
      </w:r>
      <w:r w:rsidRPr="00FE6104">
        <w:rPr>
          <w:rFonts w:eastAsia="TimesNewRomanPSMT" w:cstheme="minorHAnsi"/>
        </w:rPr>
        <w:t>(51%).</w:t>
      </w:r>
    </w:p>
    <w:p w14:paraId="610B1FBE" w14:textId="77777777" w:rsidR="004976E4" w:rsidRPr="00FE6104" w:rsidRDefault="004976E4" w:rsidP="004976E4">
      <w:pPr>
        <w:autoSpaceDE w:val="0"/>
        <w:autoSpaceDN w:val="0"/>
        <w:adjustRightInd w:val="0"/>
        <w:spacing w:after="0" w:line="240" w:lineRule="auto"/>
        <w:jc w:val="both"/>
        <w:rPr>
          <w:rFonts w:eastAsia="TimesNewRomanPSMT" w:cstheme="minorHAnsi"/>
        </w:rPr>
      </w:pPr>
      <w:r w:rsidRPr="00FE6104">
        <w:rPr>
          <w:rFonts w:eastAsia="TimesNewRomanPSMT" w:cstheme="minorHAnsi"/>
        </w:rPr>
        <w:t>Kako bi se problemi mladih u Gradu Zagrebu djelotvornije rješavali, prema mišljenju</w:t>
      </w:r>
      <w:r>
        <w:rPr>
          <w:rFonts w:eastAsia="TimesNewRomanPSMT" w:cstheme="minorHAnsi"/>
        </w:rPr>
        <w:t xml:space="preserve"> </w:t>
      </w:r>
      <w:r w:rsidRPr="00FE6104">
        <w:rPr>
          <w:rFonts w:eastAsia="TimesNewRomanPSMT" w:cstheme="minorHAnsi"/>
        </w:rPr>
        <w:t>najvećeg broja ispitanih, više od polovice, potrebno je osigurati poticaje za sustavno i</w:t>
      </w:r>
      <w:r>
        <w:rPr>
          <w:rFonts w:eastAsia="TimesNewRomanPSMT" w:cstheme="minorHAnsi"/>
        </w:rPr>
        <w:t xml:space="preserve"> </w:t>
      </w:r>
      <w:r w:rsidRPr="00FE6104">
        <w:rPr>
          <w:rFonts w:eastAsia="TimesNewRomanPSMT" w:cstheme="minorHAnsi"/>
        </w:rPr>
        <w:t>djelotvorno zapošljavanje mladih ljudi nakon školovanja (55%), osigurati jednake šanse u</w:t>
      </w:r>
      <w:r>
        <w:rPr>
          <w:rFonts w:eastAsia="TimesNewRomanPSMT" w:cstheme="minorHAnsi"/>
        </w:rPr>
        <w:t xml:space="preserve"> </w:t>
      </w:r>
      <w:r w:rsidRPr="00FE6104">
        <w:rPr>
          <w:rFonts w:eastAsia="TimesNewRomanPSMT" w:cstheme="minorHAnsi"/>
        </w:rPr>
        <w:t>obrazovanju i zapošljavanju za sve (55%) te osigurati kvalitetno obrazovanje sukladno</w:t>
      </w:r>
      <w:r>
        <w:rPr>
          <w:rFonts w:eastAsia="TimesNewRomanPSMT" w:cstheme="minorHAnsi"/>
        </w:rPr>
        <w:t xml:space="preserve"> </w:t>
      </w:r>
      <w:r w:rsidRPr="00FE6104">
        <w:rPr>
          <w:rFonts w:eastAsia="TimesNewRomanPSMT" w:cstheme="minorHAnsi"/>
        </w:rPr>
        <w:t>zahtjevima tržišta i potrebama hrvatskog društva (52%).</w:t>
      </w:r>
    </w:p>
    <w:p w14:paraId="02CDA108" w14:textId="77777777" w:rsidR="004976E4" w:rsidRPr="00FE6104" w:rsidRDefault="004976E4" w:rsidP="004976E4">
      <w:pPr>
        <w:autoSpaceDE w:val="0"/>
        <w:autoSpaceDN w:val="0"/>
        <w:adjustRightInd w:val="0"/>
        <w:spacing w:after="0" w:line="240" w:lineRule="auto"/>
        <w:jc w:val="both"/>
        <w:rPr>
          <w:rFonts w:eastAsia="TimesNewRomanPSMT" w:cstheme="minorHAnsi"/>
        </w:rPr>
      </w:pPr>
      <w:r w:rsidRPr="00FE6104">
        <w:rPr>
          <w:rFonts w:eastAsia="TimesNewRomanPSMT" w:cstheme="minorHAnsi"/>
        </w:rPr>
        <w:t>Obzirom na aktivnosti u kojima ispitani sudjeluju u cilju rješavanja problema mladih u Gradu</w:t>
      </w:r>
      <w:r>
        <w:rPr>
          <w:rFonts w:eastAsia="TimesNewRomanPSMT" w:cstheme="minorHAnsi"/>
        </w:rPr>
        <w:t xml:space="preserve"> </w:t>
      </w:r>
      <w:r w:rsidRPr="00FE6104">
        <w:rPr>
          <w:rFonts w:eastAsia="TimesNewRomanPSMT" w:cstheme="minorHAnsi"/>
        </w:rPr>
        <w:t>Zagrebu, najveći udio ispitanih, njih 48%, izjavljuje kako glasa na izborima, nešto više od</w:t>
      </w:r>
      <w:r>
        <w:rPr>
          <w:rFonts w:eastAsia="TimesNewRomanPSMT" w:cstheme="minorHAnsi"/>
        </w:rPr>
        <w:t xml:space="preserve"> </w:t>
      </w:r>
      <w:r w:rsidRPr="00FE6104">
        <w:rPr>
          <w:rFonts w:eastAsia="TimesNewRomanPSMT" w:cstheme="minorHAnsi"/>
        </w:rPr>
        <w:t>četvrtine (28%) potpisuje peticije, dok 17% donira ili prikuplja novčana sredstva.</w:t>
      </w:r>
      <w:r w:rsidRPr="00FE6104">
        <w:rPr>
          <w:rStyle w:val="Referencafusnote"/>
          <w:rFonts w:eastAsia="TimesNewRomanPSMT" w:cstheme="minorHAnsi"/>
        </w:rPr>
        <w:footnoteReference w:id="24"/>
      </w:r>
    </w:p>
    <w:p w14:paraId="25A75DB0" w14:textId="77777777" w:rsidR="004976E4" w:rsidRPr="00F668C4" w:rsidRDefault="004976E4" w:rsidP="004976E4">
      <w:pPr>
        <w:autoSpaceDE w:val="0"/>
        <w:autoSpaceDN w:val="0"/>
        <w:adjustRightInd w:val="0"/>
        <w:spacing w:after="0" w:line="240" w:lineRule="auto"/>
        <w:jc w:val="both"/>
        <w:rPr>
          <w:rFonts w:cstheme="minorHAnsi"/>
        </w:rPr>
      </w:pPr>
      <w:r w:rsidRPr="00FE6104">
        <w:rPr>
          <w:rFonts w:eastAsia="TimesNewRomanPSMT" w:cstheme="minorHAnsi"/>
        </w:rPr>
        <w:t>Kada je riječ o pitanjima o unapređenju kvalitete života mladih u Gradu Zagrebu,</w:t>
      </w:r>
      <w:r w:rsidRPr="00FE6104">
        <w:rPr>
          <w:rFonts w:cstheme="minorHAnsi"/>
        </w:rPr>
        <w:t xml:space="preserve"> </w:t>
      </w:r>
      <w:r w:rsidRPr="00FE6104">
        <w:rPr>
          <w:rFonts w:eastAsia="TimesNewRomanPSMT" w:cstheme="minorHAnsi"/>
        </w:rPr>
        <w:t>može se reći kako prednjače prijedlozi koji su usmjereni na kreiranje većih mogućnosti</w:t>
      </w:r>
      <w:r>
        <w:rPr>
          <w:rFonts w:cstheme="minorHAnsi"/>
        </w:rPr>
        <w:t xml:space="preserve"> </w:t>
      </w:r>
      <w:r w:rsidRPr="00FE6104">
        <w:rPr>
          <w:rFonts w:eastAsia="TimesNewRomanPSMT" w:cstheme="minorHAnsi"/>
        </w:rPr>
        <w:t>za mlade na tržištu rada odnosno jačanje stambeno</w:t>
      </w:r>
      <w:r w:rsidRPr="00FE6104">
        <w:rPr>
          <w:rFonts w:cstheme="minorHAnsi"/>
        </w:rPr>
        <w:t xml:space="preserve">-financijskih uvjeta </w:t>
      </w:r>
      <w:r w:rsidRPr="00FE6104">
        <w:rPr>
          <w:rFonts w:eastAsia="TimesNewRomanPSMT" w:cstheme="minorHAnsi"/>
        </w:rPr>
        <w:t>njihova života. U suštini</w:t>
      </w:r>
      <w:r>
        <w:rPr>
          <w:rFonts w:cstheme="minorHAnsi"/>
        </w:rPr>
        <w:t xml:space="preserve"> </w:t>
      </w:r>
      <w:r w:rsidRPr="00FE6104">
        <w:rPr>
          <w:rFonts w:cstheme="minorHAnsi"/>
        </w:rPr>
        <w:t xml:space="preserve">prijedlozi idu prema </w:t>
      </w:r>
      <w:r w:rsidRPr="00FE6104">
        <w:rPr>
          <w:rFonts w:eastAsia="TimesNewRomanPSMT" w:cstheme="minorHAnsi"/>
        </w:rPr>
        <w:t>načinima unapređivanj</w:t>
      </w:r>
      <w:r w:rsidRPr="00FE6104">
        <w:rPr>
          <w:rFonts w:cstheme="minorHAnsi"/>
        </w:rPr>
        <w:t xml:space="preserve">a </w:t>
      </w:r>
      <w:r w:rsidRPr="00FE6104">
        <w:rPr>
          <w:rFonts w:eastAsia="TimesNewRomanPSMT" w:cstheme="minorHAnsi"/>
        </w:rPr>
        <w:t>materijalnih uvjeta života mladih.</w:t>
      </w:r>
      <w:r>
        <w:rPr>
          <w:rFonts w:cstheme="minorHAnsi"/>
        </w:rPr>
        <w:t xml:space="preserve"> </w:t>
      </w:r>
      <w:r w:rsidRPr="00FE6104">
        <w:rPr>
          <w:rFonts w:eastAsia="TimesNewRomanPSMT" w:cstheme="minorHAnsi"/>
        </w:rPr>
        <w:t>Potrebno je stvoriti veće mogućnosti zapošljavanja</w:t>
      </w:r>
    </w:p>
    <w:p w14:paraId="20C2021B" w14:textId="77777777" w:rsidR="004976E4" w:rsidRPr="00FE6104" w:rsidRDefault="004976E4" w:rsidP="004976E4">
      <w:pPr>
        <w:autoSpaceDE w:val="0"/>
        <w:autoSpaceDN w:val="0"/>
        <w:adjustRightInd w:val="0"/>
        <w:spacing w:after="0" w:line="240" w:lineRule="auto"/>
        <w:jc w:val="both"/>
        <w:rPr>
          <w:rFonts w:eastAsia="TimesNewRomanPSMT" w:cstheme="minorHAnsi"/>
        </w:rPr>
      </w:pPr>
      <w:r w:rsidRPr="00FE6104">
        <w:rPr>
          <w:rFonts w:cstheme="minorHAnsi"/>
        </w:rPr>
        <w:t>mladih, mlade je potrebno u</w:t>
      </w:r>
      <w:r w:rsidRPr="00FE6104">
        <w:rPr>
          <w:rFonts w:eastAsia="TimesNewRomanPSMT" w:cstheme="minorHAnsi"/>
        </w:rPr>
        <w:t xml:space="preserve">ključiti u donošenje odluka koje se njih tiču,  pružanje potrebne  pomoći u rješavanju stambene </w:t>
      </w:r>
      <w:r w:rsidRPr="00FE6104">
        <w:rPr>
          <w:rFonts w:cstheme="minorHAnsi"/>
        </w:rPr>
        <w:t xml:space="preserve">problematike </w:t>
      </w:r>
      <w:r w:rsidRPr="00FE6104">
        <w:rPr>
          <w:rFonts w:eastAsia="TimesNewRomanPSMT" w:cstheme="minorHAnsi"/>
        </w:rPr>
        <w:t>odnosno nužno</w:t>
      </w:r>
      <w:r>
        <w:rPr>
          <w:rFonts w:eastAsia="TimesNewRomanPSMT" w:cstheme="minorHAnsi"/>
        </w:rPr>
        <w:t xml:space="preserve"> je</w:t>
      </w:r>
      <w:r w:rsidRPr="00FE6104">
        <w:rPr>
          <w:rFonts w:eastAsia="TimesNewRomanPSMT" w:cstheme="minorHAnsi"/>
        </w:rPr>
        <w:t xml:space="preserve"> omogućiti bolje plaće za mlade.</w:t>
      </w:r>
      <w:r>
        <w:rPr>
          <w:rFonts w:eastAsia="TimesNewRomanPSMT" w:cstheme="minorHAnsi"/>
        </w:rPr>
        <w:t xml:space="preserve"> </w:t>
      </w:r>
      <w:r w:rsidRPr="00FE6104">
        <w:rPr>
          <w:rFonts w:eastAsia="TimesNewRomanPSMT" w:cstheme="minorHAnsi"/>
        </w:rPr>
        <w:t xml:space="preserve">Oni koji </w:t>
      </w:r>
      <w:r w:rsidRPr="00FE6104">
        <w:rPr>
          <w:rFonts w:eastAsia="TimesNewRomanPSMT" w:cstheme="minorHAnsi"/>
          <w:lang w:val="en-US"/>
        </w:rPr>
        <w:t>„</w:t>
      </w:r>
      <w:r w:rsidRPr="00FE6104">
        <w:rPr>
          <w:rFonts w:eastAsia="TimesNewRomanPSMT" w:cstheme="minorHAnsi"/>
        </w:rPr>
        <w:t>vape</w:t>
      </w:r>
      <w:r w:rsidRPr="00FE6104">
        <w:rPr>
          <w:rFonts w:eastAsia="TimesNewRomanPSMT" w:cstheme="minorHAnsi"/>
          <w:lang w:val="en-US"/>
        </w:rPr>
        <w:t>“</w:t>
      </w:r>
      <w:r w:rsidRPr="00FE6104">
        <w:rPr>
          <w:rFonts w:eastAsia="TimesNewRomanPSMT" w:cstheme="minorHAnsi"/>
        </w:rPr>
        <w:t xml:space="preserve"> za rješavanjem stambenog pitanja istič</w:t>
      </w:r>
      <w:r w:rsidRPr="00FE6104">
        <w:rPr>
          <w:rFonts w:cstheme="minorHAnsi"/>
        </w:rPr>
        <w:t xml:space="preserve">u neke od </w:t>
      </w:r>
      <w:r w:rsidRPr="00FE6104">
        <w:rPr>
          <w:rFonts w:eastAsia="TimesNewRomanPSMT" w:cstheme="minorHAnsi"/>
        </w:rPr>
        <w:t>mogućih načina rješavanja</w:t>
      </w:r>
      <w:r>
        <w:rPr>
          <w:rFonts w:eastAsia="TimesNewRomanPSMT" w:cstheme="minorHAnsi"/>
        </w:rPr>
        <w:t xml:space="preserve"> </w:t>
      </w:r>
      <w:r w:rsidRPr="00FE6104">
        <w:rPr>
          <w:rFonts w:cstheme="minorHAnsi"/>
        </w:rPr>
        <w:t xml:space="preserve">problema </w:t>
      </w:r>
      <w:r w:rsidRPr="00FE6104">
        <w:rPr>
          <w:rFonts w:eastAsia="TimesNewRomanPSMT" w:cstheme="minorHAnsi"/>
        </w:rPr>
        <w:t>kao što su: davanj</w:t>
      </w:r>
      <w:r w:rsidRPr="00FE6104">
        <w:rPr>
          <w:rFonts w:cstheme="minorHAnsi"/>
        </w:rPr>
        <w:t>e financijskih poticaja, povoljno kreditiranje</w:t>
      </w:r>
      <w:r w:rsidRPr="00FE6104">
        <w:rPr>
          <w:rFonts w:eastAsia="TimesNewRomanPSMT" w:cstheme="minorHAnsi"/>
        </w:rPr>
        <w:t>, snižavanje cijene</w:t>
      </w:r>
      <w:r>
        <w:rPr>
          <w:rFonts w:eastAsia="TimesNewRomanPSMT" w:cstheme="minorHAnsi"/>
        </w:rPr>
        <w:t xml:space="preserve"> </w:t>
      </w:r>
      <w:r w:rsidRPr="00FE6104">
        <w:rPr>
          <w:rFonts w:eastAsia="TimesNewRomanPSMT" w:cstheme="minorHAnsi"/>
        </w:rPr>
        <w:t xml:space="preserve">najma za mlade odnosno snižavanje cijene stanova </w:t>
      </w:r>
      <w:r w:rsidRPr="00FE6104">
        <w:rPr>
          <w:rFonts w:cstheme="minorHAnsi"/>
        </w:rPr>
        <w:t>za kupovinu</w:t>
      </w:r>
      <w:r w:rsidRPr="00FE6104">
        <w:rPr>
          <w:rFonts w:eastAsia="TimesNewRomanPSMT" w:cstheme="minorHAnsi"/>
        </w:rPr>
        <w:t>.</w:t>
      </w:r>
      <w:r w:rsidRPr="00FE6104">
        <w:rPr>
          <w:rStyle w:val="Referencafusnote"/>
          <w:rFonts w:eastAsia="TimesNewRomanPSMT" w:cstheme="minorHAnsi"/>
        </w:rPr>
        <w:footnoteReference w:id="25"/>
      </w:r>
    </w:p>
    <w:p w14:paraId="4DD79622" w14:textId="77777777" w:rsidR="004976E4" w:rsidRPr="00C258BF" w:rsidRDefault="004976E4" w:rsidP="004976E4">
      <w:pPr>
        <w:spacing w:line="240" w:lineRule="auto"/>
        <w:jc w:val="both"/>
        <w:rPr>
          <w:rFonts w:cs="Calibri"/>
          <w:bCs/>
          <w:strike/>
        </w:rPr>
      </w:pPr>
    </w:p>
    <w:tbl>
      <w:tblPr>
        <w:tblW w:w="0" w:type="auto"/>
        <w:tblLook w:val="01E0" w:firstRow="1" w:lastRow="1" w:firstColumn="1" w:lastColumn="1" w:noHBand="0" w:noVBand="0"/>
      </w:tblPr>
      <w:tblGrid>
        <w:gridCol w:w="4534"/>
        <w:gridCol w:w="4538"/>
      </w:tblGrid>
      <w:tr w:rsidR="004976E4" w14:paraId="5525D368" w14:textId="77777777" w:rsidTr="00F50578">
        <w:trPr>
          <w:trHeight w:val="5304"/>
        </w:trPr>
        <w:tc>
          <w:tcPr>
            <w:tcW w:w="4643" w:type="dxa"/>
            <w:shd w:val="clear" w:color="auto" w:fill="CCCCCC"/>
          </w:tcPr>
          <w:p w14:paraId="62A76566" w14:textId="77777777" w:rsidR="004976E4" w:rsidRDefault="004976E4" w:rsidP="00F50578">
            <w:pPr>
              <w:spacing w:before="60" w:line="360" w:lineRule="auto"/>
              <w:rPr>
                <w:rFonts w:cs="Calibri"/>
                <w:b/>
                <w:sz w:val="18"/>
                <w:szCs w:val="18"/>
              </w:rPr>
            </w:pPr>
            <w:r>
              <w:rPr>
                <w:rFonts w:cs="Calibri"/>
                <w:b/>
                <w:sz w:val="18"/>
                <w:szCs w:val="18"/>
              </w:rPr>
              <w:t>RAZVOJNI PROBLEMI</w:t>
            </w:r>
          </w:p>
          <w:p w14:paraId="4AE9EC18" w14:textId="59BEFEC2"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n</w:t>
            </w:r>
            <w:r w:rsidR="004976E4">
              <w:rPr>
                <w:rFonts w:cs="Calibri"/>
                <w:sz w:val="18"/>
                <w:szCs w:val="18"/>
              </w:rPr>
              <w:t xml:space="preserve">ezaposlenost mladih i nedostatak životne perspektive </w:t>
            </w:r>
          </w:p>
          <w:p w14:paraId="0B134018" w14:textId="2E32EF73"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n</w:t>
            </w:r>
            <w:r w:rsidR="004976E4">
              <w:rPr>
                <w:rFonts w:cs="Calibri"/>
                <w:sz w:val="18"/>
                <w:szCs w:val="18"/>
              </w:rPr>
              <w:t xml:space="preserve">izak životni standard </w:t>
            </w:r>
          </w:p>
          <w:p w14:paraId="7C8E975B" w14:textId="1D9267B8"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n</w:t>
            </w:r>
            <w:r w:rsidR="004976E4">
              <w:rPr>
                <w:rFonts w:cs="Calibri"/>
                <w:sz w:val="18"/>
                <w:szCs w:val="18"/>
              </w:rPr>
              <w:t xml:space="preserve">edovoljno obrazovanje mladih i nedovoljna ponuda svima dostupnih edukacijskih sadržaja </w:t>
            </w:r>
          </w:p>
          <w:p w14:paraId="05517892" w14:textId="77777777" w:rsidR="004976E4" w:rsidRDefault="004976E4" w:rsidP="00165C16">
            <w:pPr>
              <w:numPr>
                <w:ilvl w:val="0"/>
                <w:numId w:val="5"/>
              </w:numPr>
              <w:spacing w:before="60" w:after="60" w:line="240" w:lineRule="auto"/>
              <w:ind w:left="397" w:right="-2" w:hanging="397"/>
              <w:rPr>
                <w:rFonts w:cs="Calibri"/>
                <w:sz w:val="18"/>
                <w:szCs w:val="18"/>
              </w:rPr>
            </w:pPr>
            <w:r>
              <w:rPr>
                <w:rFonts w:cs="Calibri"/>
                <w:sz w:val="18"/>
                <w:szCs w:val="18"/>
              </w:rPr>
              <w:t>Nedostatak interesa za društvena zbivanja i nedovoljna uključenost mladih u društveno – politički život</w:t>
            </w:r>
          </w:p>
          <w:p w14:paraId="218B2BEB" w14:textId="1D24858C"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r</w:t>
            </w:r>
            <w:r w:rsidR="004976E4">
              <w:rPr>
                <w:rFonts w:cs="Calibri"/>
                <w:sz w:val="18"/>
                <w:szCs w:val="18"/>
              </w:rPr>
              <w:t xml:space="preserve">izično ponašanje mladih </w:t>
            </w:r>
          </w:p>
          <w:p w14:paraId="732096A8" w14:textId="08F058F4"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n</w:t>
            </w:r>
            <w:r w:rsidR="004976E4">
              <w:rPr>
                <w:rFonts w:cs="Calibri"/>
                <w:sz w:val="18"/>
                <w:szCs w:val="18"/>
              </w:rPr>
              <w:t>edostatak adekvatnog prostora koji bi objedinio sve usluge potrebne mladima te omogućio sudjelovanje i obrazovanje svih neovisno o financijskim mogućnostima</w:t>
            </w:r>
          </w:p>
          <w:p w14:paraId="4440A564" w14:textId="68DBE6A8"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n</w:t>
            </w:r>
            <w:r w:rsidR="004976E4">
              <w:rPr>
                <w:rFonts w:cs="Calibri"/>
                <w:sz w:val="18"/>
                <w:szCs w:val="18"/>
              </w:rPr>
              <w:t>edovoljna pristupačnost i atraktivnost postojećih sportsko – rekreacijskih sadržaja mladima</w:t>
            </w:r>
          </w:p>
          <w:p w14:paraId="7F15B8A1" w14:textId="77777777" w:rsidR="004976E4" w:rsidRDefault="004976E4" w:rsidP="00F50578">
            <w:pPr>
              <w:ind w:left="360"/>
              <w:rPr>
                <w:rFonts w:cs="Calibri"/>
                <w:b/>
                <w:sz w:val="18"/>
                <w:szCs w:val="18"/>
              </w:rPr>
            </w:pPr>
          </w:p>
        </w:tc>
        <w:tc>
          <w:tcPr>
            <w:tcW w:w="4643" w:type="dxa"/>
            <w:shd w:val="clear" w:color="auto" w:fill="99CCFF"/>
            <w:hideMark/>
          </w:tcPr>
          <w:p w14:paraId="7F58E761" w14:textId="77777777" w:rsidR="004976E4" w:rsidRDefault="004976E4" w:rsidP="00F50578">
            <w:pPr>
              <w:spacing w:before="60" w:line="360" w:lineRule="auto"/>
              <w:rPr>
                <w:rFonts w:cs="Calibri"/>
                <w:b/>
                <w:sz w:val="18"/>
                <w:szCs w:val="18"/>
              </w:rPr>
            </w:pPr>
            <w:r>
              <w:rPr>
                <w:rFonts w:cs="Calibri"/>
                <w:b/>
                <w:sz w:val="18"/>
                <w:szCs w:val="18"/>
              </w:rPr>
              <w:t>RAZVOJNE POTREBE</w:t>
            </w:r>
          </w:p>
          <w:p w14:paraId="558A4295" w14:textId="6674685E" w:rsidR="00BA606E" w:rsidRPr="00BA606E" w:rsidRDefault="002A3ABD" w:rsidP="00637F7C">
            <w:pPr>
              <w:numPr>
                <w:ilvl w:val="0"/>
                <w:numId w:val="5"/>
              </w:numPr>
              <w:spacing w:before="60" w:after="60" w:line="240" w:lineRule="auto"/>
              <w:ind w:left="397" w:right="-2" w:hanging="397"/>
              <w:rPr>
                <w:rFonts w:cs="Calibri"/>
                <w:sz w:val="18"/>
                <w:szCs w:val="18"/>
              </w:rPr>
            </w:pPr>
            <w:r>
              <w:rPr>
                <w:rFonts w:cs="Calibri"/>
                <w:sz w:val="18"/>
                <w:szCs w:val="18"/>
              </w:rPr>
              <w:t>o</w:t>
            </w:r>
            <w:r w:rsidR="004976E4">
              <w:rPr>
                <w:rFonts w:cs="Calibri"/>
                <w:sz w:val="18"/>
                <w:szCs w:val="18"/>
              </w:rPr>
              <w:t xml:space="preserve">sigurati poticaje za sustavno i djelotvorno zapošljavanje mladih nakon završenog školovanja, te osigurati pomoć pri traženju posla </w:t>
            </w:r>
            <w:r w:rsidR="00BA606E">
              <w:t xml:space="preserve"> </w:t>
            </w:r>
          </w:p>
          <w:p w14:paraId="14C048EA" w14:textId="5148163F" w:rsidR="00637F7C" w:rsidRPr="00637F7C" w:rsidRDefault="00BA606E" w:rsidP="00637F7C">
            <w:pPr>
              <w:numPr>
                <w:ilvl w:val="0"/>
                <w:numId w:val="5"/>
              </w:numPr>
              <w:spacing w:before="60" w:after="60" w:line="240" w:lineRule="auto"/>
              <w:ind w:left="397" w:right="-2" w:hanging="397"/>
              <w:rPr>
                <w:rFonts w:cs="Calibri"/>
                <w:sz w:val="18"/>
                <w:szCs w:val="18"/>
              </w:rPr>
            </w:pPr>
            <w:r w:rsidRPr="00BA606E">
              <w:rPr>
                <w:rFonts w:cs="Calibri"/>
                <w:sz w:val="18"/>
                <w:szCs w:val="18"/>
              </w:rPr>
              <w:t>poticati suradnju s privatnim sektorom s ciljem lakše integracije mladih u svijet rada</w:t>
            </w:r>
          </w:p>
          <w:p w14:paraId="01CFF02F" w14:textId="72324213"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u</w:t>
            </w:r>
            <w:r w:rsidR="004976E4">
              <w:rPr>
                <w:rFonts w:cs="Calibri"/>
                <w:sz w:val="18"/>
                <w:szCs w:val="18"/>
              </w:rPr>
              <w:t xml:space="preserve">naprijediti servise za povremeno zapošljavanje mladih tijekom školovanja </w:t>
            </w:r>
          </w:p>
          <w:p w14:paraId="213DE017" w14:textId="6946AEA9"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izraditi</w:t>
            </w:r>
            <w:r w:rsidR="004976E4">
              <w:rPr>
                <w:rFonts w:cs="Calibri"/>
                <w:sz w:val="18"/>
                <w:szCs w:val="18"/>
              </w:rPr>
              <w:t xml:space="preserve"> gradske strategije za podizanje kvalitete života mladih</w:t>
            </w:r>
          </w:p>
          <w:p w14:paraId="5DCAA1DB" w14:textId="4DB60E07"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o</w:t>
            </w:r>
            <w:r w:rsidR="004976E4">
              <w:rPr>
                <w:rFonts w:cs="Calibri"/>
                <w:sz w:val="18"/>
                <w:szCs w:val="18"/>
              </w:rPr>
              <w:t xml:space="preserve">sigurati kvalitetno obrazovanje sukladno zahtjevima tržišta i potrebama hrvatskog društva </w:t>
            </w:r>
          </w:p>
          <w:p w14:paraId="41B034B0" w14:textId="2664D933" w:rsidR="004976E4" w:rsidRPr="00C522CB" w:rsidRDefault="00C522CB" w:rsidP="00165C16">
            <w:pPr>
              <w:numPr>
                <w:ilvl w:val="0"/>
                <w:numId w:val="5"/>
              </w:numPr>
              <w:spacing w:before="60" w:after="60" w:line="240" w:lineRule="auto"/>
              <w:ind w:left="397" w:right="-2" w:hanging="397"/>
              <w:rPr>
                <w:rFonts w:cs="Calibri"/>
                <w:sz w:val="18"/>
                <w:szCs w:val="18"/>
              </w:rPr>
            </w:pPr>
            <w:r>
              <w:rPr>
                <w:rFonts w:cs="Calibri"/>
                <w:sz w:val="18"/>
                <w:szCs w:val="18"/>
              </w:rPr>
              <w:t>podržavati</w:t>
            </w:r>
            <w:r w:rsidR="004976E4" w:rsidRPr="00C522CB">
              <w:rPr>
                <w:rFonts w:cs="Calibri"/>
                <w:sz w:val="18"/>
                <w:szCs w:val="18"/>
              </w:rPr>
              <w:t xml:space="preserve"> gradsk</w:t>
            </w:r>
            <w:r>
              <w:rPr>
                <w:rFonts w:cs="Calibri"/>
                <w:sz w:val="18"/>
                <w:szCs w:val="18"/>
              </w:rPr>
              <w:t>u</w:t>
            </w:r>
            <w:r w:rsidR="004976E4" w:rsidRPr="00C522CB">
              <w:rPr>
                <w:rFonts w:cs="Calibri"/>
                <w:sz w:val="18"/>
                <w:szCs w:val="18"/>
              </w:rPr>
              <w:t xml:space="preserve"> uprav</w:t>
            </w:r>
            <w:r>
              <w:rPr>
                <w:rFonts w:cs="Calibri"/>
                <w:sz w:val="18"/>
                <w:szCs w:val="18"/>
              </w:rPr>
              <w:t>u u</w:t>
            </w:r>
            <w:r w:rsidR="004976E4" w:rsidRPr="00C522CB">
              <w:rPr>
                <w:rFonts w:cs="Calibri"/>
                <w:sz w:val="18"/>
                <w:szCs w:val="18"/>
              </w:rPr>
              <w:t xml:space="preserve"> radu udruga mladih, udruga za mlade i usluga za mlade</w:t>
            </w:r>
          </w:p>
          <w:p w14:paraId="1FE20D85" w14:textId="3B1AF337"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o</w:t>
            </w:r>
            <w:r w:rsidR="004976E4">
              <w:rPr>
                <w:rFonts w:cs="Calibri"/>
                <w:sz w:val="18"/>
                <w:szCs w:val="18"/>
              </w:rPr>
              <w:t>sigurati sudjelovanje mladih u procesu odlučivanja na svim razinama; osigurati učestalije i kvalitetnije komunikacije vlasti s mladima</w:t>
            </w:r>
          </w:p>
          <w:p w14:paraId="3E2D6907" w14:textId="1E557194"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osnovati centre</w:t>
            </w:r>
            <w:r w:rsidR="004976E4">
              <w:rPr>
                <w:rFonts w:cs="Calibri"/>
                <w:sz w:val="18"/>
                <w:szCs w:val="18"/>
              </w:rPr>
              <w:t xml:space="preserve"> / klinike za reproduktivno zdravlje mladih, te (ne)formalnih grupa za vršnjačku pomoć </w:t>
            </w:r>
          </w:p>
          <w:p w14:paraId="6F2316D8" w14:textId="7845B0A2"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informirati mlade</w:t>
            </w:r>
            <w:r w:rsidR="004976E4">
              <w:rPr>
                <w:rFonts w:cs="Calibri"/>
                <w:sz w:val="18"/>
                <w:szCs w:val="18"/>
              </w:rPr>
              <w:t xml:space="preserve"> o njihovim mogućnostima / dostupnim događanjima / manifestacijama</w:t>
            </w:r>
          </w:p>
          <w:p w14:paraId="30304C7D" w14:textId="4768E2D2" w:rsidR="004976E4" w:rsidRDefault="002A3ABD" w:rsidP="00165C16">
            <w:pPr>
              <w:numPr>
                <w:ilvl w:val="0"/>
                <w:numId w:val="5"/>
              </w:numPr>
              <w:spacing w:before="60" w:after="60" w:line="240" w:lineRule="auto"/>
              <w:ind w:left="397" w:right="-2" w:hanging="397"/>
              <w:rPr>
                <w:rFonts w:cs="Calibri"/>
                <w:sz w:val="18"/>
                <w:szCs w:val="18"/>
              </w:rPr>
            </w:pPr>
            <w:r>
              <w:rPr>
                <w:rFonts w:cs="Calibri"/>
                <w:sz w:val="18"/>
                <w:szCs w:val="18"/>
              </w:rPr>
              <w:t>p</w:t>
            </w:r>
            <w:r w:rsidR="004976E4" w:rsidRPr="0099391E">
              <w:rPr>
                <w:rFonts w:cs="Calibri"/>
                <w:sz w:val="18"/>
                <w:szCs w:val="18"/>
              </w:rPr>
              <w:t>održati programe i projekte organizacija civilnog društva koji se odnose na prevenciju neprihvatljivog ponašanja djece i mladih</w:t>
            </w:r>
          </w:p>
          <w:p w14:paraId="47F3202A" w14:textId="77777777" w:rsidR="004976E4" w:rsidRPr="0099391E" w:rsidRDefault="004976E4" w:rsidP="00F50578">
            <w:pPr>
              <w:spacing w:before="60" w:after="60" w:line="240" w:lineRule="auto"/>
              <w:ind w:right="-2"/>
              <w:rPr>
                <w:rFonts w:cs="Calibri"/>
                <w:sz w:val="18"/>
                <w:szCs w:val="18"/>
              </w:rPr>
            </w:pPr>
          </w:p>
        </w:tc>
      </w:tr>
      <w:bookmarkEnd w:id="49"/>
    </w:tbl>
    <w:p w14:paraId="272C290E" w14:textId="77777777" w:rsidR="004976E4" w:rsidRDefault="004976E4" w:rsidP="004976E4">
      <w:pPr>
        <w:rPr>
          <w:rFonts w:cs="Calibri"/>
          <w:b/>
          <w:bCs/>
        </w:rPr>
      </w:pPr>
    </w:p>
    <w:p w14:paraId="642FC39E" w14:textId="25CD80F1" w:rsidR="004976E4" w:rsidRPr="00B4113F" w:rsidRDefault="005A25A2" w:rsidP="005A25A2">
      <w:pPr>
        <w:pStyle w:val="Stil2"/>
      </w:pPr>
      <w:bookmarkStart w:id="50" w:name="_Toc97123801"/>
      <w:r>
        <w:t xml:space="preserve">2.2.7. </w:t>
      </w:r>
      <w:r w:rsidR="004976E4">
        <w:t>Branitelji u Gradu Zagrebu</w:t>
      </w:r>
      <w:bookmarkEnd w:id="50"/>
    </w:p>
    <w:p w14:paraId="177073D2" w14:textId="77777777" w:rsidR="004976E4" w:rsidRPr="009A623F" w:rsidRDefault="004976E4" w:rsidP="004976E4">
      <w:pPr>
        <w:spacing w:line="240" w:lineRule="auto"/>
        <w:jc w:val="both"/>
      </w:pPr>
      <w:r w:rsidRPr="009A623F">
        <w:t>Skrb za hrvatske branitelje iz Domovinskog rata i članove njihovih obitelji dio je sustava socijalne politike Republike Hrvatske. U okviru vrsta socijalne skrbi propisanih Odlukom o socijalnoj skrb, provode se one mjere socijalne skrbi koje odgovaraju do sada uočenim potrebama hrvatskih branitelja i članova njihovih obitelji.</w:t>
      </w:r>
    </w:p>
    <w:p w14:paraId="5017F696" w14:textId="77777777" w:rsidR="004976E4" w:rsidRDefault="004976E4" w:rsidP="004976E4">
      <w:pPr>
        <w:spacing w:line="240" w:lineRule="auto"/>
        <w:jc w:val="both"/>
      </w:pPr>
      <w:r w:rsidRPr="009A623F">
        <w:t>Mjere i programi skrbi za hrvatske branitelje iz Domovinskog rata i članove njihovih obitelji koje provodi Gradski ured za branitelje, imaju za svrhu zaštitu i pružanje neposredne, brze i učinkovite pomoći najugroženijim hrvatskim braniteljima i članovima njihovih obitelji s ciljem poboljšavanja osnovnih životnih uvjeta, te pravovremenu informiranost o mjerama i vrstama pomoći Grada Zagreba.</w:t>
      </w:r>
      <w:r w:rsidRPr="009A623F">
        <w:rPr>
          <w:strike/>
        </w:rPr>
        <w:t xml:space="preserve"> </w:t>
      </w:r>
      <w:r w:rsidRPr="009A623F">
        <w:t>Navedenim</w:t>
      </w:r>
      <w:r>
        <w:t xml:space="preserve"> se </w:t>
      </w:r>
      <w:r w:rsidRPr="009A623F">
        <w:t>žel</w:t>
      </w:r>
      <w:r>
        <w:t xml:space="preserve">i </w:t>
      </w:r>
      <w:r w:rsidRPr="009A623F">
        <w:t>osigurati unaprjeđenje i poboljšanje u rješavanju svih pitanja vezanih za sveobuhvatnu skrb za hrvatske branitelje</w:t>
      </w:r>
      <w:r>
        <w:t xml:space="preserve"> iz Domovinskog rata i članove njihovih obitelji koji imaju prebivalište na području Grada Zagreba.  </w:t>
      </w:r>
    </w:p>
    <w:p w14:paraId="425BB448" w14:textId="77777777" w:rsidR="004976E4" w:rsidRDefault="004976E4" w:rsidP="004976E4">
      <w:pPr>
        <w:autoSpaceDE w:val="0"/>
        <w:autoSpaceDN w:val="0"/>
        <w:spacing w:line="240" w:lineRule="auto"/>
        <w:jc w:val="both"/>
      </w:pPr>
      <w:r w:rsidRPr="00B4113F">
        <w:t>Ciljevi Gradskog ureda za branitelje su</w:t>
      </w:r>
      <w:r>
        <w:t>: dostupne socijalne usluge za hrvatske branitelje i članove njihovih obitelji na području Grada Zagreba, prevencija zdravlja hrvatskih branitelja i HRVI-a, smanjivanje nezaposlenosti u Gradu Zagrebu i jačanje lokalne strategije zapošljavanje te jačanje civilnog sektora i partnerskih odnosa na postizanju zajedničkih ciljeva.</w:t>
      </w:r>
    </w:p>
    <w:p w14:paraId="59F4CF61" w14:textId="77777777" w:rsidR="00442D87" w:rsidRPr="00442D87" w:rsidRDefault="004976E4" w:rsidP="00442D87">
      <w:pPr>
        <w:spacing w:line="240" w:lineRule="auto"/>
        <w:jc w:val="both"/>
      </w:pPr>
      <w:r>
        <w:t xml:space="preserve">U Gradu Zagrebu je zbog društvenog značaja i odgovornosti za obavljanje poslova što se odnose na ostvarivanje prava hrvatskih branitelja iz Domovinskog rata i članova njihovih obitelji, te kako bi se poboljšala skrb, odnosno ispunile obveze Grada Zagreba u okviru njegova samoupravnog djelokruga prema sudionicima i stradalnicima njihovih obitelji koje imaju prebivalište na području dugih država Domovinskog rata, u kolovozu 2013.g. ustrojen Gradski ured za branitelje koji skrbi za oko 68 000 hrvatskih branitelja, 7000 hrvatskih ratnih vojnih invalida i 1500 korisnika obiteljske invalidnine, pirotehničare i članove njihovih obitelji, civilne invalide i žrtve rata, borce II. svjetskog rata i civilne invalide i stradalnike rata. </w:t>
      </w:r>
      <w:r w:rsidR="00442D87" w:rsidRPr="00442D87">
        <w:t>Od siječnja 2022. godine Gradski ured za branitelje pripojen je Gradskom uredu za socijalnu zaštitu, zdravstvo, branitelje i osobe s invaliditetom.</w:t>
      </w:r>
    </w:p>
    <w:p w14:paraId="531FF530" w14:textId="1FC4981A" w:rsidR="004976E4" w:rsidRDefault="004976E4" w:rsidP="004976E4">
      <w:pPr>
        <w:spacing w:line="240" w:lineRule="auto"/>
        <w:jc w:val="both"/>
      </w:pPr>
    </w:p>
    <w:tbl>
      <w:tblPr>
        <w:tblW w:w="0" w:type="auto"/>
        <w:tblLook w:val="01E0" w:firstRow="1" w:lastRow="1" w:firstColumn="1" w:lastColumn="1" w:noHBand="0" w:noVBand="0"/>
      </w:tblPr>
      <w:tblGrid>
        <w:gridCol w:w="4433"/>
        <w:gridCol w:w="4423"/>
      </w:tblGrid>
      <w:tr w:rsidR="004976E4" w14:paraId="388BA578" w14:textId="77777777" w:rsidTr="00F50578">
        <w:trPr>
          <w:trHeight w:val="999"/>
        </w:trPr>
        <w:tc>
          <w:tcPr>
            <w:tcW w:w="4433" w:type="dxa"/>
            <w:shd w:val="clear" w:color="auto" w:fill="CCCCCC"/>
          </w:tcPr>
          <w:p w14:paraId="0C0E13C6" w14:textId="77777777" w:rsidR="004976E4" w:rsidRDefault="004976E4" w:rsidP="00F50578">
            <w:pPr>
              <w:spacing w:before="60" w:after="60" w:line="240" w:lineRule="auto"/>
              <w:ind w:left="284" w:right="-2"/>
              <w:rPr>
                <w:rFonts w:cs="Calibri"/>
                <w:b/>
                <w:sz w:val="18"/>
                <w:szCs w:val="18"/>
              </w:rPr>
            </w:pPr>
            <w:r>
              <w:rPr>
                <w:rFonts w:cs="Calibri"/>
                <w:b/>
                <w:sz w:val="18"/>
                <w:szCs w:val="18"/>
              </w:rPr>
              <w:t>RAZVOJNI PROBLEMI</w:t>
            </w:r>
          </w:p>
          <w:p w14:paraId="13194489" w14:textId="77777777" w:rsidR="004976E4" w:rsidRDefault="004976E4" w:rsidP="00F50578">
            <w:pPr>
              <w:spacing w:before="60" w:after="60" w:line="240" w:lineRule="auto"/>
              <w:ind w:left="284" w:right="-2"/>
              <w:rPr>
                <w:rFonts w:cs="Calibri"/>
                <w:b/>
                <w:sz w:val="18"/>
                <w:szCs w:val="18"/>
              </w:rPr>
            </w:pPr>
          </w:p>
          <w:p w14:paraId="4B66F8B0" w14:textId="2CE9DB65" w:rsidR="004976E4" w:rsidRPr="0037757C" w:rsidRDefault="002A3ABD" w:rsidP="00165C16">
            <w:pPr>
              <w:pStyle w:val="Odlomakpopisa"/>
              <w:numPr>
                <w:ilvl w:val="0"/>
                <w:numId w:val="20"/>
              </w:numPr>
              <w:spacing w:after="60" w:line="240" w:lineRule="auto"/>
              <w:ind w:right="-2"/>
              <w:rPr>
                <w:rFonts w:cs="Calibri"/>
                <w:sz w:val="18"/>
                <w:szCs w:val="18"/>
              </w:rPr>
            </w:pPr>
            <w:r>
              <w:rPr>
                <w:rFonts w:cs="Calibri"/>
                <w:sz w:val="18"/>
                <w:szCs w:val="18"/>
              </w:rPr>
              <w:t>n</w:t>
            </w:r>
            <w:r w:rsidR="004976E4" w:rsidRPr="0037757C">
              <w:rPr>
                <w:rFonts w:cs="Calibri"/>
                <w:sz w:val="18"/>
                <w:szCs w:val="18"/>
              </w:rPr>
              <w:t>edovoljna zaposlenost hrvatskih branitelja</w:t>
            </w:r>
          </w:p>
          <w:p w14:paraId="485F4543" w14:textId="67CC76EF" w:rsidR="004976E4" w:rsidRPr="0037757C" w:rsidRDefault="002A3ABD" w:rsidP="00165C16">
            <w:pPr>
              <w:pStyle w:val="Odlomakpopisa"/>
              <w:numPr>
                <w:ilvl w:val="0"/>
                <w:numId w:val="20"/>
              </w:numPr>
              <w:spacing w:after="60" w:line="240" w:lineRule="auto"/>
              <w:ind w:right="-2"/>
              <w:rPr>
                <w:rFonts w:cs="Calibri"/>
                <w:sz w:val="18"/>
                <w:szCs w:val="18"/>
              </w:rPr>
            </w:pPr>
            <w:r>
              <w:rPr>
                <w:rFonts w:cs="Calibri"/>
                <w:sz w:val="18"/>
                <w:szCs w:val="18"/>
              </w:rPr>
              <w:t>n</w:t>
            </w:r>
            <w:r w:rsidR="004976E4" w:rsidRPr="0037757C">
              <w:rPr>
                <w:rFonts w:cs="Calibri"/>
                <w:sz w:val="18"/>
                <w:szCs w:val="18"/>
              </w:rPr>
              <w:t>epostojanje smještajnih kapaciteta za starije i bolesne veterane Grada Zagreba</w:t>
            </w:r>
          </w:p>
          <w:p w14:paraId="09F10691" w14:textId="352EEB78" w:rsidR="004976E4" w:rsidRPr="0037757C" w:rsidRDefault="002A3ABD" w:rsidP="00165C16">
            <w:pPr>
              <w:pStyle w:val="Odlomakpopisa"/>
              <w:numPr>
                <w:ilvl w:val="0"/>
                <w:numId w:val="20"/>
              </w:numPr>
              <w:spacing w:after="60" w:line="240" w:lineRule="auto"/>
              <w:ind w:right="-2"/>
              <w:rPr>
                <w:rFonts w:cs="Calibri"/>
                <w:sz w:val="18"/>
                <w:szCs w:val="18"/>
              </w:rPr>
            </w:pPr>
            <w:r>
              <w:rPr>
                <w:rFonts w:cs="Calibri"/>
                <w:sz w:val="18"/>
                <w:szCs w:val="18"/>
              </w:rPr>
              <w:t>n</w:t>
            </w:r>
            <w:r w:rsidR="004976E4" w:rsidRPr="0037757C">
              <w:rPr>
                <w:rFonts w:cs="Calibri"/>
                <w:sz w:val="18"/>
                <w:szCs w:val="18"/>
              </w:rPr>
              <w:t>edovoljan broj posebnih programa za zadovoljavanje specifičnih potreba hrvatskih branitelja i ratnih vojnih invalida</w:t>
            </w:r>
          </w:p>
          <w:p w14:paraId="7E959960" w14:textId="42168593" w:rsidR="004976E4" w:rsidRPr="0037757C" w:rsidRDefault="002A3ABD" w:rsidP="00165C16">
            <w:pPr>
              <w:pStyle w:val="Odlomakpopisa"/>
              <w:numPr>
                <w:ilvl w:val="0"/>
                <w:numId w:val="20"/>
              </w:numPr>
              <w:spacing w:after="60" w:line="240" w:lineRule="auto"/>
              <w:ind w:right="-2"/>
              <w:rPr>
                <w:rFonts w:cs="Calibri"/>
                <w:sz w:val="18"/>
                <w:szCs w:val="18"/>
              </w:rPr>
            </w:pPr>
            <w:r>
              <w:rPr>
                <w:rFonts w:cs="Calibri"/>
                <w:sz w:val="18"/>
                <w:szCs w:val="18"/>
              </w:rPr>
              <w:t>v</w:t>
            </w:r>
            <w:r w:rsidR="004976E4" w:rsidRPr="0037757C">
              <w:rPr>
                <w:rFonts w:cs="Calibri"/>
                <w:sz w:val="18"/>
                <w:szCs w:val="18"/>
              </w:rPr>
              <w:t xml:space="preserve">eliki pobol i smrtnost braniteljske populacije </w:t>
            </w:r>
          </w:p>
          <w:p w14:paraId="4C29FAA0" w14:textId="6491147A"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n</w:t>
            </w:r>
            <w:r w:rsidR="004976E4" w:rsidRPr="0037757C">
              <w:rPr>
                <w:rFonts w:cs="Calibri"/>
                <w:sz w:val="18"/>
                <w:szCs w:val="18"/>
              </w:rPr>
              <w:t>eadekvatno riješeno i/ili neriješeno stambeno pitanje HRVI-a, hrvatskih branitelja i članova njihovih obitelji</w:t>
            </w:r>
          </w:p>
        </w:tc>
        <w:tc>
          <w:tcPr>
            <w:tcW w:w="4423" w:type="dxa"/>
            <w:shd w:val="clear" w:color="auto" w:fill="99CCFF"/>
            <w:hideMark/>
          </w:tcPr>
          <w:p w14:paraId="0180A49F" w14:textId="77777777" w:rsidR="004976E4" w:rsidRDefault="004976E4" w:rsidP="00F50578">
            <w:pPr>
              <w:spacing w:before="60" w:line="360" w:lineRule="auto"/>
              <w:rPr>
                <w:rFonts w:cs="Calibri"/>
                <w:b/>
                <w:sz w:val="18"/>
                <w:szCs w:val="18"/>
              </w:rPr>
            </w:pPr>
            <w:r>
              <w:rPr>
                <w:rFonts w:cs="Calibri"/>
                <w:b/>
                <w:sz w:val="18"/>
                <w:szCs w:val="18"/>
              </w:rPr>
              <w:t>RAZVOJNE POTREBE</w:t>
            </w:r>
          </w:p>
          <w:p w14:paraId="3F3808BB" w14:textId="13AD7277"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p</w:t>
            </w:r>
            <w:r w:rsidR="004976E4" w:rsidRPr="0037757C">
              <w:rPr>
                <w:rFonts w:cs="Calibri"/>
                <w:sz w:val="18"/>
                <w:szCs w:val="18"/>
              </w:rPr>
              <w:t>rovoditi javne radne aktivnosti i poticati zapošljavanje branitelja</w:t>
            </w:r>
          </w:p>
          <w:p w14:paraId="63B3C4C6" w14:textId="0B7D1ECB"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u</w:t>
            </w:r>
            <w:r w:rsidR="004976E4" w:rsidRPr="0037757C">
              <w:rPr>
                <w:rFonts w:cs="Calibri"/>
                <w:sz w:val="18"/>
                <w:szCs w:val="18"/>
              </w:rPr>
              <w:t>ključiti što veći broj obrazovnih ustanova u doškolovanje, prekvalifikaciju u stručno usavršavanje branitelja</w:t>
            </w:r>
          </w:p>
          <w:p w14:paraId="0290D93E" w14:textId="257A4985"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p</w:t>
            </w:r>
            <w:r w:rsidR="004976E4" w:rsidRPr="0037757C">
              <w:rPr>
                <w:rFonts w:cs="Calibri"/>
                <w:sz w:val="18"/>
                <w:szCs w:val="18"/>
              </w:rPr>
              <w:t xml:space="preserve">oticati samozapošljavanje i osigurati pomoć poduzetnicima – početnicima iz braniteljske populacije </w:t>
            </w:r>
          </w:p>
          <w:p w14:paraId="09EAD5ED" w14:textId="7ED8F19B"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p</w:t>
            </w:r>
            <w:r w:rsidR="004976E4" w:rsidRPr="0037757C">
              <w:rPr>
                <w:rFonts w:cs="Calibri"/>
                <w:sz w:val="18"/>
                <w:szCs w:val="18"/>
              </w:rPr>
              <w:t>oticati društveno poduzetništvo kod braniteljske populacije</w:t>
            </w:r>
          </w:p>
          <w:p w14:paraId="111D93A2" w14:textId="68FCA033"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o</w:t>
            </w:r>
            <w:r w:rsidR="004976E4" w:rsidRPr="0037757C">
              <w:rPr>
                <w:rFonts w:cs="Calibri"/>
                <w:sz w:val="18"/>
                <w:szCs w:val="18"/>
              </w:rPr>
              <w:t>snivanje ustanova i zaklada za skrb o hrvatskim braniteljima i članovima njihovih obitelji</w:t>
            </w:r>
          </w:p>
          <w:p w14:paraId="36B5709B" w14:textId="7952242C"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jačati</w:t>
            </w:r>
            <w:r w:rsidR="004976E4" w:rsidRPr="0037757C">
              <w:rPr>
                <w:rFonts w:cs="Calibri"/>
                <w:sz w:val="18"/>
                <w:szCs w:val="18"/>
              </w:rPr>
              <w:t xml:space="preserve"> suradn</w:t>
            </w:r>
            <w:r>
              <w:rPr>
                <w:rFonts w:cs="Calibri"/>
                <w:sz w:val="18"/>
                <w:szCs w:val="18"/>
              </w:rPr>
              <w:t>u</w:t>
            </w:r>
            <w:r w:rsidR="004976E4" w:rsidRPr="0037757C">
              <w:rPr>
                <w:rFonts w:cs="Calibri"/>
                <w:sz w:val="18"/>
                <w:szCs w:val="18"/>
              </w:rPr>
              <w:t xml:space="preserve"> s civilnim društvom posebice s udrugama proizašlim iz Domovinskog rata i njihovih obitelji, boraca II. svjetskog rata i civilnih invalida rata</w:t>
            </w:r>
          </w:p>
          <w:p w14:paraId="69ADAED4" w14:textId="33E8D307"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unaprijediti i održavati</w:t>
            </w:r>
            <w:r w:rsidR="004976E4" w:rsidRPr="0037757C">
              <w:rPr>
                <w:rFonts w:cs="Calibri"/>
                <w:sz w:val="18"/>
                <w:szCs w:val="18"/>
              </w:rPr>
              <w:t xml:space="preserve"> te primjereno o</w:t>
            </w:r>
            <w:r>
              <w:rPr>
                <w:rFonts w:cs="Calibri"/>
                <w:sz w:val="18"/>
                <w:szCs w:val="18"/>
              </w:rPr>
              <w:t>bilježavati</w:t>
            </w:r>
            <w:r w:rsidR="004976E4" w:rsidRPr="0037757C">
              <w:rPr>
                <w:rFonts w:cs="Calibri"/>
                <w:sz w:val="18"/>
                <w:szCs w:val="18"/>
              </w:rPr>
              <w:t xml:space="preserve"> vojn</w:t>
            </w:r>
            <w:r>
              <w:rPr>
                <w:rFonts w:cs="Calibri"/>
                <w:sz w:val="18"/>
                <w:szCs w:val="18"/>
              </w:rPr>
              <w:t>e</w:t>
            </w:r>
            <w:r w:rsidR="004976E4" w:rsidRPr="0037757C">
              <w:rPr>
                <w:rFonts w:cs="Calibri"/>
                <w:sz w:val="18"/>
                <w:szCs w:val="18"/>
              </w:rPr>
              <w:t xml:space="preserve"> dijelov</w:t>
            </w:r>
            <w:r>
              <w:rPr>
                <w:rFonts w:cs="Calibri"/>
                <w:sz w:val="18"/>
                <w:szCs w:val="18"/>
              </w:rPr>
              <w:t>e</w:t>
            </w:r>
            <w:r w:rsidR="004976E4" w:rsidRPr="0037757C">
              <w:rPr>
                <w:rFonts w:cs="Calibri"/>
                <w:sz w:val="18"/>
                <w:szCs w:val="18"/>
              </w:rPr>
              <w:t xml:space="preserve"> gradskih groblja sudionika I. i II. svjetskog rata </w:t>
            </w:r>
          </w:p>
          <w:p w14:paraId="4718EC4F" w14:textId="0E8DE08F"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r</w:t>
            </w:r>
            <w:r w:rsidR="004976E4" w:rsidRPr="0037757C">
              <w:rPr>
                <w:rFonts w:cs="Calibri"/>
                <w:sz w:val="18"/>
                <w:szCs w:val="18"/>
              </w:rPr>
              <w:t>azvijati savjetovanje braniteljske populacije kroz posebne i prilagođene programe</w:t>
            </w:r>
          </w:p>
          <w:p w14:paraId="222E5EC1" w14:textId="51F1D27F"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i</w:t>
            </w:r>
            <w:r w:rsidR="004976E4" w:rsidRPr="0037757C">
              <w:rPr>
                <w:rFonts w:cs="Calibri"/>
                <w:sz w:val="18"/>
                <w:szCs w:val="18"/>
              </w:rPr>
              <w:t>nicirati osnivanje Vojnog Muzeja Domovinskog rata</w:t>
            </w:r>
          </w:p>
          <w:p w14:paraId="67F5D399" w14:textId="70A8147C"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u</w:t>
            </w:r>
            <w:r w:rsidR="004976E4" w:rsidRPr="0037757C">
              <w:rPr>
                <w:rFonts w:cs="Calibri"/>
                <w:sz w:val="18"/>
                <w:szCs w:val="18"/>
              </w:rPr>
              <w:t>re</w:t>
            </w:r>
            <w:r>
              <w:rPr>
                <w:rFonts w:cs="Calibri"/>
                <w:sz w:val="18"/>
                <w:szCs w:val="18"/>
              </w:rPr>
              <w:t>diti</w:t>
            </w:r>
            <w:r w:rsidR="004976E4" w:rsidRPr="0037757C">
              <w:rPr>
                <w:rFonts w:cs="Calibri"/>
                <w:sz w:val="18"/>
                <w:szCs w:val="18"/>
              </w:rPr>
              <w:t xml:space="preserve"> i održa</w:t>
            </w:r>
            <w:r>
              <w:rPr>
                <w:rFonts w:cs="Calibri"/>
                <w:sz w:val="18"/>
                <w:szCs w:val="18"/>
              </w:rPr>
              <w:t xml:space="preserve">vati </w:t>
            </w:r>
            <w:r w:rsidR="004976E4" w:rsidRPr="0037757C">
              <w:rPr>
                <w:rFonts w:cs="Calibri"/>
                <w:sz w:val="18"/>
                <w:szCs w:val="18"/>
              </w:rPr>
              <w:t>centara za rekreaciju i provođenje slobodnog vremena za branitelje</w:t>
            </w:r>
          </w:p>
          <w:p w14:paraId="5CC38B58" w14:textId="0AB758FD" w:rsidR="004976E4" w:rsidRPr="0037757C" w:rsidRDefault="002A3ABD" w:rsidP="00165C16">
            <w:pPr>
              <w:pStyle w:val="Odlomakpopisa"/>
              <w:numPr>
                <w:ilvl w:val="0"/>
                <w:numId w:val="20"/>
              </w:numPr>
              <w:spacing w:before="60" w:after="60" w:line="240" w:lineRule="auto"/>
              <w:ind w:right="-2"/>
              <w:rPr>
                <w:rFonts w:cs="Calibri"/>
                <w:sz w:val="18"/>
                <w:szCs w:val="18"/>
              </w:rPr>
            </w:pPr>
            <w:r>
              <w:rPr>
                <w:rFonts w:cs="Calibri"/>
                <w:sz w:val="18"/>
                <w:szCs w:val="18"/>
              </w:rPr>
              <w:t>o</w:t>
            </w:r>
            <w:r w:rsidR="004976E4" w:rsidRPr="0037757C">
              <w:rPr>
                <w:rFonts w:cs="Calibri"/>
                <w:sz w:val="18"/>
                <w:szCs w:val="18"/>
              </w:rPr>
              <w:t xml:space="preserve">sigurati prioritetan prijem hrvatskih branitelja na specijalističke preglede i bolničko liječenje </w:t>
            </w:r>
            <w:r w:rsidR="00D66A6E">
              <w:rPr>
                <w:rFonts w:cs="Calibri"/>
                <w:sz w:val="18"/>
                <w:szCs w:val="18"/>
              </w:rPr>
              <w:t>i</w:t>
            </w:r>
            <w:r>
              <w:rPr>
                <w:rFonts w:cs="Calibri"/>
                <w:sz w:val="18"/>
                <w:szCs w:val="18"/>
              </w:rPr>
              <w:t xml:space="preserve"> </w:t>
            </w:r>
            <w:r w:rsidR="004976E4" w:rsidRPr="0037757C">
              <w:rPr>
                <w:rFonts w:cs="Calibri"/>
                <w:sz w:val="18"/>
                <w:szCs w:val="18"/>
              </w:rPr>
              <w:t>razv</w:t>
            </w:r>
            <w:r w:rsidR="00FA34B0">
              <w:rPr>
                <w:rFonts w:cs="Calibri"/>
                <w:sz w:val="18"/>
                <w:szCs w:val="18"/>
              </w:rPr>
              <w:t>ijati</w:t>
            </w:r>
            <w:r w:rsidR="004976E4" w:rsidRPr="0037757C">
              <w:rPr>
                <w:rFonts w:cs="Calibri"/>
                <w:sz w:val="18"/>
                <w:szCs w:val="18"/>
              </w:rPr>
              <w:t xml:space="preserve"> preventivn</w:t>
            </w:r>
            <w:r w:rsidR="00FA34B0">
              <w:rPr>
                <w:rFonts w:cs="Calibri"/>
                <w:sz w:val="18"/>
                <w:szCs w:val="18"/>
              </w:rPr>
              <w:t>e</w:t>
            </w:r>
            <w:r w:rsidR="004976E4" w:rsidRPr="0037757C">
              <w:rPr>
                <w:rFonts w:cs="Calibri"/>
                <w:sz w:val="18"/>
                <w:szCs w:val="18"/>
              </w:rPr>
              <w:t xml:space="preserve"> mjer</w:t>
            </w:r>
            <w:r w:rsidR="00FA34B0">
              <w:rPr>
                <w:rFonts w:cs="Calibri"/>
                <w:sz w:val="18"/>
                <w:szCs w:val="18"/>
              </w:rPr>
              <w:t>e</w:t>
            </w:r>
            <w:r w:rsidR="004976E4" w:rsidRPr="0037757C">
              <w:rPr>
                <w:rFonts w:cs="Calibri"/>
                <w:sz w:val="18"/>
                <w:szCs w:val="18"/>
              </w:rPr>
              <w:t xml:space="preserve"> za potrebe ove populacije</w:t>
            </w:r>
          </w:p>
          <w:p w14:paraId="54C584FC" w14:textId="6BDE7DF9" w:rsidR="004976E4" w:rsidRPr="0037757C" w:rsidRDefault="002A3ABD" w:rsidP="00165C16">
            <w:pPr>
              <w:pStyle w:val="Odlomakpopisa"/>
              <w:numPr>
                <w:ilvl w:val="0"/>
                <w:numId w:val="20"/>
              </w:numPr>
              <w:spacing w:before="60" w:after="60" w:line="240" w:lineRule="auto"/>
              <w:ind w:right="-2"/>
              <w:rPr>
                <w:rFonts w:cs="Calibri"/>
                <w:b/>
                <w:sz w:val="18"/>
                <w:szCs w:val="18"/>
              </w:rPr>
            </w:pPr>
            <w:r>
              <w:rPr>
                <w:rFonts w:cs="Calibri"/>
                <w:sz w:val="18"/>
                <w:szCs w:val="18"/>
              </w:rPr>
              <w:t>p</w:t>
            </w:r>
            <w:r w:rsidR="00FA34B0">
              <w:rPr>
                <w:rFonts w:cs="Calibri"/>
                <w:sz w:val="18"/>
                <w:szCs w:val="18"/>
              </w:rPr>
              <w:t>ružiti pomoć</w:t>
            </w:r>
            <w:r w:rsidR="004976E4" w:rsidRPr="0037757C">
              <w:rPr>
                <w:rFonts w:cs="Calibri"/>
                <w:sz w:val="18"/>
                <w:szCs w:val="18"/>
              </w:rPr>
              <w:t xml:space="preserve"> pri rješavanju stambene problematike HRVI-a, hrvatskih branitelja i članova njihovih obitelji povećanjem broja stambenih jedinica i gradskih građevinskih zemljišta</w:t>
            </w:r>
          </w:p>
        </w:tc>
      </w:tr>
    </w:tbl>
    <w:p w14:paraId="7D3D66E2" w14:textId="77777777" w:rsidR="004A307A" w:rsidRDefault="004A307A" w:rsidP="005A25A2">
      <w:pPr>
        <w:pStyle w:val="Stil2"/>
        <w:rPr>
          <w:rFonts w:cs="Calibri"/>
          <w:caps/>
          <w:sz w:val="40"/>
          <w:szCs w:val="40"/>
        </w:rPr>
      </w:pPr>
      <w:bookmarkStart w:id="51" w:name="_Toc97123802"/>
    </w:p>
    <w:p w14:paraId="3051C3A5" w14:textId="77777777" w:rsidR="004A307A" w:rsidRDefault="004A307A">
      <w:pPr>
        <w:rPr>
          <w:rFonts w:ascii="Calibri" w:eastAsia="Calibri" w:hAnsi="Calibri" w:cs="Calibri"/>
          <w:b/>
          <w:bCs/>
          <w:caps/>
          <w:color w:val="0070C0"/>
          <w:kern w:val="32"/>
          <w:sz w:val="40"/>
          <w:szCs w:val="40"/>
          <w:lang w:eastAsia="hr-HR"/>
        </w:rPr>
      </w:pPr>
      <w:r>
        <w:rPr>
          <w:rFonts w:cs="Calibri"/>
          <w:caps/>
          <w:sz w:val="40"/>
          <w:szCs w:val="40"/>
        </w:rPr>
        <w:br w:type="page"/>
      </w:r>
    </w:p>
    <w:p w14:paraId="44C36FC9" w14:textId="51DC1CDB" w:rsidR="00E87AC6" w:rsidRPr="00E81D2E" w:rsidRDefault="00E87AC6" w:rsidP="005A25A2">
      <w:pPr>
        <w:pStyle w:val="Stil2"/>
        <w:rPr>
          <w:rFonts w:cs="Calibri"/>
          <w:b w:val="0"/>
          <w:caps/>
          <w:sz w:val="40"/>
          <w:szCs w:val="40"/>
        </w:rPr>
      </w:pPr>
      <w:r w:rsidRPr="00E81D2E">
        <w:rPr>
          <w:rFonts w:cs="Calibri"/>
          <w:caps/>
          <w:sz w:val="40"/>
          <w:szCs w:val="40"/>
        </w:rPr>
        <w:t>3. GOSPODARSTVO</w:t>
      </w:r>
      <w:bookmarkEnd w:id="51"/>
    </w:p>
    <w:p w14:paraId="18A447AA" w14:textId="64F56E24" w:rsidR="00E87AC6" w:rsidRPr="00E81D2E" w:rsidRDefault="00E87AC6" w:rsidP="005A25A2">
      <w:pPr>
        <w:pStyle w:val="Stil2"/>
      </w:pPr>
      <w:bookmarkStart w:id="52" w:name="_Toc97123803"/>
      <w:r w:rsidRPr="00E81D2E">
        <w:t>3.1. GOSPODARSKA KRETANJA</w:t>
      </w:r>
      <w:bookmarkEnd w:id="52"/>
    </w:p>
    <w:p w14:paraId="715E0FD5" w14:textId="0A659FC2" w:rsidR="00E87AC6" w:rsidRPr="00E81D2E" w:rsidRDefault="00E87AC6" w:rsidP="005A25A2">
      <w:pPr>
        <w:pStyle w:val="Stil2"/>
      </w:pPr>
      <w:bookmarkStart w:id="53" w:name="_Toc97123804"/>
      <w:r w:rsidRPr="00E81D2E">
        <w:t>3.1.1.  Opća gospodarska kretanja u hrvatskom i europskom  gospodarstvu</w:t>
      </w:r>
      <w:bookmarkEnd w:id="53"/>
    </w:p>
    <w:p w14:paraId="40925EBB" w14:textId="77777777" w:rsidR="00E87AC6" w:rsidRPr="00E81D2E" w:rsidRDefault="00E87AC6" w:rsidP="00E87AC6">
      <w:pPr>
        <w:spacing w:after="0" w:line="240" w:lineRule="auto"/>
        <w:jc w:val="both"/>
        <w:rPr>
          <w:rFonts w:ascii="Calibri" w:eastAsia="Calibri" w:hAnsi="Calibri" w:cs="Calibri"/>
          <w:b/>
        </w:rPr>
      </w:pPr>
    </w:p>
    <w:p w14:paraId="4A490B9E" w14:textId="7135EE5E" w:rsidR="00E87AC6" w:rsidRDefault="00E87AC6" w:rsidP="00E87AC6">
      <w:pPr>
        <w:spacing w:after="0" w:line="240" w:lineRule="auto"/>
        <w:jc w:val="both"/>
        <w:rPr>
          <w:rFonts w:ascii="Calibri" w:eastAsia="Calibri" w:hAnsi="Calibri" w:cs="Times New Roman"/>
        </w:rPr>
      </w:pPr>
      <w:r>
        <w:rPr>
          <w:rFonts w:ascii="Calibri" w:eastAsia="Calibri" w:hAnsi="Calibri" w:cs="Times New Roman"/>
        </w:rPr>
        <w:t>T</w:t>
      </w:r>
      <w:r w:rsidRPr="00E81D2E">
        <w:rPr>
          <w:rFonts w:ascii="Calibri" w:eastAsia="Calibri" w:hAnsi="Calibri" w:cs="Times New Roman"/>
        </w:rPr>
        <w:t>rend stabilnog i umjerenog rasta hrvatskog gospodarstva koji je započeo u 2015., nakon šest godina recesije koja je obuhvatila period od 2009. do 2014.godine</w:t>
      </w:r>
      <w:r>
        <w:rPr>
          <w:rFonts w:ascii="Calibri" w:eastAsia="Calibri" w:hAnsi="Calibri" w:cs="Times New Roman"/>
        </w:rPr>
        <w:t>,</w:t>
      </w:r>
      <w:r w:rsidRPr="00F93BED">
        <w:rPr>
          <w:rFonts w:ascii="Calibri" w:eastAsia="Calibri" w:hAnsi="Calibri" w:cs="Times New Roman"/>
        </w:rPr>
        <w:t xml:space="preserve"> </w:t>
      </w:r>
      <w:r w:rsidRPr="00E81D2E">
        <w:rPr>
          <w:rFonts w:ascii="Calibri" w:eastAsia="Calibri" w:hAnsi="Calibri" w:cs="Times New Roman"/>
        </w:rPr>
        <w:t>zaustavljen je</w:t>
      </w:r>
      <w:r w:rsidRPr="00F93BED">
        <w:rPr>
          <w:rFonts w:ascii="Calibri" w:eastAsia="Calibri" w:hAnsi="Calibri" w:cs="Times New Roman"/>
        </w:rPr>
        <w:t xml:space="preserve"> </w:t>
      </w:r>
      <w:r>
        <w:rPr>
          <w:rFonts w:ascii="Calibri" w:eastAsia="Calibri" w:hAnsi="Calibri" w:cs="Times New Roman"/>
        </w:rPr>
        <w:t xml:space="preserve">u </w:t>
      </w:r>
      <w:r w:rsidRPr="00E81D2E">
        <w:rPr>
          <w:rFonts w:ascii="Calibri" w:eastAsia="Calibri" w:hAnsi="Calibri" w:cs="Times New Roman"/>
        </w:rPr>
        <w:t>2020.</w:t>
      </w:r>
      <w:r>
        <w:rPr>
          <w:rFonts w:ascii="Calibri" w:eastAsia="Calibri" w:hAnsi="Calibri" w:cs="Times New Roman"/>
        </w:rPr>
        <w:t xml:space="preserve"> godini. </w:t>
      </w:r>
      <w:r w:rsidRPr="00E81D2E">
        <w:rPr>
          <w:rFonts w:ascii="Calibri" w:eastAsia="Calibri" w:hAnsi="Calibri" w:cs="Times New Roman"/>
        </w:rPr>
        <w:t>Naime, prosječna stopa rasta realnog BDP-a u razdoblju 2015.-2019. iznosila je 2,9%, ponajprije potaknuta</w:t>
      </w:r>
      <w:r>
        <w:rPr>
          <w:rFonts w:ascii="Calibri" w:eastAsia="Calibri" w:hAnsi="Calibri" w:cs="Times New Roman"/>
        </w:rPr>
        <w:t xml:space="preserve"> </w:t>
      </w:r>
      <w:r w:rsidRPr="00E81D2E">
        <w:rPr>
          <w:rFonts w:ascii="Calibri" w:eastAsia="Calibri" w:hAnsi="Calibri" w:cs="Times New Roman"/>
        </w:rPr>
        <w:t xml:space="preserve"> </w:t>
      </w:r>
      <w:r w:rsidRPr="00F3643C">
        <w:rPr>
          <w:rFonts w:ascii="Calibri" w:eastAsia="Calibri" w:hAnsi="Calibri" w:cs="Times New Roman"/>
        </w:rPr>
        <w:t>nastavku oporavka domaće potražnje, posebno osobne potrošnje i investicija, čemu su pridonijeli pozitivni trendovi u kretanju zaposlenosti i neto plaća, ali i oporavak kreditne aktivnosti te bolje korištenje sredstava europskih fondova</w:t>
      </w:r>
      <w:r>
        <w:rPr>
          <w:rFonts w:ascii="Calibri" w:eastAsia="Calibri" w:hAnsi="Calibri" w:cs="Times New Roman"/>
        </w:rPr>
        <w:t xml:space="preserve">, </w:t>
      </w:r>
      <w:r w:rsidRPr="00E81D2E">
        <w:rPr>
          <w:rFonts w:ascii="Calibri" w:eastAsia="Calibri" w:hAnsi="Calibri" w:cs="Times New Roman"/>
        </w:rPr>
        <w:t>tako da je u 2019. Hrvatska napokon ostvarila razinu realnog BDP-a iznad one u 2008. godini.</w:t>
      </w:r>
      <w:r>
        <w:rPr>
          <w:rFonts w:ascii="Calibri" w:eastAsia="Calibri" w:hAnsi="Calibri" w:cs="Times New Roman"/>
        </w:rPr>
        <w:t xml:space="preserve"> </w:t>
      </w:r>
      <w:r w:rsidRPr="00F3643C">
        <w:rPr>
          <w:rFonts w:ascii="Calibri" w:eastAsia="Calibri" w:hAnsi="Calibri" w:cs="Times New Roman"/>
        </w:rPr>
        <w:t>Pritom se, naravno, ne smije zaboraviti ni utjecaj još jedne rekordne turističke sezone, popraćene deviznim prihodom od turizma koji je prvi put premašio iznos od deset milijardi eura.</w:t>
      </w:r>
      <w:r w:rsidRPr="00E81D2E">
        <w:rPr>
          <w:rFonts w:ascii="Calibri" w:eastAsia="Calibri" w:hAnsi="Calibri" w:cs="Times New Roman"/>
        </w:rPr>
        <w:t xml:space="preserve"> </w:t>
      </w:r>
      <w:r>
        <w:rPr>
          <w:rFonts w:ascii="Calibri" w:eastAsia="Calibri" w:hAnsi="Calibri" w:cs="Times New Roman"/>
        </w:rPr>
        <w:t>N</w:t>
      </w:r>
      <w:r w:rsidRPr="00E81D2E">
        <w:rPr>
          <w:rFonts w:ascii="Calibri" w:eastAsia="Calibri" w:hAnsi="Calibri" w:cs="Times New Roman"/>
        </w:rPr>
        <w:t xml:space="preserve">astavak rasta gospodarske aktivnosti očekivao se </w:t>
      </w:r>
      <w:r>
        <w:rPr>
          <w:rFonts w:ascii="Calibri" w:eastAsia="Calibri" w:hAnsi="Calibri" w:cs="Times New Roman"/>
        </w:rPr>
        <w:t>i u</w:t>
      </w:r>
      <w:r w:rsidRPr="00E81D2E">
        <w:rPr>
          <w:rFonts w:ascii="Calibri" w:eastAsia="Calibri" w:hAnsi="Calibri" w:cs="Times New Roman"/>
        </w:rPr>
        <w:t xml:space="preserve"> 2020</w:t>
      </w:r>
      <w:r>
        <w:rPr>
          <w:rFonts w:ascii="Calibri" w:eastAsia="Calibri" w:hAnsi="Calibri" w:cs="Times New Roman"/>
        </w:rPr>
        <w:t xml:space="preserve">. godini, </w:t>
      </w:r>
      <w:r w:rsidRPr="00E81D2E">
        <w:rPr>
          <w:rFonts w:ascii="Calibri" w:eastAsia="Calibri" w:hAnsi="Calibri" w:cs="Times New Roman"/>
        </w:rPr>
        <w:t>no zbog okolnosti povezanih sa širenjem epidemije Covid-19 već je tijekom prvog tromjesečja postalo jasno da će hrvatsko gospodarstvo, kao uostalom i većina europskih gospodarstava, doživjeti pad.</w:t>
      </w:r>
      <w:r w:rsidR="00F85FE9" w:rsidRPr="00F85FE9">
        <w:rPr>
          <w:rFonts w:ascii="Calibri" w:eastAsia="Calibri" w:hAnsi="Calibri" w:cs="Times New Roman"/>
        </w:rPr>
        <w:t xml:space="preserve"> </w:t>
      </w:r>
      <w:r w:rsidR="00F85FE9" w:rsidRPr="00E81D2E">
        <w:rPr>
          <w:rFonts w:ascii="Calibri" w:eastAsia="Calibri" w:hAnsi="Calibri" w:cs="Times New Roman"/>
        </w:rPr>
        <w:t xml:space="preserve">. </w:t>
      </w:r>
      <w:r w:rsidRPr="00E81D2E">
        <w:rPr>
          <w:rFonts w:ascii="Calibri" w:eastAsia="Calibri" w:hAnsi="Calibri" w:cs="Times New Roman"/>
        </w:rPr>
        <w:t xml:space="preserve"> </w:t>
      </w:r>
    </w:p>
    <w:p w14:paraId="2498B6D8" w14:textId="2C176CDC" w:rsidR="002951D9" w:rsidRDefault="002951D9" w:rsidP="00E87AC6">
      <w:pPr>
        <w:spacing w:after="0" w:line="240" w:lineRule="auto"/>
        <w:jc w:val="both"/>
        <w:rPr>
          <w:rFonts w:ascii="Calibri" w:eastAsia="Calibri" w:hAnsi="Calibri" w:cs="Times New Roman"/>
        </w:rPr>
      </w:pPr>
    </w:p>
    <w:p w14:paraId="0D9C31D4" w14:textId="76D0763D" w:rsidR="002951D9" w:rsidRPr="00303744" w:rsidRDefault="002951D9" w:rsidP="002951D9">
      <w:pPr>
        <w:spacing w:after="0" w:line="240" w:lineRule="auto"/>
        <w:jc w:val="both"/>
      </w:pPr>
      <w:r w:rsidRPr="00E93A23">
        <w:t>Prema proljetnim korekcijama u 2020. godini evidentirane su prognoze rasta Europske</w:t>
      </w:r>
      <w:r w:rsidRPr="00303744">
        <w:t xml:space="preserve"> komisije za zemlje Srednje i Istočne Europe, najveći očekivani pad BDP-a tijekom 2020. zabilježen je u Hrvatskoj (-9,1 %). Na razini EU-a, veći pad od Hrvatske imala je jedino Grčka (-9,7 %), Italija (-9,5 %) i Španjolska (-9,4 %).</w:t>
      </w:r>
      <w:r w:rsidRPr="00303744">
        <w:rPr>
          <w:rStyle w:val="Referencafusnote"/>
        </w:rPr>
        <w:footnoteReference w:id="26"/>
      </w:r>
    </w:p>
    <w:p w14:paraId="19B7FBB5" w14:textId="77777777" w:rsidR="002951D9" w:rsidRDefault="002951D9" w:rsidP="00E87AC6">
      <w:pPr>
        <w:spacing w:after="0" w:line="240" w:lineRule="auto"/>
        <w:jc w:val="both"/>
        <w:rPr>
          <w:rFonts w:ascii="Calibri" w:eastAsia="Calibri" w:hAnsi="Calibri" w:cs="Times New Roman"/>
        </w:rPr>
      </w:pPr>
    </w:p>
    <w:p w14:paraId="618F785B" w14:textId="4A4CD429" w:rsidR="00E87AC6" w:rsidRPr="00E81D2E" w:rsidRDefault="00E2286C" w:rsidP="00E2286C">
      <w:pPr>
        <w:pStyle w:val="Opisslike"/>
        <w:rPr>
          <w:rFonts w:ascii="Calibri" w:eastAsia="Calibri" w:hAnsi="Calibri" w:cs="Times New Roman"/>
        </w:rPr>
      </w:pPr>
      <w:bookmarkStart w:id="54" w:name="_Hlk68598757"/>
      <w:r>
        <w:t xml:space="preserve">Graf </w:t>
      </w:r>
      <w:r w:rsidR="00751C19">
        <w:fldChar w:fldCharType="begin"/>
      </w:r>
      <w:r w:rsidR="00751C19">
        <w:instrText xml:space="preserve"> SEQ Graf \* ARABIC </w:instrText>
      </w:r>
      <w:r w:rsidR="00751C19">
        <w:fldChar w:fldCharType="separate"/>
      </w:r>
      <w:r w:rsidR="00DE17C9">
        <w:rPr>
          <w:noProof/>
        </w:rPr>
        <w:t>1</w:t>
      </w:r>
      <w:r w:rsidR="00751C19">
        <w:rPr>
          <w:noProof/>
        </w:rPr>
        <w:fldChar w:fldCharType="end"/>
      </w:r>
      <w:r>
        <w:t xml:space="preserve">. </w:t>
      </w:r>
      <w:r w:rsidRPr="00BD2D28">
        <w:t>Prosječna stopa rasta realnog BDP-a u prva tri tromjesečja 2020. i prognoze EK za cijelu 2020.</w:t>
      </w:r>
    </w:p>
    <w:p w14:paraId="58092DFF" w14:textId="77777777" w:rsidR="00E87AC6" w:rsidRPr="00E81D2E" w:rsidRDefault="00E87AC6" w:rsidP="00E87AC6">
      <w:pPr>
        <w:spacing w:after="0" w:line="240" w:lineRule="auto"/>
        <w:jc w:val="both"/>
        <w:rPr>
          <w:rFonts w:ascii="Calibri" w:eastAsia="Calibri" w:hAnsi="Calibri" w:cs="Times New Roman"/>
        </w:rPr>
      </w:pPr>
      <w:r w:rsidRPr="00E81D2E">
        <w:rPr>
          <w:rFonts w:ascii="Calibri" w:eastAsia="Calibri" w:hAnsi="Calibri" w:cs="Times New Roman"/>
          <w:noProof/>
        </w:rPr>
        <w:drawing>
          <wp:inline distT="0" distB="0" distL="0" distR="0" wp14:anchorId="57E12B1C" wp14:editId="743FABD5">
            <wp:extent cx="5754370" cy="310896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3108960"/>
                    </a:xfrm>
                    <a:prstGeom prst="rect">
                      <a:avLst/>
                    </a:prstGeom>
                    <a:noFill/>
                    <a:ln>
                      <a:noFill/>
                    </a:ln>
                  </pic:spPr>
                </pic:pic>
              </a:graphicData>
            </a:graphic>
          </wp:inline>
        </w:drawing>
      </w:r>
      <w:bookmarkEnd w:id="54"/>
    </w:p>
    <w:p w14:paraId="733681E6" w14:textId="77777777" w:rsidR="00E87AC6" w:rsidRPr="00E81D2E" w:rsidRDefault="00E87AC6" w:rsidP="00E87AC6">
      <w:pPr>
        <w:spacing w:after="0" w:line="240" w:lineRule="auto"/>
        <w:jc w:val="both"/>
        <w:rPr>
          <w:rFonts w:ascii="Calibri" w:eastAsia="Calibri" w:hAnsi="Calibri" w:cs="Times New Roman"/>
        </w:rPr>
      </w:pPr>
      <w:bookmarkStart w:id="55" w:name="_Hlk68598787"/>
      <w:r w:rsidRPr="00E81D2E">
        <w:rPr>
          <w:rFonts w:ascii="Calibri" w:eastAsia="Calibri" w:hAnsi="Calibri" w:cs="Times New Roman"/>
        </w:rPr>
        <w:t>Izvor: Eurostat i Europska komisija (EK); obrada: HUP</w:t>
      </w:r>
    </w:p>
    <w:bookmarkEnd w:id="55"/>
    <w:p w14:paraId="0D2254D6" w14:textId="77777777" w:rsidR="00E87AC6" w:rsidRPr="00E81D2E" w:rsidRDefault="00E87AC6" w:rsidP="00E87AC6">
      <w:pPr>
        <w:spacing w:after="0" w:line="240" w:lineRule="auto"/>
        <w:jc w:val="both"/>
        <w:rPr>
          <w:rFonts w:ascii="Calibri" w:eastAsia="Calibri" w:hAnsi="Calibri" w:cs="Times New Roman"/>
        </w:rPr>
      </w:pPr>
    </w:p>
    <w:p w14:paraId="436EB170" w14:textId="1214B983" w:rsidR="002951D9" w:rsidRPr="00984668" w:rsidRDefault="002951D9" w:rsidP="00E87AC6">
      <w:pPr>
        <w:spacing w:after="0" w:line="240" w:lineRule="auto"/>
        <w:jc w:val="both"/>
        <w:rPr>
          <w:rFonts w:cstheme="minorHAnsi"/>
        </w:rPr>
      </w:pPr>
      <w:bookmarkStart w:id="56" w:name="_Hlk68598963"/>
      <w:r w:rsidRPr="00E93A23">
        <w:rPr>
          <w:rFonts w:cstheme="minorHAnsi"/>
        </w:rPr>
        <w:t xml:space="preserve">Prema objavljenim podacima Eurostata za razdoblje od 2018. do 2020. </w:t>
      </w:r>
      <w:r w:rsidR="007A150C" w:rsidRPr="00E93A23">
        <w:rPr>
          <w:rFonts w:cstheme="minorHAnsi"/>
        </w:rPr>
        <w:t>rast BDP-a po</w:t>
      </w:r>
      <w:r w:rsidR="007A150C" w:rsidRPr="00984668">
        <w:rPr>
          <w:rFonts w:cstheme="minorHAnsi"/>
        </w:rPr>
        <w:t xml:space="preserve"> stanovniku u standardima njegove kupovne moći </w:t>
      </w:r>
      <w:r w:rsidRPr="00984668">
        <w:rPr>
          <w:rFonts w:cstheme="minorHAnsi"/>
        </w:rPr>
        <w:t>u svim zemljama Europske unije je krajem 2019. zaustavila pandemija Covid-19 te je u 2020. godini zabilježena stagnacija ili veliki pad svih gospodarskih aktivnosti u usporedbi s istim razdobljima prethodnih godina.</w:t>
      </w:r>
    </w:p>
    <w:p w14:paraId="40D2E519" w14:textId="77777777" w:rsidR="002951D9" w:rsidRPr="00984668" w:rsidRDefault="002951D9" w:rsidP="00E87AC6">
      <w:pPr>
        <w:spacing w:after="0" w:line="240" w:lineRule="auto"/>
        <w:jc w:val="both"/>
        <w:rPr>
          <w:rFonts w:eastAsia="Calibri" w:cstheme="minorHAnsi"/>
        </w:rPr>
      </w:pPr>
    </w:p>
    <w:p w14:paraId="791D4804" w14:textId="730FE26F" w:rsidR="00E87AC6" w:rsidRDefault="00E87AC6" w:rsidP="00E87AC6">
      <w:pPr>
        <w:spacing w:after="0" w:line="240" w:lineRule="auto"/>
        <w:jc w:val="both"/>
        <w:rPr>
          <w:rFonts w:ascii="Calibri" w:eastAsia="Calibri" w:hAnsi="Calibri" w:cs="Times New Roman"/>
        </w:rPr>
      </w:pPr>
      <w:r w:rsidRPr="004E232D">
        <w:rPr>
          <w:rFonts w:ascii="Calibri" w:eastAsia="Calibri" w:hAnsi="Calibri" w:cs="Times New Roman"/>
        </w:rPr>
        <w:t xml:space="preserve">Iako je u prvom tromjesečju 2020. Hrvatska zabilježila blagi rast </w:t>
      </w:r>
      <w:r>
        <w:rPr>
          <w:rFonts w:ascii="Calibri" w:eastAsia="Calibri" w:hAnsi="Calibri" w:cs="Times New Roman"/>
        </w:rPr>
        <w:t xml:space="preserve">od </w:t>
      </w:r>
      <w:r w:rsidRPr="004E232D">
        <w:rPr>
          <w:rFonts w:ascii="Calibri" w:eastAsia="Calibri" w:hAnsi="Calibri" w:cs="Times New Roman"/>
        </w:rPr>
        <w:t xml:space="preserve">0,3% gospodarske aktivnosti u usporedbi s istim razdobljem 2019., već u drugom tromjesečju, obilježenom mjerama suzbijanja </w:t>
      </w:r>
      <w:r>
        <w:rPr>
          <w:rFonts w:ascii="Calibri" w:eastAsia="Calibri" w:hAnsi="Calibri" w:cs="Times New Roman"/>
        </w:rPr>
        <w:t>epide</w:t>
      </w:r>
      <w:r w:rsidRPr="004E232D">
        <w:rPr>
          <w:rFonts w:ascii="Calibri" w:eastAsia="Calibri" w:hAnsi="Calibri" w:cs="Times New Roman"/>
        </w:rPr>
        <w:t>mije, zabilježen je rekordan pad BDP-a u iznosu od 15,</w:t>
      </w:r>
      <w:r>
        <w:rPr>
          <w:rFonts w:ascii="Calibri" w:eastAsia="Calibri" w:hAnsi="Calibri" w:cs="Times New Roman"/>
        </w:rPr>
        <w:t>4</w:t>
      </w:r>
      <w:r w:rsidRPr="004E232D">
        <w:rPr>
          <w:rFonts w:ascii="Calibri" w:eastAsia="Calibri" w:hAnsi="Calibri" w:cs="Times New Roman"/>
        </w:rPr>
        <w:t>%</w:t>
      </w:r>
      <w:r>
        <w:rPr>
          <w:rFonts w:ascii="Calibri" w:eastAsia="Calibri" w:hAnsi="Calibri" w:cs="Times New Roman"/>
        </w:rPr>
        <w:t xml:space="preserve">, u </w:t>
      </w:r>
      <w:r w:rsidRPr="004E232D">
        <w:rPr>
          <w:rFonts w:ascii="Calibri" w:eastAsia="Calibri" w:hAnsi="Calibri" w:cs="Times New Roman"/>
        </w:rPr>
        <w:t xml:space="preserve">  trećem kvartalu </w:t>
      </w:r>
      <w:r>
        <w:rPr>
          <w:rFonts w:ascii="Calibri" w:eastAsia="Calibri" w:hAnsi="Calibri" w:cs="Times New Roman"/>
        </w:rPr>
        <w:t xml:space="preserve">pad od </w:t>
      </w:r>
      <w:r w:rsidRPr="004E232D">
        <w:rPr>
          <w:rFonts w:ascii="Calibri" w:eastAsia="Calibri" w:hAnsi="Calibri" w:cs="Times New Roman"/>
        </w:rPr>
        <w:t xml:space="preserve">10 </w:t>
      </w:r>
      <w:r>
        <w:rPr>
          <w:rFonts w:ascii="Calibri" w:eastAsia="Calibri" w:hAnsi="Calibri" w:cs="Times New Roman"/>
        </w:rPr>
        <w:t>%, a u četvrtom 7%.</w:t>
      </w:r>
      <w:r w:rsidRPr="004E232D">
        <w:rPr>
          <w:rFonts w:ascii="Calibri" w:eastAsia="Calibri" w:hAnsi="Calibri" w:cs="Times New Roman"/>
        </w:rPr>
        <w:t xml:space="preserve"> </w:t>
      </w:r>
      <w:r>
        <w:rPr>
          <w:rFonts w:ascii="Calibri" w:eastAsia="Calibri" w:hAnsi="Calibri" w:cs="Times New Roman"/>
        </w:rPr>
        <w:t xml:space="preserve"> </w:t>
      </w:r>
      <w:r w:rsidRPr="004E232D">
        <w:rPr>
          <w:rFonts w:ascii="Calibri" w:eastAsia="Calibri" w:hAnsi="Calibri" w:cs="Times New Roman"/>
        </w:rPr>
        <w:t xml:space="preserve">Državni zavod za statistiku objavio je u </w:t>
      </w:r>
      <w:r>
        <w:rPr>
          <w:rFonts w:ascii="Calibri" w:eastAsia="Calibri" w:hAnsi="Calibri" w:cs="Times New Roman"/>
        </w:rPr>
        <w:t xml:space="preserve">veljači 2021. </w:t>
      </w:r>
      <w:r w:rsidRPr="004E232D">
        <w:rPr>
          <w:rFonts w:ascii="Calibri" w:eastAsia="Calibri" w:hAnsi="Calibri" w:cs="Times New Roman"/>
        </w:rPr>
        <w:t xml:space="preserve">prvu procjenu prema kojoj je </w:t>
      </w:r>
      <w:r>
        <w:rPr>
          <w:rFonts w:ascii="Calibri" w:eastAsia="Calibri" w:hAnsi="Calibri" w:cs="Times New Roman"/>
        </w:rPr>
        <w:t xml:space="preserve">hrvatski </w:t>
      </w:r>
      <w:r w:rsidRPr="004E232D">
        <w:rPr>
          <w:rFonts w:ascii="Calibri" w:eastAsia="Calibri" w:hAnsi="Calibri" w:cs="Times New Roman"/>
        </w:rPr>
        <w:t>BDP u prošloj godini pao 8,4</w:t>
      </w:r>
      <w:r>
        <w:rPr>
          <w:rFonts w:ascii="Calibri" w:eastAsia="Calibri" w:hAnsi="Calibri" w:cs="Times New Roman"/>
        </w:rPr>
        <w:t>%</w:t>
      </w:r>
      <w:r w:rsidRPr="004E232D">
        <w:rPr>
          <w:rFonts w:ascii="Calibri" w:eastAsia="Calibri" w:hAnsi="Calibri" w:cs="Times New Roman"/>
        </w:rPr>
        <w:t xml:space="preserve"> na godišnjoj razini.</w:t>
      </w:r>
      <w:r>
        <w:rPr>
          <w:rStyle w:val="Referencafusnote"/>
        </w:rPr>
        <w:footnoteReference w:id="27"/>
      </w:r>
      <w:r w:rsidRPr="004E232D">
        <w:rPr>
          <w:rFonts w:ascii="Calibri" w:eastAsia="Calibri" w:hAnsi="Calibri" w:cs="Times New Roman"/>
        </w:rPr>
        <w:t xml:space="preserve"> Takav je pad sličan prosječnim kretanjima na razini čitave EU,</w:t>
      </w:r>
      <w:r>
        <w:rPr>
          <w:rFonts w:ascii="Calibri" w:eastAsia="Calibri" w:hAnsi="Calibri" w:cs="Times New Roman"/>
        </w:rPr>
        <w:t xml:space="preserve"> </w:t>
      </w:r>
      <w:r w:rsidRPr="004E232D">
        <w:rPr>
          <w:rFonts w:ascii="Calibri" w:eastAsia="Calibri" w:hAnsi="Calibri" w:cs="Times New Roman"/>
        </w:rPr>
        <w:t>pri čemu su među pojedinim članicama zabilježene znatne razlike, ovisne o epidemiološkoj situaciji, provedenim epidemiološkim mjerama kao i gospodarskoj strukturi.</w:t>
      </w:r>
    </w:p>
    <w:p w14:paraId="7360BD15" w14:textId="77777777" w:rsidR="00E87AC6" w:rsidRDefault="00E87AC6" w:rsidP="00E87AC6">
      <w:pPr>
        <w:spacing w:after="0" w:line="240" w:lineRule="auto"/>
        <w:jc w:val="both"/>
        <w:rPr>
          <w:rFonts w:ascii="Calibri" w:eastAsia="Calibri" w:hAnsi="Calibri" w:cs="Times New Roman"/>
        </w:rPr>
      </w:pPr>
    </w:p>
    <w:p w14:paraId="6142C3BD" w14:textId="77777777" w:rsidR="00E87AC6" w:rsidRPr="00E81D2E" w:rsidRDefault="00E87AC6" w:rsidP="00E87AC6">
      <w:pPr>
        <w:spacing w:after="0" w:line="240" w:lineRule="auto"/>
        <w:jc w:val="both"/>
        <w:rPr>
          <w:rFonts w:ascii="Calibri" w:eastAsia="Calibri" w:hAnsi="Calibri" w:cs="Times New Roman"/>
        </w:rPr>
      </w:pPr>
      <w:r w:rsidRPr="00E81D2E">
        <w:rPr>
          <w:rFonts w:ascii="Calibri" w:eastAsia="Calibri" w:hAnsi="Calibri" w:cs="Times New Roman"/>
        </w:rPr>
        <w:t>S obzirom da kriza uzrokovana korona virusom ne pogađa sve sektore i djelatnosti jednako, očekivani pad hrvatskog gospodarstva u 2020. nešto</w:t>
      </w:r>
      <w:r>
        <w:rPr>
          <w:rFonts w:ascii="Calibri" w:eastAsia="Calibri" w:hAnsi="Calibri" w:cs="Times New Roman"/>
        </w:rPr>
        <w:t xml:space="preserve"> je</w:t>
      </w:r>
      <w:r w:rsidRPr="00E81D2E">
        <w:rPr>
          <w:rFonts w:ascii="Calibri" w:eastAsia="Calibri" w:hAnsi="Calibri" w:cs="Times New Roman"/>
        </w:rPr>
        <w:t xml:space="preserve"> veći nego što je to slučaj s većinom drugih članica EU</w:t>
      </w:r>
      <w:r>
        <w:rPr>
          <w:rFonts w:ascii="Calibri" w:eastAsia="Calibri" w:hAnsi="Calibri" w:cs="Times New Roman"/>
        </w:rPr>
        <w:t>,</w:t>
      </w:r>
      <w:r w:rsidRPr="00E81D2E">
        <w:rPr>
          <w:rFonts w:ascii="Calibri" w:eastAsia="Calibri" w:hAnsi="Calibri" w:cs="Times New Roman"/>
        </w:rPr>
        <w:t xml:space="preserve"> </w:t>
      </w:r>
      <w:r>
        <w:rPr>
          <w:rFonts w:ascii="Calibri" w:eastAsia="Calibri" w:hAnsi="Calibri" w:cs="Times New Roman"/>
        </w:rPr>
        <w:t xml:space="preserve">izuzevši mediteranske zemlje u kojima su, kao i u Hrvatskoj, turizam i uslužne djelatnosti od izuzetne važnosti </w:t>
      </w:r>
      <w:r w:rsidRPr="003A25BB">
        <w:rPr>
          <w:rFonts w:ascii="Calibri" w:eastAsia="Calibri" w:hAnsi="Calibri" w:cs="Times New Roman"/>
        </w:rPr>
        <w:t>za ukupnu gospodarsku aktivnost</w:t>
      </w:r>
      <w:r>
        <w:rPr>
          <w:rFonts w:ascii="Calibri" w:eastAsia="Calibri" w:hAnsi="Calibri" w:cs="Times New Roman"/>
        </w:rPr>
        <w:t xml:space="preserve">. Tu činjenicu potkrepljuje podatak da je </w:t>
      </w:r>
      <w:r w:rsidRPr="003A25BB">
        <w:rPr>
          <w:rFonts w:ascii="Calibri" w:eastAsia="Calibri" w:hAnsi="Calibri" w:cs="Times New Roman"/>
        </w:rPr>
        <w:t xml:space="preserve">turistička sezona </w:t>
      </w:r>
      <w:r>
        <w:rPr>
          <w:rFonts w:ascii="Calibri" w:eastAsia="Calibri" w:hAnsi="Calibri" w:cs="Times New Roman"/>
        </w:rPr>
        <w:t xml:space="preserve">2020. U Hrvatskoj </w:t>
      </w:r>
      <w:r w:rsidRPr="003A25BB">
        <w:rPr>
          <w:rFonts w:ascii="Calibri" w:eastAsia="Calibri" w:hAnsi="Calibri" w:cs="Times New Roman"/>
        </w:rPr>
        <w:t>bila na 50</w:t>
      </w:r>
      <w:r>
        <w:rPr>
          <w:rFonts w:ascii="Calibri" w:eastAsia="Calibri" w:hAnsi="Calibri" w:cs="Times New Roman"/>
        </w:rPr>
        <w:t>%</w:t>
      </w:r>
      <w:r w:rsidRPr="003A25BB">
        <w:rPr>
          <w:rFonts w:ascii="Calibri" w:eastAsia="Calibri" w:hAnsi="Calibri" w:cs="Times New Roman"/>
        </w:rPr>
        <w:t xml:space="preserve"> rekordne 2019. godine</w:t>
      </w:r>
      <w:r>
        <w:rPr>
          <w:rFonts w:ascii="Calibri" w:eastAsia="Calibri" w:hAnsi="Calibri" w:cs="Times New Roman"/>
        </w:rPr>
        <w:t xml:space="preserve">. </w:t>
      </w:r>
      <w:r w:rsidRPr="00ED655A">
        <w:rPr>
          <w:rFonts w:ascii="Calibri" w:eastAsia="Calibri" w:hAnsi="Calibri" w:cs="Times New Roman"/>
        </w:rPr>
        <w:t xml:space="preserve">Zbog uvođenja mjera suzbijanja </w:t>
      </w:r>
      <w:r>
        <w:rPr>
          <w:rFonts w:ascii="Calibri" w:eastAsia="Calibri" w:hAnsi="Calibri" w:cs="Times New Roman"/>
        </w:rPr>
        <w:t>epi</w:t>
      </w:r>
      <w:r w:rsidRPr="00ED655A">
        <w:rPr>
          <w:rFonts w:ascii="Calibri" w:eastAsia="Calibri" w:hAnsi="Calibri" w:cs="Times New Roman"/>
        </w:rPr>
        <w:t>demije i dalje je vidljiv realan pad u uslužnim djelatnostima kao i u izvozu i uvozu roba i usluga.</w:t>
      </w:r>
    </w:p>
    <w:bookmarkEnd w:id="56"/>
    <w:p w14:paraId="595C2644" w14:textId="77777777" w:rsidR="00E87AC6" w:rsidRDefault="00E87AC6" w:rsidP="00E87AC6">
      <w:pPr>
        <w:spacing w:after="0" w:line="240" w:lineRule="auto"/>
        <w:jc w:val="both"/>
        <w:rPr>
          <w:rFonts w:ascii="Calibri" w:eastAsia="Calibri" w:hAnsi="Calibri" w:cs="Times New Roman"/>
        </w:rPr>
      </w:pPr>
    </w:p>
    <w:p w14:paraId="3F34DB2A" w14:textId="77777777" w:rsidR="00E87AC6" w:rsidRPr="00E81D2E" w:rsidRDefault="00E87AC6" w:rsidP="00E87AC6">
      <w:pPr>
        <w:spacing w:after="0" w:line="240" w:lineRule="auto"/>
        <w:jc w:val="both"/>
        <w:rPr>
          <w:rFonts w:ascii="Calibri" w:eastAsia="Calibri" w:hAnsi="Calibri" w:cs="Calibri"/>
        </w:rPr>
      </w:pPr>
      <w:r w:rsidRPr="00E81D2E">
        <w:rPr>
          <w:rFonts w:ascii="Calibri" w:eastAsia="Calibri" w:hAnsi="Calibri" w:cs="Calibri"/>
        </w:rPr>
        <w:t xml:space="preserve">Uz posljedice </w:t>
      </w:r>
      <w:r>
        <w:rPr>
          <w:rFonts w:ascii="Calibri" w:eastAsia="Calibri" w:hAnsi="Calibri" w:cs="Calibri"/>
        </w:rPr>
        <w:t>epi</w:t>
      </w:r>
      <w:r w:rsidRPr="00E81D2E">
        <w:rPr>
          <w:rFonts w:ascii="Calibri" w:eastAsia="Calibri" w:hAnsi="Calibri" w:cs="Calibri"/>
        </w:rPr>
        <w:t>demije COVID 19, Hrvatska je istodobno morala rješavati posljedice snažn</w:t>
      </w:r>
      <w:r>
        <w:rPr>
          <w:rFonts w:ascii="Calibri" w:eastAsia="Calibri" w:hAnsi="Calibri" w:cs="Calibri"/>
        </w:rPr>
        <w:t>ih</w:t>
      </w:r>
      <w:r w:rsidRPr="00E81D2E">
        <w:rPr>
          <w:rFonts w:ascii="Calibri" w:eastAsia="Calibri" w:hAnsi="Calibri" w:cs="Calibri"/>
        </w:rPr>
        <w:t xml:space="preserve"> potresa koji </w:t>
      </w:r>
      <w:r>
        <w:rPr>
          <w:rFonts w:ascii="Calibri" w:eastAsia="Calibri" w:hAnsi="Calibri" w:cs="Calibri"/>
        </w:rPr>
        <w:t>su</w:t>
      </w:r>
      <w:r w:rsidRPr="00E81D2E">
        <w:rPr>
          <w:rFonts w:ascii="Calibri" w:eastAsia="Calibri" w:hAnsi="Calibri" w:cs="Calibri"/>
        </w:rPr>
        <w:t xml:space="preserve"> 22. ožujka 2020. pogodi</w:t>
      </w:r>
      <w:r>
        <w:rPr>
          <w:rFonts w:ascii="Calibri" w:eastAsia="Calibri" w:hAnsi="Calibri" w:cs="Calibri"/>
        </w:rPr>
        <w:t>li</w:t>
      </w:r>
      <w:r w:rsidRPr="00E81D2E">
        <w:rPr>
          <w:rFonts w:ascii="Calibri" w:eastAsia="Calibri" w:hAnsi="Calibri" w:cs="Calibri"/>
        </w:rPr>
        <w:t xml:space="preserve"> Grad Zagreb</w:t>
      </w:r>
      <w:r>
        <w:rPr>
          <w:rFonts w:ascii="Calibri" w:eastAsia="Calibri" w:hAnsi="Calibri" w:cs="Calibri"/>
        </w:rPr>
        <w:t xml:space="preserve">, </w:t>
      </w:r>
      <w:r w:rsidRPr="00324B20">
        <w:rPr>
          <w:rFonts w:ascii="Calibri" w:eastAsia="Calibri" w:hAnsi="Calibri" w:cs="Calibri"/>
        </w:rPr>
        <w:t>Krapinsko-zagorsku županiju i Zagrebačku županij</w:t>
      </w:r>
      <w:r>
        <w:rPr>
          <w:rFonts w:ascii="Calibri" w:eastAsia="Calibri" w:hAnsi="Calibri" w:cs="Calibri"/>
        </w:rPr>
        <w:t xml:space="preserve">u, a 29. prosinca </w:t>
      </w:r>
      <w:r w:rsidRPr="00324B20">
        <w:rPr>
          <w:rFonts w:ascii="Calibri" w:eastAsia="Calibri" w:hAnsi="Calibri" w:cs="Calibri"/>
        </w:rPr>
        <w:t>Sisačko -moslavačku županiju</w:t>
      </w:r>
      <w:r>
        <w:rPr>
          <w:rFonts w:ascii="Calibri" w:eastAsia="Calibri" w:hAnsi="Calibri" w:cs="Calibri"/>
        </w:rPr>
        <w:t>,</w:t>
      </w:r>
      <w:r w:rsidRPr="00E81D2E">
        <w:rPr>
          <w:rFonts w:ascii="Calibri" w:eastAsia="Calibri" w:hAnsi="Calibri" w:cs="Calibri"/>
        </w:rPr>
        <w:t xml:space="preserve"> i </w:t>
      </w:r>
      <w:r>
        <w:rPr>
          <w:rFonts w:ascii="Calibri" w:eastAsia="Calibri" w:hAnsi="Calibri" w:cs="Calibri"/>
        </w:rPr>
        <w:t xml:space="preserve">prouzročili </w:t>
      </w:r>
      <w:r w:rsidRPr="00940DFF">
        <w:rPr>
          <w:rFonts w:ascii="Calibri" w:eastAsia="Calibri" w:hAnsi="Calibri" w:cs="Calibri"/>
        </w:rPr>
        <w:t>golemu socioekonomsku i infrastrukturnu štetu</w:t>
      </w:r>
      <w:r>
        <w:rPr>
          <w:rFonts w:ascii="Calibri" w:eastAsia="Calibri" w:hAnsi="Calibri" w:cs="Calibri"/>
        </w:rPr>
        <w:t xml:space="preserve">. </w:t>
      </w:r>
    </w:p>
    <w:p w14:paraId="69C8B9A4" w14:textId="77777777" w:rsidR="00E87AC6" w:rsidRPr="00E81D2E" w:rsidRDefault="00E87AC6" w:rsidP="00E87AC6">
      <w:pPr>
        <w:tabs>
          <w:tab w:val="left" w:pos="-720"/>
        </w:tabs>
        <w:suppressAutoHyphens/>
        <w:spacing w:after="200" w:line="240" w:lineRule="auto"/>
        <w:ind w:right="-2"/>
        <w:jc w:val="both"/>
        <w:rPr>
          <w:rFonts w:ascii="Calibri" w:eastAsia="Calibri" w:hAnsi="Calibri" w:cs="Calibri"/>
          <w:b/>
        </w:rPr>
      </w:pPr>
    </w:p>
    <w:p w14:paraId="5486AB2F" w14:textId="79DFE81D" w:rsidR="00E87AC6" w:rsidRPr="00E81D2E" w:rsidRDefault="00E87AC6" w:rsidP="005A25A2">
      <w:pPr>
        <w:pStyle w:val="Stil2"/>
      </w:pPr>
      <w:bookmarkStart w:id="57" w:name="_Toc97123805"/>
      <w:r w:rsidRPr="00E81D2E">
        <w:t xml:space="preserve">3.1.2. </w:t>
      </w:r>
      <w:bookmarkStart w:id="58" w:name="_Toc349722449"/>
      <w:r w:rsidRPr="00E81D2E">
        <w:t>Osnovni gospodarski pokazatelji i struktura gospodarstva Grada Zagreba</w:t>
      </w:r>
      <w:bookmarkEnd w:id="57"/>
      <w:bookmarkEnd w:id="58"/>
    </w:p>
    <w:p w14:paraId="0014318B" w14:textId="5C8A54D4" w:rsidR="005546A0" w:rsidRPr="00A828D3" w:rsidRDefault="00E87AC6" w:rsidP="00E93A23">
      <w:pPr>
        <w:tabs>
          <w:tab w:val="left" w:pos="-720"/>
        </w:tabs>
        <w:suppressAutoHyphens/>
        <w:spacing w:after="0" w:line="240" w:lineRule="auto"/>
        <w:jc w:val="both"/>
        <w:rPr>
          <w:rFonts w:ascii="Calibri" w:eastAsia="Times New Roman" w:hAnsi="Calibri" w:cs="Calibri"/>
          <w:lang w:eastAsia="hr-HR"/>
        </w:rPr>
      </w:pPr>
      <w:bookmarkStart w:id="59" w:name="_Hlk68600072"/>
      <w:bookmarkStart w:id="60" w:name="_Hlk68599152"/>
      <w:bookmarkStart w:id="61" w:name="_Hlk68600055"/>
      <w:r w:rsidRPr="00E81D2E">
        <w:rPr>
          <w:rFonts w:ascii="Calibri" w:eastAsia="Times New Roman" w:hAnsi="Calibri" w:cs="Calibri"/>
          <w:lang w:eastAsia="hr-HR"/>
        </w:rPr>
        <w:t>Grad Zagreb najjače je gospodarsko središte Republike Hrvatske sa snažnim sektorom gospodarstva, financijskim kapacitetima i razvijenom poduzetničkom infrastrukturom</w:t>
      </w:r>
      <w:r w:rsidRPr="005546A0">
        <w:rPr>
          <w:rFonts w:ascii="Calibri" w:eastAsia="Times New Roman" w:hAnsi="Calibri" w:cs="Calibri"/>
          <w:lang w:eastAsia="hr-HR"/>
        </w:rPr>
        <w:t>.</w:t>
      </w:r>
      <w:r w:rsidR="005546A0" w:rsidRPr="005546A0">
        <w:rPr>
          <w:rFonts w:ascii="Calibri" w:eastAsia="Times New Roman" w:hAnsi="Calibri" w:cs="Calibri"/>
          <w:lang w:eastAsia="hr-HR"/>
        </w:rPr>
        <w:t xml:space="preserve"> </w:t>
      </w:r>
      <w:r w:rsidR="005546A0" w:rsidRPr="00A828D3">
        <w:rPr>
          <w:rFonts w:eastAsia="HelveticaNeueLTPro-Md" w:cstheme="minorHAnsi"/>
        </w:rPr>
        <w:t xml:space="preserve">Grad Zagreb je najsnažniji gospodarski centar u Hrvatskoj. Svi usporedni pokazatelji s drugim županijama i gradovima potvrđuju da Grad Zagreb po većini gospodarskih pokazatelja pozitivno prednjači, ima povoljniji položaj, pa tako i dominantnu ulogu u hrvatskom gospodarstvu. </w:t>
      </w:r>
      <w:r w:rsidR="005546A0" w:rsidRPr="00A828D3">
        <w:rPr>
          <w:rFonts w:eastAsia="HelveticaNeueLTPro-Lt" w:cstheme="minorHAnsi"/>
        </w:rPr>
        <w:t>Osnovne značajke gospodarskog stanja u Gradu Zagrebu, prema zadnjim raspoloživim službenim podacima ukazuju na njegov dominantan položaj i visoku koncentraciju ukupnih gospodarskih aktivnosti:</w:t>
      </w:r>
    </w:p>
    <w:p w14:paraId="21BD5D24" w14:textId="77777777" w:rsidR="005546A0" w:rsidRPr="00A828D3" w:rsidRDefault="005546A0" w:rsidP="005546A0">
      <w:pPr>
        <w:autoSpaceDE w:val="0"/>
        <w:autoSpaceDN w:val="0"/>
        <w:adjustRightInd w:val="0"/>
        <w:spacing w:after="0" w:line="240" w:lineRule="auto"/>
        <w:jc w:val="both"/>
        <w:rPr>
          <w:rFonts w:eastAsia="HelveticaNeueLTPro-Lt" w:cstheme="minorHAnsi"/>
        </w:rPr>
      </w:pPr>
      <w:r w:rsidRPr="00A828D3">
        <w:rPr>
          <w:rFonts w:eastAsia="HelveticaNeueLTPro-Lt" w:cstheme="minorHAnsi"/>
        </w:rPr>
        <w:t>- Grad Zagreb stvara trećinu ukupnog hrvatskog BDP-a</w:t>
      </w:r>
    </w:p>
    <w:p w14:paraId="78AAF808" w14:textId="77777777" w:rsidR="005546A0" w:rsidRPr="00A828D3" w:rsidRDefault="005546A0" w:rsidP="005546A0">
      <w:pPr>
        <w:autoSpaceDE w:val="0"/>
        <w:autoSpaceDN w:val="0"/>
        <w:adjustRightInd w:val="0"/>
        <w:spacing w:after="0" w:line="240" w:lineRule="auto"/>
        <w:jc w:val="both"/>
        <w:rPr>
          <w:rFonts w:eastAsia="HelveticaNeueLTPro-Lt" w:cstheme="minorHAnsi"/>
        </w:rPr>
      </w:pPr>
      <w:r w:rsidRPr="00A828D3">
        <w:rPr>
          <w:rFonts w:eastAsia="HelveticaNeueLTPro-Lt" w:cstheme="minorHAnsi"/>
        </w:rPr>
        <w:t>- u njemu živi gotovo svaki peti stanovnik Hrvatske</w:t>
      </w:r>
    </w:p>
    <w:p w14:paraId="51FA3D19" w14:textId="77777777" w:rsidR="005546A0" w:rsidRPr="00A828D3" w:rsidRDefault="005546A0" w:rsidP="005546A0">
      <w:pPr>
        <w:autoSpaceDE w:val="0"/>
        <w:autoSpaceDN w:val="0"/>
        <w:adjustRightInd w:val="0"/>
        <w:spacing w:after="0" w:line="240" w:lineRule="auto"/>
        <w:jc w:val="both"/>
        <w:rPr>
          <w:rFonts w:eastAsia="HelveticaNeueLTPro-Lt" w:cstheme="minorHAnsi"/>
        </w:rPr>
      </w:pPr>
      <w:r w:rsidRPr="00A828D3">
        <w:rPr>
          <w:rFonts w:eastAsia="HelveticaNeueLTPro-Lt" w:cstheme="minorHAnsi"/>
        </w:rPr>
        <w:t xml:space="preserve">- u Zagrebu radi više nego svaka četvrta osoba od ukupnog broja zaposlenih u Hrvatskoj </w:t>
      </w:r>
    </w:p>
    <w:p w14:paraId="0806BB08" w14:textId="77777777" w:rsidR="005546A0" w:rsidRPr="00A828D3" w:rsidRDefault="005546A0" w:rsidP="005546A0">
      <w:pPr>
        <w:autoSpaceDE w:val="0"/>
        <w:autoSpaceDN w:val="0"/>
        <w:adjustRightInd w:val="0"/>
        <w:spacing w:after="0" w:line="240" w:lineRule="auto"/>
        <w:jc w:val="both"/>
        <w:rPr>
          <w:rFonts w:eastAsia="HelveticaNeueLTPro-Lt" w:cstheme="minorHAnsi"/>
        </w:rPr>
      </w:pPr>
      <w:r w:rsidRPr="00A828D3">
        <w:rPr>
          <w:rFonts w:eastAsia="HelveticaNeueLTPro-Lt" w:cstheme="minorHAnsi"/>
        </w:rPr>
        <w:t xml:space="preserve">- BDP per capita viši je za tri četvrtine od hrvatskog prosjeka </w:t>
      </w:r>
    </w:p>
    <w:p w14:paraId="0541D84F" w14:textId="77777777" w:rsidR="005546A0" w:rsidRPr="00A828D3" w:rsidRDefault="005546A0" w:rsidP="005546A0">
      <w:pPr>
        <w:autoSpaceDE w:val="0"/>
        <w:autoSpaceDN w:val="0"/>
        <w:adjustRightInd w:val="0"/>
        <w:spacing w:after="0" w:line="240" w:lineRule="auto"/>
        <w:jc w:val="both"/>
        <w:rPr>
          <w:rFonts w:eastAsia="HelveticaNeueLTPro-Lt" w:cstheme="minorHAnsi"/>
        </w:rPr>
      </w:pPr>
      <w:r w:rsidRPr="00A828D3">
        <w:rPr>
          <w:rFonts w:eastAsia="HelveticaNeueLTPro-Lt" w:cstheme="minorHAnsi"/>
        </w:rPr>
        <w:t>- prosječno isplaćena plaća gotovo je za šestinu veća od hrvatskog prosjeka</w:t>
      </w:r>
    </w:p>
    <w:p w14:paraId="4A13FD3B" w14:textId="77777777" w:rsidR="005546A0" w:rsidRPr="00A828D3" w:rsidRDefault="005546A0" w:rsidP="005546A0">
      <w:pPr>
        <w:autoSpaceDE w:val="0"/>
        <w:autoSpaceDN w:val="0"/>
        <w:adjustRightInd w:val="0"/>
        <w:spacing w:after="0" w:line="240" w:lineRule="auto"/>
        <w:jc w:val="both"/>
        <w:rPr>
          <w:rFonts w:eastAsia="HelveticaNeueLTPro-Lt" w:cstheme="minorHAnsi"/>
        </w:rPr>
      </w:pPr>
      <w:r w:rsidRPr="00A828D3">
        <w:rPr>
          <w:rFonts w:eastAsia="HelveticaNeueLTPro-Lt" w:cstheme="minorHAnsi"/>
        </w:rPr>
        <w:t>- u Gradu Zagrebu koncentrirano je čak nešto više od trećine svih poduzetnika koji posluju u Hrvatskoj.</w:t>
      </w:r>
    </w:p>
    <w:p w14:paraId="6E83034C" w14:textId="181BC3F0" w:rsidR="005546A0" w:rsidRPr="005546A0" w:rsidRDefault="005546A0" w:rsidP="00E87AC6">
      <w:pPr>
        <w:tabs>
          <w:tab w:val="left" w:pos="-720"/>
        </w:tabs>
        <w:suppressAutoHyphens/>
        <w:spacing w:after="0" w:line="240" w:lineRule="auto"/>
        <w:jc w:val="both"/>
        <w:rPr>
          <w:rFonts w:ascii="Calibri" w:eastAsia="Times New Roman" w:hAnsi="Calibri" w:cs="Calibri"/>
          <w:lang w:eastAsia="hr-HR"/>
        </w:rPr>
      </w:pPr>
    </w:p>
    <w:p w14:paraId="7C3892AB" w14:textId="646989DC" w:rsidR="005546A0" w:rsidRDefault="008D1445" w:rsidP="00E87AC6">
      <w:pPr>
        <w:tabs>
          <w:tab w:val="left" w:pos="-720"/>
        </w:tabs>
        <w:suppressAutoHyphens/>
        <w:spacing w:after="0" w:line="240" w:lineRule="auto"/>
        <w:jc w:val="both"/>
        <w:rPr>
          <w:rFonts w:ascii="Calibri" w:eastAsia="Times New Roman" w:hAnsi="Calibri" w:cs="Calibri"/>
          <w:lang w:eastAsia="hr-HR"/>
        </w:rPr>
      </w:pPr>
      <w:r>
        <w:rPr>
          <w:rFonts w:ascii="Calibri" w:eastAsia="Times New Roman" w:hAnsi="Calibri" w:cs="Calibri"/>
          <w:lang w:eastAsia="hr-HR"/>
        </w:rPr>
        <w:t>Grad Zagreb je jedina županija u Republici Hrvatskoj koja je u 2018. godini imala BDP izražen prema standardu kupovne moći veći od prosjeka 27 država Europske unije i bio je 18 % iznad prosjeka EU-27.</w:t>
      </w:r>
      <w:r>
        <w:rPr>
          <w:rStyle w:val="Referencafusnote"/>
          <w:rFonts w:ascii="Calibri" w:eastAsia="Times New Roman" w:hAnsi="Calibri" w:cs="Calibri"/>
          <w:lang w:eastAsia="hr-HR"/>
        </w:rPr>
        <w:footnoteReference w:id="28"/>
      </w:r>
    </w:p>
    <w:bookmarkEnd w:id="59"/>
    <w:p w14:paraId="44767718" w14:textId="77777777" w:rsidR="00E87AC6" w:rsidRPr="00E81D2E" w:rsidRDefault="00E87AC6" w:rsidP="00E87AC6">
      <w:pPr>
        <w:tabs>
          <w:tab w:val="left" w:pos="-720"/>
        </w:tabs>
        <w:suppressAutoHyphens/>
        <w:spacing w:after="0" w:line="240" w:lineRule="auto"/>
        <w:jc w:val="both"/>
        <w:rPr>
          <w:rFonts w:ascii="Calibri" w:eastAsia="Times New Roman" w:hAnsi="Calibri" w:cs="Calibri"/>
          <w:lang w:eastAsia="hr-HR"/>
        </w:rPr>
      </w:pPr>
    </w:p>
    <w:bookmarkEnd w:id="60"/>
    <w:p w14:paraId="5FFA6339" w14:textId="13A7B7BA" w:rsidR="00E87AC6" w:rsidRPr="00E81D2E" w:rsidRDefault="00051B1B" w:rsidP="008C209F">
      <w:pPr>
        <w:pStyle w:val="Opisslike"/>
        <w:rPr>
          <w:rFonts w:ascii="Calibri" w:eastAsia="Calibri" w:hAnsi="Calibri" w:cs="Times New Roman"/>
        </w:rPr>
      </w:pPr>
      <w:r>
        <w:t xml:space="preserve">Tablica </w:t>
      </w:r>
      <w:r w:rsidR="00751C19">
        <w:fldChar w:fldCharType="begin"/>
      </w:r>
      <w:r w:rsidR="00751C19">
        <w:instrText xml:space="preserve"> SEQ Tablica \* ARABIC </w:instrText>
      </w:r>
      <w:r w:rsidR="00751C19">
        <w:fldChar w:fldCharType="separate"/>
      </w:r>
      <w:r w:rsidR="00803E25">
        <w:rPr>
          <w:noProof/>
        </w:rPr>
        <w:t>10</w:t>
      </w:r>
      <w:r w:rsidR="00751C19">
        <w:rPr>
          <w:noProof/>
        </w:rPr>
        <w:fldChar w:fldCharType="end"/>
      </w:r>
      <w:r>
        <w:t xml:space="preserve">. </w:t>
      </w:r>
      <w:r w:rsidRPr="00F44837">
        <w:t>Bruto domaći proizvod za Grad Zagreb od 2013. do 2018.</w:t>
      </w:r>
      <w:bookmarkEnd w:id="61"/>
      <w:r w:rsidR="00E87AC6" w:rsidRPr="00E81D2E">
        <w:rPr>
          <w:rFonts w:ascii="Calibri" w:eastAsia="Calibri" w:hAnsi="Calibri" w:cs="Times New Roman"/>
        </w:rPr>
        <w:t xml:space="preserve">                                                                                                                              Tekuće cijene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1033"/>
        <w:gridCol w:w="1032"/>
        <w:gridCol w:w="1032"/>
        <w:gridCol w:w="1032"/>
        <w:gridCol w:w="1032"/>
        <w:gridCol w:w="1032"/>
      </w:tblGrid>
      <w:tr w:rsidR="00E87AC6" w:rsidRPr="00E81D2E" w14:paraId="0AB47C85" w14:textId="77777777" w:rsidTr="004838D7">
        <w:trPr>
          <w:trHeight w:val="265"/>
        </w:trPr>
        <w:tc>
          <w:tcPr>
            <w:tcW w:w="2912" w:type="dxa"/>
            <w:shd w:val="clear" w:color="auto" w:fill="auto"/>
          </w:tcPr>
          <w:p w14:paraId="23BD7A1E" w14:textId="77777777" w:rsidR="00E87AC6" w:rsidRPr="00E81D2E" w:rsidRDefault="00E87AC6" w:rsidP="004838D7">
            <w:pPr>
              <w:spacing w:after="0" w:line="276" w:lineRule="auto"/>
              <w:rPr>
                <w:rFonts w:ascii="Times New Roman" w:eastAsia="Times New Roman" w:hAnsi="Times New Roman" w:cs="Times New Roman"/>
              </w:rPr>
            </w:pPr>
          </w:p>
        </w:tc>
        <w:tc>
          <w:tcPr>
            <w:tcW w:w="1041" w:type="dxa"/>
            <w:shd w:val="clear" w:color="auto" w:fill="auto"/>
          </w:tcPr>
          <w:p w14:paraId="3702A6C4" w14:textId="77777777" w:rsidR="00E87AC6" w:rsidRPr="00E81D2E" w:rsidRDefault="00E87AC6" w:rsidP="004838D7">
            <w:pPr>
              <w:spacing w:after="0" w:line="276" w:lineRule="auto"/>
              <w:rPr>
                <w:rFonts w:ascii="Times New Roman" w:eastAsia="Times New Roman" w:hAnsi="Times New Roman" w:cs="Times New Roman"/>
                <w:b/>
                <w:bCs/>
              </w:rPr>
            </w:pPr>
            <w:r w:rsidRPr="00E81D2E">
              <w:rPr>
                <w:rFonts w:ascii="Times New Roman" w:eastAsia="Times New Roman" w:hAnsi="Times New Roman" w:cs="Times New Roman"/>
                <w:b/>
                <w:bCs/>
              </w:rPr>
              <w:t>2013.</w:t>
            </w:r>
          </w:p>
        </w:tc>
        <w:tc>
          <w:tcPr>
            <w:tcW w:w="1041" w:type="dxa"/>
            <w:shd w:val="clear" w:color="auto" w:fill="auto"/>
          </w:tcPr>
          <w:p w14:paraId="7BC48D2F" w14:textId="77777777" w:rsidR="00E87AC6" w:rsidRPr="00E81D2E" w:rsidRDefault="00E87AC6" w:rsidP="004838D7">
            <w:pPr>
              <w:spacing w:after="0" w:line="276" w:lineRule="auto"/>
              <w:rPr>
                <w:rFonts w:ascii="Times New Roman" w:eastAsia="Times New Roman" w:hAnsi="Times New Roman" w:cs="Times New Roman"/>
                <w:b/>
                <w:bCs/>
              </w:rPr>
            </w:pPr>
            <w:r w:rsidRPr="00E81D2E">
              <w:rPr>
                <w:rFonts w:ascii="Times New Roman" w:eastAsia="Times New Roman" w:hAnsi="Times New Roman" w:cs="Times New Roman"/>
                <w:b/>
                <w:bCs/>
              </w:rPr>
              <w:t>2014.</w:t>
            </w:r>
          </w:p>
        </w:tc>
        <w:tc>
          <w:tcPr>
            <w:tcW w:w="1041" w:type="dxa"/>
            <w:shd w:val="clear" w:color="auto" w:fill="auto"/>
          </w:tcPr>
          <w:p w14:paraId="3E693810" w14:textId="77777777" w:rsidR="00E87AC6" w:rsidRPr="00E81D2E" w:rsidRDefault="00E87AC6" w:rsidP="004838D7">
            <w:pPr>
              <w:spacing w:after="0" w:line="276" w:lineRule="auto"/>
              <w:rPr>
                <w:rFonts w:ascii="Times New Roman" w:eastAsia="Times New Roman" w:hAnsi="Times New Roman" w:cs="Times New Roman"/>
                <w:b/>
                <w:bCs/>
              </w:rPr>
            </w:pPr>
            <w:r w:rsidRPr="00E81D2E">
              <w:rPr>
                <w:rFonts w:ascii="Times New Roman" w:eastAsia="Times New Roman" w:hAnsi="Times New Roman" w:cs="Times New Roman"/>
                <w:b/>
                <w:bCs/>
              </w:rPr>
              <w:t>2015.</w:t>
            </w:r>
          </w:p>
        </w:tc>
        <w:tc>
          <w:tcPr>
            <w:tcW w:w="1041" w:type="dxa"/>
            <w:shd w:val="clear" w:color="auto" w:fill="auto"/>
          </w:tcPr>
          <w:p w14:paraId="65989E8B" w14:textId="77777777" w:rsidR="00E87AC6" w:rsidRPr="00E81D2E" w:rsidRDefault="00E87AC6" w:rsidP="004838D7">
            <w:pPr>
              <w:spacing w:after="0" w:line="276" w:lineRule="auto"/>
              <w:rPr>
                <w:rFonts w:ascii="Times New Roman" w:eastAsia="Times New Roman" w:hAnsi="Times New Roman" w:cs="Times New Roman"/>
                <w:b/>
                <w:bCs/>
              </w:rPr>
            </w:pPr>
            <w:r w:rsidRPr="00E81D2E">
              <w:rPr>
                <w:rFonts w:ascii="Times New Roman" w:eastAsia="Times New Roman" w:hAnsi="Times New Roman" w:cs="Times New Roman"/>
                <w:b/>
                <w:bCs/>
              </w:rPr>
              <w:t>2016.</w:t>
            </w:r>
          </w:p>
        </w:tc>
        <w:tc>
          <w:tcPr>
            <w:tcW w:w="1041" w:type="dxa"/>
            <w:shd w:val="clear" w:color="auto" w:fill="auto"/>
          </w:tcPr>
          <w:p w14:paraId="2B072772" w14:textId="77777777" w:rsidR="00E87AC6" w:rsidRPr="00E81D2E" w:rsidRDefault="00E87AC6" w:rsidP="004838D7">
            <w:pPr>
              <w:spacing w:after="0" w:line="276" w:lineRule="auto"/>
              <w:rPr>
                <w:rFonts w:ascii="Times New Roman" w:eastAsia="Times New Roman" w:hAnsi="Times New Roman" w:cs="Times New Roman"/>
                <w:b/>
                <w:bCs/>
              </w:rPr>
            </w:pPr>
            <w:r w:rsidRPr="00E81D2E">
              <w:rPr>
                <w:rFonts w:ascii="Times New Roman" w:eastAsia="Times New Roman" w:hAnsi="Times New Roman" w:cs="Times New Roman"/>
                <w:b/>
                <w:bCs/>
              </w:rPr>
              <w:t>2017.</w:t>
            </w:r>
          </w:p>
        </w:tc>
        <w:tc>
          <w:tcPr>
            <w:tcW w:w="1041" w:type="dxa"/>
            <w:shd w:val="clear" w:color="auto" w:fill="auto"/>
          </w:tcPr>
          <w:p w14:paraId="4C80F7EF" w14:textId="11A3BAC8" w:rsidR="00E87AC6" w:rsidRPr="00E81D2E" w:rsidRDefault="00E87AC6" w:rsidP="004838D7">
            <w:pPr>
              <w:spacing w:after="0" w:line="276" w:lineRule="auto"/>
              <w:rPr>
                <w:rFonts w:ascii="Times New Roman" w:eastAsia="Times New Roman" w:hAnsi="Times New Roman" w:cs="Times New Roman"/>
                <w:b/>
                <w:bCs/>
              </w:rPr>
            </w:pPr>
            <w:r w:rsidRPr="00E81D2E">
              <w:rPr>
                <w:rFonts w:ascii="Times New Roman" w:eastAsia="Times New Roman" w:hAnsi="Times New Roman" w:cs="Times New Roman"/>
                <w:b/>
                <w:bCs/>
              </w:rPr>
              <w:t>2018.</w:t>
            </w:r>
            <w:r w:rsidR="001470DC" w:rsidRPr="00E81D2E">
              <w:rPr>
                <w:rFonts w:ascii="Times New Roman" w:eastAsia="Times New Roman" w:hAnsi="Times New Roman" w:cs="Times New Roman"/>
                <w:b/>
                <w:bCs/>
              </w:rPr>
              <w:t xml:space="preserve"> 2018.</w:t>
            </w:r>
          </w:p>
        </w:tc>
      </w:tr>
      <w:tr w:rsidR="00E87AC6" w:rsidRPr="00E81D2E" w14:paraId="5AAEC40B" w14:textId="77777777" w:rsidTr="004838D7">
        <w:trPr>
          <w:trHeight w:val="265"/>
        </w:trPr>
        <w:tc>
          <w:tcPr>
            <w:tcW w:w="2912" w:type="dxa"/>
            <w:shd w:val="clear" w:color="auto" w:fill="auto"/>
          </w:tcPr>
          <w:p w14:paraId="4919B4FC"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Bruto domaći proizvod, mil. kuna</w:t>
            </w:r>
          </w:p>
        </w:tc>
        <w:tc>
          <w:tcPr>
            <w:tcW w:w="1041" w:type="dxa"/>
            <w:shd w:val="clear" w:color="auto" w:fill="auto"/>
          </w:tcPr>
          <w:p w14:paraId="7A410A00"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111 733</w:t>
            </w:r>
          </w:p>
        </w:tc>
        <w:tc>
          <w:tcPr>
            <w:tcW w:w="1041" w:type="dxa"/>
            <w:shd w:val="clear" w:color="auto" w:fill="auto"/>
          </w:tcPr>
          <w:p w14:paraId="2C2995C4"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112 565</w:t>
            </w:r>
          </w:p>
        </w:tc>
        <w:tc>
          <w:tcPr>
            <w:tcW w:w="1041" w:type="dxa"/>
            <w:shd w:val="clear" w:color="auto" w:fill="auto"/>
          </w:tcPr>
          <w:p w14:paraId="52634C1B"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115 731</w:t>
            </w:r>
          </w:p>
        </w:tc>
        <w:tc>
          <w:tcPr>
            <w:tcW w:w="1041" w:type="dxa"/>
            <w:shd w:val="clear" w:color="auto" w:fill="auto"/>
          </w:tcPr>
          <w:p w14:paraId="466B81B9"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119 096</w:t>
            </w:r>
          </w:p>
        </w:tc>
        <w:tc>
          <w:tcPr>
            <w:tcW w:w="1041" w:type="dxa"/>
            <w:shd w:val="clear" w:color="auto" w:fill="auto"/>
          </w:tcPr>
          <w:p w14:paraId="255C6ED9"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125 020 </w:t>
            </w:r>
          </w:p>
        </w:tc>
        <w:tc>
          <w:tcPr>
            <w:tcW w:w="1041" w:type="dxa"/>
            <w:shd w:val="clear" w:color="auto" w:fill="auto"/>
          </w:tcPr>
          <w:p w14:paraId="66155019"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132 100</w:t>
            </w:r>
          </w:p>
        </w:tc>
      </w:tr>
      <w:tr w:rsidR="00E87AC6" w:rsidRPr="00E81D2E" w14:paraId="61ABCEDD" w14:textId="77777777" w:rsidTr="004838D7">
        <w:trPr>
          <w:trHeight w:val="265"/>
        </w:trPr>
        <w:tc>
          <w:tcPr>
            <w:tcW w:w="2912" w:type="dxa"/>
            <w:shd w:val="clear" w:color="auto" w:fill="auto"/>
          </w:tcPr>
          <w:p w14:paraId="7DA3C896"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Bruto domaći proizvod, mil. eura</w:t>
            </w:r>
          </w:p>
        </w:tc>
        <w:tc>
          <w:tcPr>
            <w:tcW w:w="1041" w:type="dxa"/>
            <w:shd w:val="clear" w:color="auto" w:fill="auto"/>
          </w:tcPr>
          <w:p w14:paraId="0F532698"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14 753</w:t>
            </w:r>
          </w:p>
        </w:tc>
        <w:tc>
          <w:tcPr>
            <w:tcW w:w="1041" w:type="dxa"/>
            <w:shd w:val="clear" w:color="auto" w:fill="auto"/>
          </w:tcPr>
          <w:p w14:paraId="03FC51B1"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14 753</w:t>
            </w:r>
          </w:p>
        </w:tc>
        <w:tc>
          <w:tcPr>
            <w:tcW w:w="1041" w:type="dxa"/>
            <w:shd w:val="clear" w:color="auto" w:fill="auto"/>
          </w:tcPr>
          <w:p w14:paraId="01D696D2"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15 209</w:t>
            </w:r>
          </w:p>
        </w:tc>
        <w:tc>
          <w:tcPr>
            <w:tcW w:w="1041" w:type="dxa"/>
            <w:shd w:val="clear" w:color="auto" w:fill="auto"/>
          </w:tcPr>
          <w:p w14:paraId="2064AD83"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15 818</w:t>
            </w:r>
          </w:p>
        </w:tc>
        <w:tc>
          <w:tcPr>
            <w:tcW w:w="1041" w:type="dxa"/>
            <w:shd w:val="clear" w:color="auto" w:fill="auto"/>
          </w:tcPr>
          <w:p w14:paraId="51614F69"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16 758</w:t>
            </w:r>
          </w:p>
        </w:tc>
        <w:tc>
          <w:tcPr>
            <w:tcW w:w="1041" w:type="dxa"/>
            <w:shd w:val="clear" w:color="auto" w:fill="auto"/>
          </w:tcPr>
          <w:p w14:paraId="1D30514E"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17 500</w:t>
            </w:r>
          </w:p>
        </w:tc>
      </w:tr>
      <w:tr w:rsidR="00E87AC6" w:rsidRPr="00E81D2E" w14:paraId="257590B3" w14:textId="77777777" w:rsidTr="004838D7">
        <w:trPr>
          <w:trHeight w:val="265"/>
        </w:trPr>
        <w:tc>
          <w:tcPr>
            <w:tcW w:w="2912" w:type="dxa"/>
            <w:shd w:val="clear" w:color="auto" w:fill="auto"/>
          </w:tcPr>
          <w:p w14:paraId="172BD09A"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Bruto domaći proizvod po stanovniku, kuna</w:t>
            </w:r>
          </w:p>
        </w:tc>
        <w:tc>
          <w:tcPr>
            <w:tcW w:w="1041" w:type="dxa"/>
            <w:shd w:val="clear" w:color="auto" w:fill="auto"/>
          </w:tcPr>
          <w:p w14:paraId="06EE4F08"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140 459</w:t>
            </w:r>
          </w:p>
        </w:tc>
        <w:tc>
          <w:tcPr>
            <w:tcW w:w="1041" w:type="dxa"/>
            <w:shd w:val="clear" w:color="auto" w:fill="auto"/>
          </w:tcPr>
          <w:p w14:paraId="7F5AAA63"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140 983</w:t>
            </w:r>
          </w:p>
        </w:tc>
        <w:tc>
          <w:tcPr>
            <w:tcW w:w="1041" w:type="dxa"/>
            <w:shd w:val="clear" w:color="auto" w:fill="auto"/>
          </w:tcPr>
          <w:p w14:paraId="544798EA"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144 542</w:t>
            </w:r>
          </w:p>
        </w:tc>
        <w:tc>
          <w:tcPr>
            <w:tcW w:w="1041" w:type="dxa"/>
            <w:shd w:val="clear" w:color="auto" w:fill="auto"/>
          </w:tcPr>
          <w:p w14:paraId="59C23A13"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148 407</w:t>
            </w:r>
          </w:p>
        </w:tc>
        <w:tc>
          <w:tcPr>
            <w:tcW w:w="1041" w:type="dxa"/>
            <w:shd w:val="clear" w:color="auto" w:fill="auto"/>
          </w:tcPr>
          <w:p w14:paraId="0B3AC86B"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155 541</w:t>
            </w:r>
          </w:p>
        </w:tc>
        <w:tc>
          <w:tcPr>
            <w:tcW w:w="1041" w:type="dxa"/>
            <w:shd w:val="clear" w:color="auto" w:fill="auto"/>
          </w:tcPr>
          <w:p w14:paraId="6927585B"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170 882</w:t>
            </w:r>
          </w:p>
        </w:tc>
      </w:tr>
      <w:tr w:rsidR="00E87AC6" w:rsidRPr="00E81D2E" w14:paraId="6AC3376F" w14:textId="77777777" w:rsidTr="004838D7">
        <w:trPr>
          <w:trHeight w:val="265"/>
        </w:trPr>
        <w:tc>
          <w:tcPr>
            <w:tcW w:w="2912" w:type="dxa"/>
            <w:shd w:val="clear" w:color="auto" w:fill="auto"/>
          </w:tcPr>
          <w:p w14:paraId="2A3CDD40"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Bruto domaći proizvod po stanovniku, eura</w:t>
            </w:r>
          </w:p>
        </w:tc>
        <w:tc>
          <w:tcPr>
            <w:tcW w:w="1041" w:type="dxa"/>
            <w:shd w:val="clear" w:color="auto" w:fill="auto"/>
          </w:tcPr>
          <w:p w14:paraId="7C0098E4"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18 546</w:t>
            </w:r>
          </w:p>
        </w:tc>
        <w:tc>
          <w:tcPr>
            <w:tcW w:w="1041" w:type="dxa"/>
            <w:shd w:val="clear" w:color="auto" w:fill="auto"/>
          </w:tcPr>
          <w:p w14:paraId="3DF66F52"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18 477</w:t>
            </w:r>
          </w:p>
        </w:tc>
        <w:tc>
          <w:tcPr>
            <w:tcW w:w="1041" w:type="dxa"/>
            <w:shd w:val="clear" w:color="auto" w:fill="auto"/>
          </w:tcPr>
          <w:p w14:paraId="32196672"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18 995</w:t>
            </w:r>
          </w:p>
        </w:tc>
        <w:tc>
          <w:tcPr>
            <w:tcW w:w="1041" w:type="dxa"/>
            <w:shd w:val="clear" w:color="auto" w:fill="auto"/>
          </w:tcPr>
          <w:p w14:paraId="137BEC19"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19 710</w:t>
            </w:r>
          </w:p>
        </w:tc>
        <w:tc>
          <w:tcPr>
            <w:tcW w:w="1041" w:type="dxa"/>
            <w:shd w:val="clear" w:color="auto" w:fill="auto"/>
          </w:tcPr>
          <w:p w14:paraId="141D35E7" w14:textId="77777777" w:rsidR="00E87AC6" w:rsidRPr="00E81D2E" w:rsidRDefault="00E87AC6" w:rsidP="004838D7">
            <w:pPr>
              <w:spacing w:after="0" w:line="240" w:lineRule="auto"/>
              <w:rPr>
                <w:rFonts w:ascii="Calibri" w:eastAsia="Calibri" w:hAnsi="Calibri" w:cs="Times New Roman"/>
              </w:rPr>
            </w:pPr>
            <w:r w:rsidRPr="00E81D2E">
              <w:rPr>
                <w:rFonts w:ascii="Calibri" w:eastAsia="Calibri" w:hAnsi="Calibri" w:cs="Times New Roman"/>
              </w:rPr>
              <w:t xml:space="preserve">  20 850</w:t>
            </w:r>
          </w:p>
        </w:tc>
        <w:tc>
          <w:tcPr>
            <w:tcW w:w="1041" w:type="dxa"/>
            <w:shd w:val="clear" w:color="auto" w:fill="auto"/>
          </w:tcPr>
          <w:p w14:paraId="3FA9A8F3" w14:textId="77777777" w:rsidR="00E87AC6" w:rsidRPr="00E81D2E" w:rsidRDefault="00E87AC6" w:rsidP="004838D7">
            <w:pPr>
              <w:spacing w:after="200" w:line="276" w:lineRule="auto"/>
              <w:rPr>
                <w:rFonts w:ascii="Times New Roman" w:eastAsia="Times New Roman" w:hAnsi="Times New Roman" w:cs="Times New Roman"/>
              </w:rPr>
            </w:pPr>
            <w:r w:rsidRPr="00E81D2E">
              <w:rPr>
                <w:rFonts w:ascii="Times New Roman" w:eastAsia="Times New Roman" w:hAnsi="Times New Roman" w:cs="Times New Roman"/>
              </w:rPr>
              <w:t xml:space="preserve">22 695 </w:t>
            </w:r>
          </w:p>
        </w:tc>
      </w:tr>
    </w:tbl>
    <w:p w14:paraId="5E329043" w14:textId="77777777" w:rsidR="00E87AC6" w:rsidRPr="00E81D2E" w:rsidRDefault="00E87AC6" w:rsidP="00E87AC6">
      <w:pPr>
        <w:spacing w:after="200" w:line="276" w:lineRule="auto"/>
        <w:rPr>
          <w:rFonts w:ascii="Calibri" w:eastAsia="Calibri" w:hAnsi="Calibri" w:cs="Times New Roman"/>
          <w:sz w:val="18"/>
          <w:szCs w:val="18"/>
        </w:rPr>
      </w:pPr>
      <w:r w:rsidRPr="00E81D2E">
        <w:rPr>
          <w:rFonts w:ascii="Calibri" w:eastAsia="Calibri" w:hAnsi="Calibri" w:cs="Times New Roman"/>
          <w:sz w:val="18"/>
          <w:szCs w:val="18"/>
        </w:rPr>
        <w:t>Izvor: DZS</w:t>
      </w:r>
    </w:p>
    <w:p w14:paraId="54D54C9B" w14:textId="77777777" w:rsidR="00E87AC6" w:rsidRPr="00E81D2E" w:rsidRDefault="00E87AC6" w:rsidP="00E87AC6">
      <w:pPr>
        <w:tabs>
          <w:tab w:val="left" w:pos="-720"/>
        </w:tabs>
        <w:suppressAutoHyphens/>
        <w:spacing w:after="0" w:line="240" w:lineRule="auto"/>
        <w:jc w:val="both"/>
        <w:rPr>
          <w:rFonts w:ascii="Calibri" w:eastAsia="Times New Roman" w:hAnsi="Calibri" w:cs="Calibri"/>
          <w:color w:val="FF0000"/>
          <w:lang w:eastAsia="hr-HR"/>
        </w:rPr>
      </w:pPr>
      <w:r w:rsidRPr="00E81D2E">
        <w:rPr>
          <w:rFonts w:ascii="Calibri" w:eastAsia="Times New Roman" w:hAnsi="Calibri" w:cs="Calibri"/>
          <w:lang w:eastAsia="hr-HR"/>
        </w:rPr>
        <w:t xml:space="preserve">BDP Grada Zagreba u 2018. godini iznosio je 132,1 milijardu kuna u tekućim cijenama što je porast od 5,5% u odnosu na 2017. godinu. </w:t>
      </w:r>
      <w:r>
        <w:rPr>
          <w:rFonts w:ascii="Calibri" w:eastAsia="Times New Roman" w:hAnsi="Calibri" w:cs="Calibri"/>
          <w:lang w:eastAsia="hr-HR"/>
        </w:rPr>
        <w:t xml:space="preserve">U </w:t>
      </w:r>
      <w:r w:rsidRPr="00E81D2E">
        <w:rPr>
          <w:rFonts w:ascii="Calibri" w:eastAsia="Times New Roman" w:hAnsi="Calibri" w:cs="Calibri"/>
          <w:lang w:eastAsia="hr-HR"/>
        </w:rPr>
        <w:t>2018.</w:t>
      </w:r>
      <w:r>
        <w:rPr>
          <w:rFonts w:ascii="Calibri" w:eastAsia="Times New Roman" w:hAnsi="Calibri" w:cs="Calibri"/>
          <w:lang w:eastAsia="hr-HR"/>
        </w:rPr>
        <w:t xml:space="preserve"> godini grad Zagreb je imao </w:t>
      </w:r>
      <w:r w:rsidRPr="00E81D2E">
        <w:rPr>
          <w:rFonts w:ascii="Calibri" w:eastAsia="Times New Roman" w:hAnsi="Calibri" w:cs="Calibri"/>
          <w:lang w:eastAsia="hr-HR"/>
        </w:rPr>
        <w:t xml:space="preserve">najveći BDP po stanovniku u Republici Hrvatskoj </w:t>
      </w:r>
      <w:r>
        <w:rPr>
          <w:rFonts w:ascii="Calibri" w:eastAsia="Times New Roman" w:hAnsi="Calibri" w:cs="Calibri"/>
          <w:lang w:eastAsia="hr-HR"/>
        </w:rPr>
        <w:t>koji je</w:t>
      </w:r>
      <w:r w:rsidRPr="00E81D2E">
        <w:rPr>
          <w:rFonts w:ascii="Calibri" w:eastAsia="Times New Roman" w:hAnsi="Calibri" w:cs="Calibri"/>
          <w:lang w:eastAsia="hr-HR"/>
        </w:rPr>
        <w:t xml:space="preserve"> iznosio 170 882 kuna, što je 85,0% iznad državnog prosjeka. BDP po stanovniku izražen prema standardu kupovne moći u Republici Hrvatskoj za 2018.</w:t>
      </w:r>
      <w:r>
        <w:rPr>
          <w:rFonts w:ascii="Calibri" w:eastAsia="Times New Roman" w:hAnsi="Calibri" w:cs="Calibri"/>
          <w:lang w:eastAsia="hr-HR"/>
        </w:rPr>
        <w:t xml:space="preserve">godinu </w:t>
      </w:r>
      <w:r w:rsidRPr="00E81D2E">
        <w:rPr>
          <w:rFonts w:ascii="Calibri" w:eastAsia="Times New Roman" w:hAnsi="Calibri" w:cs="Calibri"/>
          <w:lang w:eastAsia="hr-HR"/>
        </w:rPr>
        <w:t xml:space="preserve"> iznosi</w:t>
      </w:r>
      <w:r>
        <w:rPr>
          <w:rFonts w:ascii="Calibri" w:eastAsia="Times New Roman" w:hAnsi="Calibri" w:cs="Calibri"/>
          <w:lang w:eastAsia="hr-HR"/>
        </w:rPr>
        <w:t xml:space="preserve">o je </w:t>
      </w:r>
      <w:r w:rsidRPr="00E81D2E">
        <w:rPr>
          <w:rFonts w:ascii="Calibri" w:eastAsia="Times New Roman" w:hAnsi="Calibri" w:cs="Calibri"/>
          <w:lang w:eastAsia="hr-HR"/>
        </w:rPr>
        <w:t xml:space="preserve"> 66,8% prosjeka 28 zemalja članica EU-a, a Grad Zagreb je jedina županija u Republici Hrvatskoj koja je u 2018.</w:t>
      </w:r>
      <w:r>
        <w:rPr>
          <w:rFonts w:ascii="Calibri" w:eastAsia="Times New Roman" w:hAnsi="Calibri" w:cs="Calibri"/>
          <w:lang w:eastAsia="hr-HR"/>
        </w:rPr>
        <w:t>godini</w:t>
      </w:r>
      <w:r w:rsidRPr="00E81D2E">
        <w:rPr>
          <w:rFonts w:ascii="Calibri" w:eastAsia="Times New Roman" w:hAnsi="Calibri" w:cs="Calibri"/>
          <w:lang w:eastAsia="hr-HR"/>
        </w:rPr>
        <w:t xml:space="preserve"> ostvarila BDP po stanovniku prema standardu kupovne moći iznad prosjeka EU-28, i to u postotku od 23,6.</w:t>
      </w:r>
      <w:r w:rsidRPr="00E81D2E">
        <w:rPr>
          <w:rFonts w:ascii="Calibri" w:eastAsia="Times New Roman" w:hAnsi="Calibri" w:cs="Calibri"/>
          <w:vertAlign w:val="superscript"/>
          <w:lang w:eastAsia="hr-HR"/>
        </w:rPr>
        <w:footnoteReference w:id="29"/>
      </w:r>
      <w:r w:rsidRPr="00E81D2E">
        <w:rPr>
          <w:rFonts w:ascii="Calibri" w:eastAsia="Times New Roman" w:hAnsi="Calibri" w:cs="Calibri"/>
          <w:lang w:eastAsia="hr-HR"/>
        </w:rPr>
        <w:t xml:space="preserve"> </w:t>
      </w:r>
    </w:p>
    <w:p w14:paraId="15E8B03A" w14:textId="77777777" w:rsidR="00E87AC6" w:rsidRPr="00E81D2E" w:rsidRDefault="00E87AC6" w:rsidP="00E87AC6">
      <w:pPr>
        <w:tabs>
          <w:tab w:val="left" w:pos="-720"/>
        </w:tabs>
        <w:suppressAutoHyphens/>
        <w:spacing w:after="0" w:line="240" w:lineRule="auto"/>
        <w:rPr>
          <w:rFonts w:ascii="Futura Hv AT" w:eastAsia="Times New Roman" w:hAnsi="Futura Hv AT" w:cs="Times New Roman"/>
          <w:b/>
          <w:bCs/>
          <w:sz w:val="28"/>
          <w:szCs w:val="28"/>
          <w:lang w:eastAsia="hr-HR"/>
        </w:rPr>
      </w:pPr>
    </w:p>
    <w:p w14:paraId="1ABD535A" w14:textId="77777777" w:rsidR="00E87AC6" w:rsidRPr="00E81D2E" w:rsidRDefault="00E87AC6" w:rsidP="00E87AC6">
      <w:pPr>
        <w:tabs>
          <w:tab w:val="left" w:pos="-720"/>
        </w:tabs>
        <w:suppressAutoHyphens/>
        <w:spacing w:after="0" w:line="240" w:lineRule="auto"/>
        <w:rPr>
          <w:rFonts w:ascii="Calibri" w:eastAsia="Times New Roman" w:hAnsi="Calibri" w:cs="Calibri"/>
          <w:lang w:eastAsia="hr-HR"/>
        </w:rPr>
      </w:pPr>
      <w:r w:rsidRPr="00E81D2E">
        <w:rPr>
          <w:rFonts w:ascii="Calibri" w:eastAsia="Times New Roman" w:hAnsi="Calibri" w:cs="Calibri"/>
          <w:lang w:eastAsia="hr-HR"/>
        </w:rPr>
        <w:t>O sektorskoj strukturi gospodarstva najbolje govore podaci o strukturi bruto dodane vrijednosti koja se relativno sporo mijenja, premda se u Hrvatskoj posljednjih 20 godina najveće promjene odvijaju u pravcu smanjenja udjela primarnog i sekundarnog sektora, a rasta sektora usluga.</w:t>
      </w:r>
    </w:p>
    <w:p w14:paraId="6C335299" w14:textId="77777777" w:rsidR="00E87AC6" w:rsidRPr="00E81D2E" w:rsidRDefault="00E87AC6" w:rsidP="00E87AC6">
      <w:pPr>
        <w:tabs>
          <w:tab w:val="left" w:pos="-720"/>
        </w:tabs>
        <w:suppressAutoHyphens/>
        <w:spacing w:after="0" w:line="240" w:lineRule="auto"/>
        <w:jc w:val="both"/>
        <w:rPr>
          <w:rFonts w:ascii="Calibri" w:eastAsia="Times New Roman" w:hAnsi="Calibri" w:cs="Calibri"/>
          <w:lang w:eastAsia="hr-HR"/>
        </w:rPr>
      </w:pPr>
    </w:p>
    <w:p w14:paraId="508C3F2A" w14:textId="0705F3C1" w:rsidR="00E87AC6" w:rsidRPr="00E81D2E" w:rsidRDefault="00051B1B" w:rsidP="00E2286C">
      <w:pPr>
        <w:pStyle w:val="Opisslike"/>
        <w:rPr>
          <w:rFonts w:ascii="Calibri" w:hAnsi="Calibri" w:cs="Calibri"/>
          <w:lang w:eastAsia="hr-HR"/>
        </w:rPr>
      </w:pPr>
      <w:r>
        <w:t xml:space="preserve">Tablica </w:t>
      </w:r>
      <w:r w:rsidR="00751C19">
        <w:fldChar w:fldCharType="begin"/>
      </w:r>
      <w:r w:rsidR="00751C19">
        <w:instrText xml:space="preserve"> SEQ Tablica \* ARABIC </w:instrText>
      </w:r>
      <w:r w:rsidR="00751C19">
        <w:fldChar w:fldCharType="separate"/>
      </w:r>
      <w:r w:rsidR="00803E25">
        <w:rPr>
          <w:noProof/>
        </w:rPr>
        <w:t>11</w:t>
      </w:r>
      <w:r w:rsidR="00751C19">
        <w:rPr>
          <w:noProof/>
        </w:rPr>
        <w:fldChar w:fldCharType="end"/>
      </w:r>
      <w:r>
        <w:t xml:space="preserve">. </w:t>
      </w:r>
      <w:r w:rsidRPr="00774DC0">
        <w:t>Struktura bruto dodane vrijednost za Grad Zagreb i Republiku Hrvatsku prema područjima djelatnosti NKD-2007. u 2018.</w:t>
      </w:r>
    </w:p>
    <w:p w14:paraId="2F6012F6" w14:textId="77777777" w:rsidR="00E87AC6" w:rsidRPr="00E81D2E" w:rsidRDefault="00E87AC6" w:rsidP="00E87AC6">
      <w:pPr>
        <w:tabs>
          <w:tab w:val="left" w:pos="-720"/>
        </w:tabs>
        <w:suppressAutoHyphens/>
        <w:spacing w:after="0" w:line="240" w:lineRule="auto"/>
        <w:jc w:val="both"/>
        <w:rPr>
          <w:rFonts w:ascii="Calibri" w:eastAsia="Times New Roman" w:hAnsi="Calibri" w:cs="Calibri"/>
          <w:lang w:eastAsia="hr-HR"/>
        </w:rPr>
      </w:pPr>
      <w:r w:rsidRPr="00E81D2E">
        <w:rPr>
          <w:rFonts w:ascii="Calibri" w:eastAsia="Times New Roman" w:hAnsi="Calibri" w:cs="Calibri"/>
          <w:lang w:eastAsia="hr-HR"/>
        </w:rPr>
        <w:t xml:space="preserve">                                                                                                                                                    Bazične cijene</w:t>
      </w:r>
    </w:p>
    <w:tbl>
      <w:tblPr>
        <w:tblW w:w="9000" w:type="dxa"/>
        <w:tblInd w:w="103"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0A0" w:firstRow="1" w:lastRow="0" w:firstColumn="1" w:lastColumn="0" w:noHBand="0" w:noVBand="0"/>
      </w:tblPr>
      <w:tblGrid>
        <w:gridCol w:w="3244"/>
        <w:gridCol w:w="1259"/>
        <w:gridCol w:w="1259"/>
        <w:gridCol w:w="1079"/>
        <w:gridCol w:w="1259"/>
        <w:gridCol w:w="900"/>
      </w:tblGrid>
      <w:tr w:rsidR="00E87AC6" w:rsidRPr="00E81D2E" w14:paraId="1B229575" w14:textId="77777777" w:rsidTr="004838D7">
        <w:trPr>
          <w:trHeight w:val="255"/>
        </w:trPr>
        <w:tc>
          <w:tcPr>
            <w:tcW w:w="3244" w:type="dxa"/>
            <w:vMerge w:val="restart"/>
            <w:noWrap/>
            <w:vAlign w:val="center"/>
          </w:tcPr>
          <w:p w14:paraId="13C44601"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Područje djelatnosti prema NKD-u 2007.</w:t>
            </w:r>
          </w:p>
        </w:tc>
        <w:tc>
          <w:tcPr>
            <w:tcW w:w="2518" w:type="dxa"/>
            <w:gridSpan w:val="2"/>
            <w:noWrap/>
            <w:vAlign w:val="bottom"/>
          </w:tcPr>
          <w:p w14:paraId="6BBE57A6"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Grad Zagreb</w:t>
            </w:r>
          </w:p>
        </w:tc>
        <w:tc>
          <w:tcPr>
            <w:tcW w:w="2338" w:type="dxa"/>
            <w:gridSpan w:val="2"/>
          </w:tcPr>
          <w:p w14:paraId="0035597E"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Republika Hrvatska</w:t>
            </w:r>
          </w:p>
        </w:tc>
        <w:tc>
          <w:tcPr>
            <w:tcW w:w="900" w:type="dxa"/>
            <w:vMerge w:val="restart"/>
            <w:noWrap/>
            <w:vAlign w:val="bottom"/>
          </w:tcPr>
          <w:p w14:paraId="19B6F6B1"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Udio BDV Grada Zagreba u RH (%)</w:t>
            </w:r>
          </w:p>
        </w:tc>
      </w:tr>
      <w:tr w:rsidR="00E87AC6" w:rsidRPr="00E81D2E" w14:paraId="75B437DC" w14:textId="77777777" w:rsidTr="004838D7">
        <w:trPr>
          <w:trHeight w:val="552"/>
        </w:trPr>
        <w:tc>
          <w:tcPr>
            <w:tcW w:w="3244" w:type="dxa"/>
            <w:vMerge/>
            <w:vAlign w:val="center"/>
          </w:tcPr>
          <w:p w14:paraId="18CC7158" w14:textId="77777777" w:rsidR="00E87AC6" w:rsidRPr="00E81D2E" w:rsidRDefault="00E87AC6" w:rsidP="004838D7">
            <w:pPr>
              <w:spacing w:after="200" w:line="276" w:lineRule="auto"/>
              <w:rPr>
                <w:rFonts w:ascii="Calibri" w:eastAsia="Calibri" w:hAnsi="Calibri" w:cs="Calibri"/>
                <w:sz w:val="20"/>
                <w:szCs w:val="20"/>
              </w:rPr>
            </w:pPr>
          </w:p>
        </w:tc>
        <w:tc>
          <w:tcPr>
            <w:tcW w:w="1259" w:type="dxa"/>
            <w:noWrap/>
            <w:vAlign w:val="center"/>
          </w:tcPr>
          <w:p w14:paraId="7624FFBA"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 xml:space="preserve">BDV, mil, HRK </w:t>
            </w:r>
          </w:p>
        </w:tc>
        <w:tc>
          <w:tcPr>
            <w:tcW w:w="1259" w:type="dxa"/>
            <w:noWrap/>
            <w:vAlign w:val="center"/>
          </w:tcPr>
          <w:p w14:paraId="04737CB5"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struktura (%)</w:t>
            </w:r>
          </w:p>
        </w:tc>
        <w:tc>
          <w:tcPr>
            <w:tcW w:w="1079" w:type="dxa"/>
            <w:vAlign w:val="center"/>
          </w:tcPr>
          <w:p w14:paraId="5D83E23A"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BDV, mil. HRK</w:t>
            </w:r>
          </w:p>
        </w:tc>
        <w:tc>
          <w:tcPr>
            <w:tcW w:w="1259" w:type="dxa"/>
            <w:noWrap/>
            <w:vAlign w:val="center"/>
          </w:tcPr>
          <w:p w14:paraId="278AA6EF" w14:textId="77777777" w:rsidR="00E87AC6" w:rsidRPr="00E81D2E" w:rsidRDefault="00E87AC6" w:rsidP="004838D7">
            <w:pPr>
              <w:spacing w:after="200" w:line="276" w:lineRule="auto"/>
              <w:jc w:val="center"/>
              <w:rPr>
                <w:rFonts w:ascii="Calibri" w:eastAsia="Calibri" w:hAnsi="Calibri" w:cs="Calibri"/>
                <w:b/>
                <w:sz w:val="20"/>
                <w:szCs w:val="20"/>
              </w:rPr>
            </w:pPr>
            <w:r w:rsidRPr="00E81D2E">
              <w:rPr>
                <w:rFonts w:ascii="Calibri" w:eastAsia="Calibri" w:hAnsi="Calibri" w:cs="Calibri"/>
                <w:b/>
                <w:sz w:val="20"/>
                <w:szCs w:val="20"/>
              </w:rPr>
              <w:t>struktura (%)</w:t>
            </w:r>
          </w:p>
        </w:tc>
        <w:tc>
          <w:tcPr>
            <w:tcW w:w="900" w:type="dxa"/>
            <w:vMerge/>
            <w:vAlign w:val="center"/>
          </w:tcPr>
          <w:p w14:paraId="0D32ECD4" w14:textId="77777777" w:rsidR="00E87AC6" w:rsidRPr="00E81D2E" w:rsidRDefault="00E87AC6" w:rsidP="004838D7">
            <w:pPr>
              <w:spacing w:after="200" w:line="276" w:lineRule="auto"/>
              <w:rPr>
                <w:rFonts w:ascii="Calibri" w:eastAsia="Calibri" w:hAnsi="Calibri" w:cs="Calibri"/>
                <w:sz w:val="20"/>
                <w:szCs w:val="20"/>
              </w:rPr>
            </w:pPr>
          </w:p>
        </w:tc>
      </w:tr>
      <w:tr w:rsidR="00E87AC6" w:rsidRPr="00E81D2E" w14:paraId="05130631" w14:textId="77777777" w:rsidTr="004838D7">
        <w:trPr>
          <w:trHeight w:hRule="exact" w:val="539"/>
        </w:trPr>
        <w:tc>
          <w:tcPr>
            <w:tcW w:w="3244" w:type="dxa"/>
            <w:noWrap/>
            <w:vAlign w:val="center"/>
          </w:tcPr>
          <w:p w14:paraId="1DCFF1A1"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A Poljoprivreda, šumarstvo i ribarstvo</w:t>
            </w:r>
          </w:p>
        </w:tc>
        <w:tc>
          <w:tcPr>
            <w:tcW w:w="1259" w:type="dxa"/>
            <w:noWrap/>
            <w:vAlign w:val="center"/>
          </w:tcPr>
          <w:p w14:paraId="4D7566F5"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248</w:t>
            </w:r>
          </w:p>
        </w:tc>
        <w:tc>
          <w:tcPr>
            <w:tcW w:w="1259" w:type="dxa"/>
            <w:noWrap/>
            <w:vAlign w:val="center"/>
          </w:tcPr>
          <w:p w14:paraId="2BFBAB0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0,2</w:t>
            </w:r>
          </w:p>
        </w:tc>
        <w:tc>
          <w:tcPr>
            <w:tcW w:w="1079" w:type="dxa"/>
            <w:vAlign w:val="center"/>
          </w:tcPr>
          <w:p w14:paraId="70DE210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11 550</w:t>
            </w:r>
          </w:p>
        </w:tc>
        <w:tc>
          <w:tcPr>
            <w:tcW w:w="1259" w:type="dxa"/>
            <w:noWrap/>
            <w:vAlign w:val="center"/>
          </w:tcPr>
          <w:p w14:paraId="14A728A6"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3,6</w:t>
            </w:r>
          </w:p>
        </w:tc>
        <w:tc>
          <w:tcPr>
            <w:tcW w:w="900" w:type="dxa"/>
            <w:noWrap/>
            <w:vAlign w:val="center"/>
          </w:tcPr>
          <w:p w14:paraId="6BCF26DE"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2,1</w:t>
            </w:r>
          </w:p>
        </w:tc>
      </w:tr>
      <w:tr w:rsidR="00E87AC6" w:rsidRPr="00E81D2E" w14:paraId="322AECDB" w14:textId="77777777" w:rsidTr="004838D7">
        <w:trPr>
          <w:trHeight w:hRule="exact" w:val="767"/>
        </w:trPr>
        <w:tc>
          <w:tcPr>
            <w:tcW w:w="3244" w:type="dxa"/>
            <w:vMerge w:val="restart"/>
            <w:noWrap/>
            <w:vAlign w:val="center"/>
          </w:tcPr>
          <w:p w14:paraId="45E13CDF"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B,C,D,E  Prerađivačka industrija,  rudarstvo i vađenje te ostale industrije</w:t>
            </w:r>
          </w:p>
          <w:p w14:paraId="6CE92441"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 xml:space="preserve"> od toga:  C Prerađivačka industrija</w:t>
            </w:r>
          </w:p>
        </w:tc>
        <w:tc>
          <w:tcPr>
            <w:tcW w:w="1259" w:type="dxa"/>
            <w:noWrap/>
            <w:vAlign w:val="center"/>
          </w:tcPr>
          <w:p w14:paraId="4720CB5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14 352</w:t>
            </w:r>
          </w:p>
        </w:tc>
        <w:tc>
          <w:tcPr>
            <w:tcW w:w="1259" w:type="dxa"/>
            <w:noWrap/>
            <w:vAlign w:val="center"/>
          </w:tcPr>
          <w:p w14:paraId="5026DBC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13,2</w:t>
            </w:r>
          </w:p>
        </w:tc>
        <w:tc>
          <w:tcPr>
            <w:tcW w:w="1079" w:type="dxa"/>
            <w:vAlign w:val="center"/>
          </w:tcPr>
          <w:p w14:paraId="7DCAE43E"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61 927</w:t>
            </w:r>
          </w:p>
        </w:tc>
        <w:tc>
          <w:tcPr>
            <w:tcW w:w="1259" w:type="dxa"/>
            <w:noWrap/>
            <w:vAlign w:val="center"/>
          </w:tcPr>
          <w:p w14:paraId="6BA31522"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19,6</w:t>
            </w:r>
          </w:p>
        </w:tc>
        <w:tc>
          <w:tcPr>
            <w:tcW w:w="900" w:type="dxa"/>
            <w:noWrap/>
            <w:vAlign w:val="center"/>
          </w:tcPr>
          <w:p w14:paraId="6A6EA7DE"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23,2</w:t>
            </w:r>
          </w:p>
        </w:tc>
      </w:tr>
      <w:tr w:rsidR="00E87AC6" w:rsidRPr="00E81D2E" w14:paraId="54071B5D" w14:textId="77777777" w:rsidTr="004838D7">
        <w:trPr>
          <w:trHeight w:val="585"/>
        </w:trPr>
        <w:tc>
          <w:tcPr>
            <w:tcW w:w="3244" w:type="dxa"/>
            <w:vMerge/>
            <w:noWrap/>
            <w:vAlign w:val="center"/>
          </w:tcPr>
          <w:p w14:paraId="33CD550B" w14:textId="77777777" w:rsidR="00E87AC6" w:rsidRPr="00E81D2E" w:rsidRDefault="00E87AC6" w:rsidP="004838D7">
            <w:pPr>
              <w:spacing w:after="200" w:line="276" w:lineRule="auto"/>
              <w:rPr>
                <w:rFonts w:ascii="Calibri" w:eastAsia="Calibri" w:hAnsi="Calibri" w:cs="Calibri"/>
                <w:sz w:val="20"/>
                <w:szCs w:val="20"/>
              </w:rPr>
            </w:pPr>
          </w:p>
        </w:tc>
        <w:tc>
          <w:tcPr>
            <w:tcW w:w="1259" w:type="dxa"/>
            <w:noWrap/>
            <w:vAlign w:val="center"/>
          </w:tcPr>
          <w:p w14:paraId="67444569"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10 168</w:t>
            </w:r>
          </w:p>
        </w:tc>
        <w:tc>
          <w:tcPr>
            <w:tcW w:w="1259" w:type="dxa"/>
            <w:noWrap/>
            <w:vAlign w:val="center"/>
          </w:tcPr>
          <w:p w14:paraId="4127B2B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9,4</w:t>
            </w:r>
          </w:p>
        </w:tc>
        <w:tc>
          <w:tcPr>
            <w:tcW w:w="1079" w:type="dxa"/>
            <w:vAlign w:val="center"/>
          </w:tcPr>
          <w:p w14:paraId="2B012EE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48 131</w:t>
            </w:r>
          </w:p>
        </w:tc>
        <w:tc>
          <w:tcPr>
            <w:tcW w:w="1259" w:type="dxa"/>
            <w:noWrap/>
            <w:vAlign w:val="center"/>
          </w:tcPr>
          <w:p w14:paraId="6771A591"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15,2</w:t>
            </w:r>
          </w:p>
        </w:tc>
        <w:tc>
          <w:tcPr>
            <w:tcW w:w="900" w:type="dxa"/>
            <w:noWrap/>
            <w:vAlign w:val="center"/>
          </w:tcPr>
          <w:p w14:paraId="0DE98E5C"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21,1</w:t>
            </w:r>
          </w:p>
        </w:tc>
      </w:tr>
      <w:tr w:rsidR="00E87AC6" w:rsidRPr="00E81D2E" w14:paraId="58450895" w14:textId="77777777" w:rsidTr="004838D7">
        <w:trPr>
          <w:trHeight w:val="198"/>
        </w:trPr>
        <w:tc>
          <w:tcPr>
            <w:tcW w:w="3244" w:type="dxa"/>
            <w:noWrap/>
            <w:vAlign w:val="center"/>
          </w:tcPr>
          <w:p w14:paraId="2FB1A49D"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F  Građevinarstvo</w:t>
            </w:r>
          </w:p>
        </w:tc>
        <w:tc>
          <w:tcPr>
            <w:tcW w:w="1259" w:type="dxa"/>
            <w:noWrap/>
            <w:vAlign w:val="center"/>
          </w:tcPr>
          <w:p w14:paraId="4D04EF1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3 026</w:t>
            </w:r>
          </w:p>
        </w:tc>
        <w:tc>
          <w:tcPr>
            <w:tcW w:w="1259" w:type="dxa"/>
            <w:noWrap/>
            <w:vAlign w:val="center"/>
          </w:tcPr>
          <w:p w14:paraId="5155B101"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2,8</w:t>
            </w:r>
          </w:p>
        </w:tc>
        <w:tc>
          <w:tcPr>
            <w:tcW w:w="1079" w:type="dxa"/>
            <w:vAlign w:val="center"/>
          </w:tcPr>
          <w:p w14:paraId="5F74572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17 085</w:t>
            </w:r>
          </w:p>
        </w:tc>
        <w:tc>
          <w:tcPr>
            <w:tcW w:w="1259" w:type="dxa"/>
            <w:noWrap/>
            <w:vAlign w:val="center"/>
          </w:tcPr>
          <w:p w14:paraId="0D40E45E"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5,4</w:t>
            </w:r>
          </w:p>
        </w:tc>
        <w:tc>
          <w:tcPr>
            <w:tcW w:w="900" w:type="dxa"/>
            <w:noWrap/>
            <w:vAlign w:val="center"/>
          </w:tcPr>
          <w:p w14:paraId="0D85922A"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17,7</w:t>
            </w:r>
          </w:p>
        </w:tc>
      </w:tr>
      <w:tr w:rsidR="00E87AC6" w:rsidRPr="00E81D2E" w14:paraId="41630051" w14:textId="77777777" w:rsidTr="004838D7">
        <w:trPr>
          <w:trHeight w:hRule="exact" w:val="851"/>
        </w:trPr>
        <w:tc>
          <w:tcPr>
            <w:tcW w:w="3244" w:type="dxa"/>
            <w:noWrap/>
            <w:vAlign w:val="center"/>
          </w:tcPr>
          <w:p w14:paraId="6B67263A"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 xml:space="preserve">G,H,I Trgovina na veliko i na malo; prijevoz i skladištenje; smještaj,  priprema i usluživanje hrane </w:t>
            </w:r>
          </w:p>
        </w:tc>
        <w:tc>
          <w:tcPr>
            <w:tcW w:w="1259" w:type="dxa"/>
            <w:noWrap/>
            <w:vAlign w:val="center"/>
          </w:tcPr>
          <w:p w14:paraId="6F3260B3"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26 487</w:t>
            </w:r>
          </w:p>
        </w:tc>
        <w:tc>
          <w:tcPr>
            <w:tcW w:w="1259" w:type="dxa"/>
            <w:noWrap/>
            <w:vAlign w:val="center"/>
          </w:tcPr>
          <w:p w14:paraId="7AB4A6F0"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24,4</w:t>
            </w:r>
          </w:p>
        </w:tc>
        <w:tc>
          <w:tcPr>
            <w:tcW w:w="1079" w:type="dxa"/>
            <w:vAlign w:val="center"/>
          </w:tcPr>
          <w:p w14:paraId="7F754563"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74 997</w:t>
            </w:r>
          </w:p>
        </w:tc>
        <w:tc>
          <w:tcPr>
            <w:tcW w:w="1259" w:type="dxa"/>
            <w:noWrap/>
            <w:vAlign w:val="center"/>
          </w:tcPr>
          <w:p w14:paraId="50F3DF13"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23,7</w:t>
            </w:r>
          </w:p>
        </w:tc>
        <w:tc>
          <w:tcPr>
            <w:tcW w:w="900" w:type="dxa"/>
            <w:noWrap/>
            <w:vAlign w:val="center"/>
          </w:tcPr>
          <w:p w14:paraId="36C1BC56"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35,3</w:t>
            </w:r>
          </w:p>
        </w:tc>
      </w:tr>
      <w:tr w:rsidR="00E87AC6" w:rsidRPr="00E81D2E" w14:paraId="3CC312C7" w14:textId="77777777" w:rsidTr="004838D7">
        <w:trPr>
          <w:trHeight w:val="198"/>
        </w:trPr>
        <w:tc>
          <w:tcPr>
            <w:tcW w:w="3244" w:type="dxa"/>
            <w:noWrap/>
            <w:vAlign w:val="center"/>
          </w:tcPr>
          <w:p w14:paraId="0E0FEB6F"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J Informacije i komunikacije</w:t>
            </w:r>
          </w:p>
        </w:tc>
        <w:tc>
          <w:tcPr>
            <w:tcW w:w="1259" w:type="dxa"/>
            <w:noWrap/>
            <w:vAlign w:val="center"/>
          </w:tcPr>
          <w:p w14:paraId="13C7CA28"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11 245</w:t>
            </w:r>
          </w:p>
        </w:tc>
        <w:tc>
          <w:tcPr>
            <w:tcW w:w="1259" w:type="dxa"/>
            <w:noWrap/>
            <w:vAlign w:val="center"/>
          </w:tcPr>
          <w:p w14:paraId="72A32949"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10,4</w:t>
            </w:r>
          </w:p>
        </w:tc>
        <w:tc>
          <w:tcPr>
            <w:tcW w:w="1079" w:type="dxa"/>
            <w:vAlign w:val="center"/>
          </w:tcPr>
          <w:p w14:paraId="7873BDA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15 612</w:t>
            </w:r>
          </w:p>
        </w:tc>
        <w:tc>
          <w:tcPr>
            <w:tcW w:w="1259" w:type="dxa"/>
            <w:noWrap/>
            <w:vAlign w:val="center"/>
          </w:tcPr>
          <w:p w14:paraId="0B40358C"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4,9</w:t>
            </w:r>
          </w:p>
        </w:tc>
        <w:tc>
          <w:tcPr>
            <w:tcW w:w="900" w:type="dxa"/>
            <w:noWrap/>
            <w:vAlign w:val="center"/>
          </w:tcPr>
          <w:p w14:paraId="3952E90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72,0</w:t>
            </w:r>
          </w:p>
        </w:tc>
      </w:tr>
      <w:tr w:rsidR="00E87AC6" w:rsidRPr="00E81D2E" w14:paraId="18DAC2B3" w14:textId="77777777" w:rsidTr="004838D7">
        <w:trPr>
          <w:trHeight w:val="198"/>
        </w:trPr>
        <w:tc>
          <w:tcPr>
            <w:tcW w:w="3244" w:type="dxa"/>
            <w:noWrap/>
            <w:vAlign w:val="center"/>
          </w:tcPr>
          <w:p w14:paraId="22B43695"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K Financijske djelatnosti i djelatnosti osiguranja</w:t>
            </w:r>
          </w:p>
        </w:tc>
        <w:tc>
          <w:tcPr>
            <w:tcW w:w="1259" w:type="dxa"/>
            <w:noWrap/>
            <w:vAlign w:val="center"/>
          </w:tcPr>
          <w:p w14:paraId="769EC73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12 238</w:t>
            </w:r>
          </w:p>
        </w:tc>
        <w:tc>
          <w:tcPr>
            <w:tcW w:w="1259" w:type="dxa"/>
            <w:noWrap/>
            <w:vAlign w:val="center"/>
          </w:tcPr>
          <w:p w14:paraId="444EA2EA"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11,3</w:t>
            </w:r>
          </w:p>
        </w:tc>
        <w:tc>
          <w:tcPr>
            <w:tcW w:w="1079" w:type="dxa"/>
            <w:vAlign w:val="center"/>
          </w:tcPr>
          <w:p w14:paraId="17CCBB8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18 928</w:t>
            </w:r>
          </w:p>
        </w:tc>
        <w:tc>
          <w:tcPr>
            <w:tcW w:w="1259" w:type="dxa"/>
            <w:noWrap/>
            <w:vAlign w:val="center"/>
          </w:tcPr>
          <w:p w14:paraId="24441A8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6,0</w:t>
            </w:r>
          </w:p>
        </w:tc>
        <w:tc>
          <w:tcPr>
            <w:tcW w:w="900" w:type="dxa"/>
            <w:noWrap/>
            <w:vAlign w:val="center"/>
          </w:tcPr>
          <w:p w14:paraId="63BB05C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64,7</w:t>
            </w:r>
          </w:p>
        </w:tc>
      </w:tr>
      <w:tr w:rsidR="00E87AC6" w:rsidRPr="00E81D2E" w14:paraId="0172E615" w14:textId="77777777" w:rsidTr="004838D7">
        <w:trPr>
          <w:trHeight w:val="198"/>
        </w:trPr>
        <w:tc>
          <w:tcPr>
            <w:tcW w:w="3244" w:type="dxa"/>
            <w:noWrap/>
            <w:vAlign w:val="center"/>
          </w:tcPr>
          <w:p w14:paraId="1B6C011B"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L Poslovanje nekretninama</w:t>
            </w:r>
          </w:p>
        </w:tc>
        <w:tc>
          <w:tcPr>
            <w:tcW w:w="1259" w:type="dxa"/>
            <w:noWrap/>
            <w:vAlign w:val="center"/>
          </w:tcPr>
          <w:p w14:paraId="19732581"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5 750</w:t>
            </w:r>
          </w:p>
        </w:tc>
        <w:tc>
          <w:tcPr>
            <w:tcW w:w="1259" w:type="dxa"/>
            <w:noWrap/>
            <w:vAlign w:val="center"/>
          </w:tcPr>
          <w:p w14:paraId="71727E48"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5,3</w:t>
            </w:r>
          </w:p>
        </w:tc>
        <w:tc>
          <w:tcPr>
            <w:tcW w:w="1079" w:type="dxa"/>
            <w:vAlign w:val="center"/>
          </w:tcPr>
          <w:p w14:paraId="506387BE"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28 878</w:t>
            </w:r>
          </w:p>
        </w:tc>
        <w:tc>
          <w:tcPr>
            <w:tcW w:w="1259" w:type="dxa"/>
            <w:noWrap/>
            <w:vAlign w:val="center"/>
          </w:tcPr>
          <w:p w14:paraId="155B59F8"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9,1</w:t>
            </w:r>
          </w:p>
        </w:tc>
        <w:tc>
          <w:tcPr>
            <w:tcW w:w="900" w:type="dxa"/>
            <w:noWrap/>
            <w:vAlign w:val="center"/>
          </w:tcPr>
          <w:p w14:paraId="6C973FAE"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19,9</w:t>
            </w:r>
          </w:p>
        </w:tc>
      </w:tr>
      <w:tr w:rsidR="00E87AC6" w:rsidRPr="00E81D2E" w14:paraId="6C3BE442" w14:textId="77777777" w:rsidTr="004838D7">
        <w:trPr>
          <w:trHeight w:hRule="exact" w:val="851"/>
        </w:trPr>
        <w:tc>
          <w:tcPr>
            <w:tcW w:w="3244" w:type="dxa"/>
            <w:noWrap/>
            <w:vAlign w:val="center"/>
          </w:tcPr>
          <w:p w14:paraId="2FF16E73"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 xml:space="preserve">M,N Stručne, znanstvene, tehničke, administrativne i pomoćne uslužne djelatnosti </w:t>
            </w:r>
          </w:p>
        </w:tc>
        <w:tc>
          <w:tcPr>
            <w:tcW w:w="1259" w:type="dxa"/>
            <w:noWrap/>
            <w:vAlign w:val="center"/>
          </w:tcPr>
          <w:p w14:paraId="5C26FBCE"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14 057</w:t>
            </w:r>
          </w:p>
        </w:tc>
        <w:tc>
          <w:tcPr>
            <w:tcW w:w="1259" w:type="dxa"/>
            <w:noWrap/>
            <w:vAlign w:val="center"/>
          </w:tcPr>
          <w:p w14:paraId="5E9704DC"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12,9</w:t>
            </w:r>
          </w:p>
        </w:tc>
        <w:tc>
          <w:tcPr>
            <w:tcW w:w="1079" w:type="dxa"/>
            <w:vAlign w:val="center"/>
          </w:tcPr>
          <w:p w14:paraId="62A2472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26 047</w:t>
            </w:r>
          </w:p>
        </w:tc>
        <w:tc>
          <w:tcPr>
            <w:tcW w:w="1259" w:type="dxa"/>
            <w:noWrap/>
            <w:vAlign w:val="center"/>
          </w:tcPr>
          <w:p w14:paraId="0691B90F"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8,2</w:t>
            </w:r>
          </w:p>
        </w:tc>
        <w:tc>
          <w:tcPr>
            <w:tcW w:w="900" w:type="dxa"/>
            <w:noWrap/>
            <w:vAlign w:val="center"/>
          </w:tcPr>
          <w:p w14:paraId="1F7525E7"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54,0</w:t>
            </w:r>
          </w:p>
        </w:tc>
      </w:tr>
      <w:tr w:rsidR="00E87AC6" w:rsidRPr="00E81D2E" w14:paraId="12148BA4" w14:textId="77777777" w:rsidTr="004838D7">
        <w:trPr>
          <w:trHeight w:hRule="exact" w:val="851"/>
        </w:trPr>
        <w:tc>
          <w:tcPr>
            <w:tcW w:w="3244" w:type="dxa"/>
            <w:noWrap/>
            <w:vAlign w:val="center"/>
          </w:tcPr>
          <w:p w14:paraId="50B0B3E8"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O,P,Q Javna uprava i obrana, obrazovanje, djelatnosti zdravstvene zaštite i socijalne skrbi</w:t>
            </w:r>
          </w:p>
        </w:tc>
        <w:tc>
          <w:tcPr>
            <w:tcW w:w="1259" w:type="dxa"/>
            <w:noWrap/>
            <w:vAlign w:val="center"/>
          </w:tcPr>
          <w:p w14:paraId="25F2B5E8"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16 110</w:t>
            </w:r>
          </w:p>
        </w:tc>
        <w:tc>
          <w:tcPr>
            <w:tcW w:w="1259" w:type="dxa"/>
            <w:noWrap/>
            <w:vAlign w:val="center"/>
          </w:tcPr>
          <w:p w14:paraId="6B394AF6"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14,8</w:t>
            </w:r>
          </w:p>
        </w:tc>
        <w:tc>
          <w:tcPr>
            <w:tcW w:w="1079" w:type="dxa"/>
            <w:vAlign w:val="center"/>
          </w:tcPr>
          <w:p w14:paraId="0FFDBCBA"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49 423</w:t>
            </w:r>
          </w:p>
        </w:tc>
        <w:tc>
          <w:tcPr>
            <w:tcW w:w="1259" w:type="dxa"/>
            <w:noWrap/>
            <w:vAlign w:val="center"/>
          </w:tcPr>
          <w:p w14:paraId="143DDAB4"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15,6</w:t>
            </w:r>
          </w:p>
        </w:tc>
        <w:tc>
          <w:tcPr>
            <w:tcW w:w="900" w:type="dxa"/>
            <w:noWrap/>
            <w:vAlign w:val="center"/>
          </w:tcPr>
          <w:p w14:paraId="23FBE889"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32,6</w:t>
            </w:r>
          </w:p>
        </w:tc>
      </w:tr>
      <w:tr w:rsidR="00E87AC6" w:rsidRPr="00E81D2E" w14:paraId="3780C9B4" w14:textId="77777777" w:rsidTr="004838D7">
        <w:trPr>
          <w:trHeight w:val="198"/>
        </w:trPr>
        <w:tc>
          <w:tcPr>
            <w:tcW w:w="3244" w:type="dxa"/>
            <w:noWrap/>
            <w:vAlign w:val="center"/>
          </w:tcPr>
          <w:p w14:paraId="393DCB13" w14:textId="77777777" w:rsidR="00E87AC6" w:rsidRPr="00E81D2E" w:rsidRDefault="00E87AC6" w:rsidP="004838D7">
            <w:pPr>
              <w:spacing w:after="200" w:line="276" w:lineRule="auto"/>
              <w:rPr>
                <w:rFonts w:ascii="Calibri" w:eastAsia="Calibri" w:hAnsi="Calibri" w:cs="Calibri"/>
                <w:sz w:val="20"/>
                <w:szCs w:val="20"/>
              </w:rPr>
            </w:pPr>
            <w:r w:rsidRPr="00E81D2E">
              <w:rPr>
                <w:rFonts w:ascii="Calibri" w:eastAsia="Calibri" w:hAnsi="Calibri" w:cs="Calibri"/>
                <w:sz w:val="20"/>
                <w:szCs w:val="20"/>
              </w:rPr>
              <w:t>R,S,T,U Ostale uslužne djelatnosti</w:t>
            </w:r>
          </w:p>
        </w:tc>
        <w:tc>
          <w:tcPr>
            <w:tcW w:w="1259" w:type="dxa"/>
            <w:noWrap/>
            <w:vAlign w:val="center"/>
          </w:tcPr>
          <w:p w14:paraId="12A47019"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5 035</w:t>
            </w:r>
          </w:p>
        </w:tc>
        <w:tc>
          <w:tcPr>
            <w:tcW w:w="1259" w:type="dxa"/>
            <w:noWrap/>
            <w:vAlign w:val="center"/>
          </w:tcPr>
          <w:p w14:paraId="496D1A8A"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4,6</w:t>
            </w:r>
          </w:p>
        </w:tc>
        <w:tc>
          <w:tcPr>
            <w:tcW w:w="1079" w:type="dxa"/>
            <w:vAlign w:val="center"/>
          </w:tcPr>
          <w:p w14:paraId="79A00775"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12 234</w:t>
            </w:r>
          </w:p>
        </w:tc>
        <w:tc>
          <w:tcPr>
            <w:tcW w:w="1259" w:type="dxa"/>
            <w:noWrap/>
            <w:vAlign w:val="center"/>
          </w:tcPr>
          <w:p w14:paraId="0B4AFFDB"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3,9</w:t>
            </w:r>
          </w:p>
        </w:tc>
        <w:tc>
          <w:tcPr>
            <w:tcW w:w="900" w:type="dxa"/>
            <w:noWrap/>
            <w:vAlign w:val="center"/>
          </w:tcPr>
          <w:p w14:paraId="57461AD9"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41,2</w:t>
            </w:r>
          </w:p>
        </w:tc>
      </w:tr>
      <w:tr w:rsidR="00E87AC6" w:rsidRPr="00E81D2E" w14:paraId="2D49D6F1" w14:textId="77777777" w:rsidTr="004838D7">
        <w:trPr>
          <w:trHeight w:val="198"/>
        </w:trPr>
        <w:tc>
          <w:tcPr>
            <w:tcW w:w="3244" w:type="dxa"/>
            <w:noWrap/>
            <w:vAlign w:val="center"/>
          </w:tcPr>
          <w:p w14:paraId="62C6D42F" w14:textId="77777777" w:rsidR="00E87AC6" w:rsidRPr="00E81D2E" w:rsidRDefault="00E87AC6" w:rsidP="004838D7">
            <w:pPr>
              <w:spacing w:after="200" w:line="276" w:lineRule="auto"/>
              <w:rPr>
                <w:rFonts w:ascii="Calibri" w:eastAsia="Calibri" w:hAnsi="Calibri" w:cs="Calibri"/>
                <w:b/>
                <w:sz w:val="20"/>
                <w:szCs w:val="20"/>
              </w:rPr>
            </w:pPr>
            <w:r w:rsidRPr="00E81D2E">
              <w:rPr>
                <w:rFonts w:ascii="Calibri" w:eastAsia="Calibri" w:hAnsi="Calibri" w:cs="Calibri"/>
                <w:b/>
                <w:sz w:val="20"/>
                <w:szCs w:val="20"/>
              </w:rPr>
              <w:t>Ukupno BDV</w:t>
            </w:r>
          </w:p>
        </w:tc>
        <w:tc>
          <w:tcPr>
            <w:tcW w:w="1259" w:type="dxa"/>
            <w:noWrap/>
            <w:vAlign w:val="center"/>
          </w:tcPr>
          <w:p w14:paraId="00C6E818"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108 546</w:t>
            </w:r>
          </w:p>
        </w:tc>
        <w:tc>
          <w:tcPr>
            <w:tcW w:w="1259" w:type="dxa"/>
            <w:noWrap/>
            <w:vAlign w:val="center"/>
          </w:tcPr>
          <w:p w14:paraId="69C28C1A"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100,0</w:t>
            </w:r>
          </w:p>
        </w:tc>
        <w:tc>
          <w:tcPr>
            <w:tcW w:w="1079" w:type="dxa"/>
            <w:vAlign w:val="center"/>
          </w:tcPr>
          <w:p w14:paraId="6785A1CD"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316 681</w:t>
            </w:r>
          </w:p>
        </w:tc>
        <w:tc>
          <w:tcPr>
            <w:tcW w:w="1259" w:type="dxa"/>
            <w:noWrap/>
            <w:vAlign w:val="center"/>
          </w:tcPr>
          <w:p w14:paraId="0C9D3168"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100,0</w:t>
            </w:r>
          </w:p>
        </w:tc>
        <w:tc>
          <w:tcPr>
            <w:tcW w:w="900" w:type="dxa"/>
            <w:noWrap/>
            <w:vAlign w:val="center"/>
          </w:tcPr>
          <w:p w14:paraId="057D26E5" w14:textId="77777777" w:rsidR="00E87AC6" w:rsidRPr="00E81D2E" w:rsidRDefault="00E87AC6" w:rsidP="004838D7">
            <w:pPr>
              <w:spacing w:after="200" w:line="276" w:lineRule="auto"/>
              <w:jc w:val="center"/>
              <w:rPr>
                <w:rFonts w:ascii="Calibri" w:eastAsia="Calibri" w:hAnsi="Calibri" w:cs="Times New Roman"/>
                <w:sz w:val="20"/>
                <w:szCs w:val="20"/>
              </w:rPr>
            </w:pPr>
            <w:r w:rsidRPr="00E81D2E">
              <w:rPr>
                <w:rFonts w:ascii="Calibri" w:eastAsia="Calibri" w:hAnsi="Calibri" w:cs="Times New Roman"/>
                <w:sz w:val="20"/>
                <w:szCs w:val="20"/>
              </w:rPr>
              <w:t>34,3</w:t>
            </w:r>
          </w:p>
        </w:tc>
      </w:tr>
    </w:tbl>
    <w:p w14:paraId="04C7946D" w14:textId="77777777" w:rsidR="00E87AC6" w:rsidRPr="00E81D2E" w:rsidRDefault="00E87AC6" w:rsidP="00E87AC6">
      <w:pPr>
        <w:tabs>
          <w:tab w:val="left" w:pos="-720"/>
        </w:tabs>
        <w:suppressAutoHyphens/>
        <w:spacing w:after="0" w:line="240" w:lineRule="auto"/>
        <w:jc w:val="both"/>
        <w:rPr>
          <w:rFonts w:ascii="Calibri" w:eastAsia="Times New Roman" w:hAnsi="Calibri" w:cs="Calibri"/>
          <w:sz w:val="18"/>
          <w:szCs w:val="18"/>
          <w:lang w:eastAsia="hr-HR"/>
        </w:rPr>
      </w:pPr>
    </w:p>
    <w:p w14:paraId="7795C7E6" w14:textId="77777777" w:rsidR="00E87AC6" w:rsidRPr="00E81D2E" w:rsidRDefault="00E87AC6" w:rsidP="00E87AC6">
      <w:pPr>
        <w:tabs>
          <w:tab w:val="left" w:pos="-720"/>
        </w:tabs>
        <w:suppressAutoHyphens/>
        <w:spacing w:after="0" w:line="240" w:lineRule="auto"/>
        <w:jc w:val="both"/>
        <w:rPr>
          <w:rFonts w:ascii="Calibri" w:eastAsia="Times New Roman" w:hAnsi="Calibri" w:cs="Calibri"/>
          <w:sz w:val="18"/>
          <w:szCs w:val="18"/>
          <w:lang w:eastAsia="hr-HR"/>
        </w:rPr>
      </w:pPr>
      <w:r w:rsidRPr="00E81D2E">
        <w:rPr>
          <w:rFonts w:ascii="Calibri" w:eastAsia="Times New Roman" w:hAnsi="Calibri" w:cs="Calibri"/>
          <w:sz w:val="18"/>
          <w:szCs w:val="18"/>
          <w:lang w:eastAsia="hr-HR"/>
        </w:rPr>
        <w:t xml:space="preserve">Izvor: DZS; obrada: GUSPRG - Odjel za statističke i analitičke poslove </w:t>
      </w:r>
    </w:p>
    <w:p w14:paraId="4822CC7F" w14:textId="77777777" w:rsidR="00E87AC6" w:rsidRPr="00E81D2E" w:rsidRDefault="00E87AC6" w:rsidP="00E87AC6">
      <w:pPr>
        <w:tabs>
          <w:tab w:val="left" w:pos="-720"/>
        </w:tabs>
        <w:suppressAutoHyphens/>
        <w:spacing w:after="0" w:line="240" w:lineRule="auto"/>
        <w:jc w:val="both"/>
        <w:rPr>
          <w:rFonts w:ascii="Calibri" w:eastAsia="Times New Roman" w:hAnsi="Calibri" w:cs="Calibri"/>
          <w:lang w:eastAsia="hr-HR"/>
        </w:rPr>
      </w:pPr>
    </w:p>
    <w:p w14:paraId="7A0C0D68" w14:textId="77777777" w:rsidR="00E87AC6" w:rsidRDefault="00E87AC6" w:rsidP="00E87AC6">
      <w:pPr>
        <w:spacing w:after="200" w:line="240" w:lineRule="auto"/>
        <w:jc w:val="both"/>
        <w:rPr>
          <w:rFonts w:ascii="Calibri" w:eastAsia="Times New Roman" w:hAnsi="Calibri" w:cs="Calibri"/>
          <w:lang w:eastAsia="hr-HR"/>
        </w:rPr>
      </w:pPr>
      <w:bookmarkStart w:id="63" w:name="_Hlk68600376"/>
      <w:r>
        <w:rPr>
          <w:rFonts w:ascii="Calibri" w:eastAsia="Calibri" w:hAnsi="Calibri" w:cs="Calibri"/>
        </w:rPr>
        <w:t xml:space="preserve">Prema podacima iz </w:t>
      </w:r>
      <w:r w:rsidRPr="00E81D2E">
        <w:rPr>
          <w:rFonts w:ascii="Calibri" w:eastAsia="Calibri" w:hAnsi="Calibri" w:cs="Calibri"/>
        </w:rPr>
        <w:t>2018.</w:t>
      </w:r>
      <w:r>
        <w:rPr>
          <w:rFonts w:ascii="Calibri" w:eastAsia="Calibri" w:hAnsi="Calibri" w:cs="Calibri"/>
        </w:rPr>
        <w:t xml:space="preserve">godine, </w:t>
      </w:r>
      <w:r w:rsidRPr="00E81D2E">
        <w:rPr>
          <w:rFonts w:ascii="Calibri" w:eastAsia="Calibri" w:hAnsi="Calibri" w:cs="Calibri"/>
        </w:rPr>
        <w:t xml:space="preserve"> u strukturi stvaranja bruto dodane vrijednosti </w:t>
      </w:r>
      <w:r>
        <w:rPr>
          <w:rFonts w:ascii="Calibri" w:eastAsia="Calibri" w:hAnsi="Calibri" w:cs="Calibri"/>
        </w:rPr>
        <w:t xml:space="preserve">( BDV) </w:t>
      </w:r>
      <w:r w:rsidRPr="00E81D2E">
        <w:rPr>
          <w:rFonts w:ascii="Calibri" w:eastAsia="Calibri" w:hAnsi="Calibri" w:cs="Calibri"/>
        </w:rPr>
        <w:t xml:space="preserve">u Gradu Zagrebu na prvom je mjestu </w:t>
      </w:r>
      <w:r w:rsidRPr="00BB4675">
        <w:rPr>
          <w:rFonts w:ascii="Calibri" w:eastAsia="Calibri" w:hAnsi="Calibri" w:cs="Calibri"/>
        </w:rPr>
        <w:t xml:space="preserve">djelatnost </w:t>
      </w:r>
      <w:r w:rsidRPr="00E81D2E">
        <w:rPr>
          <w:rFonts w:ascii="Calibri" w:eastAsia="Calibri" w:hAnsi="Calibri" w:cs="Calibri"/>
        </w:rPr>
        <w:t>trgovina na veliko i na malo; prijevoz i skladištenje; smještaj, priprema i usluživanje hrane s udjelom od 24,4%. Slijedi javna uprava i obrana, obrazovanje, djelatnosti zdravstvene zaštite i socijalne skrbi s udjelom od 14,8%. Udio prerađivačke industrije  je u padu, iznosio je 13,9% u 2008., 10,6% u 2014. te 9,4% u 2018. godini. U strukturi BDV</w:t>
      </w:r>
      <w:r>
        <w:rPr>
          <w:rFonts w:ascii="Calibri" w:eastAsia="Calibri" w:hAnsi="Calibri" w:cs="Calibri"/>
        </w:rPr>
        <w:t>-</w:t>
      </w:r>
      <w:r w:rsidRPr="00E81D2E">
        <w:rPr>
          <w:rFonts w:ascii="Calibri" w:eastAsia="Calibri" w:hAnsi="Calibri" w:cs="Calibri"/>
        </w:rPr>
        <w:t>a gospodarskih djelatnosti na razini Hrvatske, Grad Zagreb ima izrazito visoki udjel u djelatnostima: informacije i komunikacije (72%), financijskom sektoru (64,7%), te stručnim, znanstvenim, tehničkim, administrativnim i ostalim uslužnim djelatnostima (54,0%) dok je najman</w:t>
      </w:r>
      <w:r>
        <w:rPr>
          <w:rFonts w:ascii="Calibri" w:eastAsia="Calibri" w:hAnsi="Calibri" w:cs="Calibri"/>
        </w:rPr>
        <w:t>j</w:t>
      </w:r>
      <w:r w:rsidRPr="00E81D2E">
        <w:rPr>
          <w:rFonts w:ascii="Calibri" w:eastAsia="Calibri" w:hAnsi="Calibri" w:cs="Calibri"/>
        </w:rPr>
        <w:t xml:space="preserve">i udio u djelatnostima poljoprivreda, šumarstvo i ribarstvo (2,1%). </w:t>
      </w:r>
      <w:r w:rsidRPr="00E81D2E">
        <w:rPr>
          <w:rFonts w:ascii="Calibri" w:eastAsia="Times New Roman" w:hAnsi="Calibri" w:cs="Calibri"/>
          <w:lang w:eastAsia="hr-HR"/>
        </w:rPr>
        <w:t>Evidentan je nastavak trenda  ranije započetih strukturnih promjena u gospodarstvu Grada Zagreba u pravcu daljnjeg opadanja udjela industrije i građevinarstva</w:t>
      </w:r>
      <w:r>
        <w:rPr>
          <w:rFonts w:ascii="Calibri" w:eastAsia="Times New Roman" w:hAnsi="Calibri" w:cs="Calibri"/>
          <w:lang w:eastAsia="hr-HR"/>
        </w:rPr>
        <w:t>,</w:t>
      </w:r>
      <w:r w:rsidRPr="00E81D2E">
        <w:rPr>
          <w:rFonts w:ascii="Calibri" w:eastAsia="Times New Roman" w:hAnsi="Calibri" w:cs="Calibri"/>
          <w:lang w:eastAsia="hr-HR"/>
        </w:rPr>
        <w:t xml:space="preserve">  posebno od krize 2008.</w:t>
      </w:r>
      <w:r>
        <w:rPr>
          <w:rFonts w:ascii="Calibri" w:eastAsia="Times New Roman" w:hAnsi="Calibri" w:cs="Calibri"/>
          <w:lang w:eastAsia="hr-HR"/>
        </w:rPr>
        <w:t>godine</w:t>
      </w:r>
      <w:r w:rsidRPr="00E81D2E">
        <w:rPr>
          <w:rFonts w:ascii="Calibri" w:eastAsia="Times New Roman" w:hAnsi="Calibri" w:cs="Calibri"/>
          <w:lang w:eastAsia="hr-HR"/>
        </w:rPr>
        <w:t xml:space="preserve"> a porast</w:t>
      </w:r>
      <w:r>
        <w:rPr>
          <w:rFonts w:ascii="Calibri" w:eastAsia="Times New Roman" w:hAnsi="Calibri" w:cs="Calibri"/>
          <w:lang w:eastAsia="hr-HR"/>
        </w:rPr>
        <w:t>a</w:t>
      </w:r>
      <w:r w:rsidRPr="00E81D2E">
        <w:rPr>
          <w:rFonts w:ascii="Calibri" w:eastAsia="Times New Roman" w:hAnsi="Calibri" w:cs="Calibri"/>
          <w:lang w:eastAsia="hr-HR"/>
        </w:rPr>
        <w:t xml:space="preserve"> udjela trgovine, financijskih djelatnosti, informacija i komunikacija, poslovanja nekretninama, stručnih, znanstvenih i drugih uslužnih djelatnosti. </w:t>
      </w:r>
    </w:p>
    <w:p w14:paraId="3B6B56DA" w14:textId="77777777" w:rsidR="00E87AC6" w:rsidRDefault="00E87AC6" w:rsidP="00E87AC6">
      <w:pPr>
        <w:spacing w:after="200" w:line="240" w:lineRule="auto"/>
        <w:jc w:val="both"/>
        <w:rPr>
          <w:rFonts w:ascii="Calibri" w:eastAsia="Times New Roman" w:hAnsi="Calibri" w:cs="Calibri"/>
          <w:lang w:eastAsia="hr-HR"/>
        </w:rPr>
      </w:pPr>
      <w:r w:rsidRPr="00ED1BCF">
        <w:rPr>
          <w:rFonts w:ascii="Calibri" w:eastAsia="Times New Roman" w:hAnsi="Calibri" w:cs="Calibri"/>
          <w:lang w:eastAsia="hr-HR"/>
        </w:rPr>
        <w:t>Razvojnom prednošću Grada Zagreba smatra se</w:t>
      </w:r>
      <w:r>
        <w:rPr>
          <w:rFonts w:ascii="Calibri" w:eastAsia="Times New Roman" w:hAnsi="Calibri" w:cs="Calibri"/>
          <w:lang w:eastAsia="hr-HR"/>
        </w:rPr>
        <w:t>, između ostalog,</w:t>
      </w:r>
      <w:r w:rsidRPr="00ED1BCF">
        <w:rPr>
          <w:rFonts w:ascii="Calibri" w:eastAsia="Times New Roman" w:hAnsi="Calibri" w:cs="Calibri"/>
          <w:lang w:eastAsia="hr-HR"/>
        </w:rPr>
        <w:t xml:space="preserve"> </w:t>
      </w:r>
      <w:r>
        <w:rPr>
          <w:rFonts w:ascii="Calibri" w:eastAsia="Times New Roman" w:hAnsi="Calibri" w:cs="Calibri"/>
          <w:lang w:eastAsia="hr-HR"/>
        </w:rPr>
        <w:t xml:space="preserve">veliki </w:t>
      </w:r>
      <w:r w:rsidRPr="00ED1BCF">
        <w:rPr>
          <w:rFonts w:ascii="Calibri" w:eastAsia="Times New Roman" w:hAnsi="Calibri" w:cs="Calibri"/>
          <w:lang w:eastAsia="hr-HR"/>
        </w:rPr>
        <w:t>udio visokoobrazov</w:t>
      </w:r>
      <w:r>
        <w:rPr>
          <w:rFonts w:ascii="Calibri" w:eastAsia="Times New Roman" w:hAnsi="Calibri" w:cs="Calibri"/>
          <w:lang w:eastAsia="hr-HR"/>
        </w:rPr>
        <w:t>anih</w:t>
      </w:r>
      <w:r w:rsidRPr="00ED1BCF">
        <w:rPr>
          <w:rFonts w:ascii="Calibri" w:eastAsia="Times New Roman" w:hAnsi="Calibri" w:cs="Calibri"/>
          <w:lang w:eastAsia="hr-HR"/>
        </w:rPr>
        <w:t xml:space="preserve"> u ukupnom stanovništvu</w:t>
      </w:r>
      <w:r>
        <w:rPr>
          <w:rFonts w:ascii="Calibri" w:eastAsia="Times New Roman" w:hAnsi="Calibri" w:cs="Calibri"/>
          <w:lang w:eastAsia="hr-HR"/>
        </w:rPr>
        <w:t xml:space="preserve">, posebice stoga što </w:t>
      </w:r>
      <w:r w:rsidRPr="002B57A0">
        <w:rPr>
          <w:rFonts w:ascii="Calibri" w:eastAsia="Times New Roman" w:hAnsi="Calibri" w:cs="Calibri"/>
          <w:lang w:eastAsia="hr-HR"/>
        </w:rPr>
        <w:t xml:space="preserve">djelatnosti temeljene na znanju </w:t>
      </w:r>
      <w:r>
        <w:rPr>
          <w:rFonts w:ascii="Calibri" w:eastAsia="Times New Roman" w:hAnsi="Calibri" w:cs="Calibri"/>
          <w:lang w:eastAsia="hr-HR"/>
        </w:rPr>
        <w:t xml:space="preserve">imaju </w:t>
      </w:r>
      <w:r w:rsidRPr="002B57A0">
        <w:rPr>
          <w:rFonts w:ascii="Calibri" w:eastAsia="Times New Roman" w:hAnsi="Calibri" w:cs="Calibri"/>
          <w:lang w:eastAsia="hr-HR"/>
        </w:rPr>
        <w:t xml:space="preserve">ključnu ulogu </w:t>
      </w:r>
      <w:r w:rsidRPr="00ED1BCF">
        <w:rPr>
          <w:rFonts w:ascii="Calibri" w:eastAsia="Times New Roman" w:hAnsi="Calibri" w:cs="Calibri"/>
          <w:lang w:eastAsia="hr-HR"/>
        </w:rPr>
        <w:t xml:space="preserve">za razvoj </w:t>
      </w:r>
      <w:r w:rsidRPr="006818BD">
        <w:rPr>
          <w:rFonts w:ascii="Calibri" w:eastAsia="Times New Roman" w:hAnsi="Calibri" w:cs="Calibri"/>
          <w:lang w:eastAsia="hr-HR"/>
        </w:rPr>
        <w:t>gospodarstva. Na dan 30. lipnja 2020. godine u Gradu Zagrebu aktivno je bilo 13.897 pravnih osoba čija djelatnost je temeljena na znanju</w:t>
      </w:r>
      <w:r>
        <w:rPr>
          <w:rStyle w:val="Referencafusnote"/>
          <w:rFonts w:eastAsia="Times New Roman" w:cs="Calibri"/>
          <w:lang w:eastAsia="hr-HR"/>
        </w:rPr>
        <w:footnoteReference w:id="30"/>
      </w:r>
      <w:r w:rsidRPr="006818BD">
        <w:rPr>
          <w:rFonts w:ascii="Calibri" w:eastAsia="Times New Roman" w:hAnsi="Calibri" w:cs="Calibri"/>
          <w:lang w:eastAsia="hr-HR"/>
        </w:rPr>
        <w:t xml:space="preserve"> (stručne, znanstvene, i tehničke djelatnosti) što je u odnosu na 2016. </w:t>
      </w:r>
      <w:r>
        <w:rPr>
          <w:rFonts w:ascii="Calibri" w:eastAsia="Times New Roman" w:hAnsi="Calibri" w:cs="Calibri"/>
          <w:lang w:eastAsia="hr-HR"/>
        </w:rPr>
        <w:t xml:space="preserve">kada je taj broj iznosio 8.599 </w:t>
      </w:r>
      <w:r w:rsidRPr="006818BD">
        <w:rPr>
          <w:rFonts w:ascii="Calibri" w:eastAsia="Times New Roman" w:hAnsi="Calibri" w:cs="Calibri"/>
          <w:lang w:eastAsia="hr-HR"/>
        </w:rPr>
        <w:t xml:space="preserve">porast za 5.298.  Značenje Grada Zagreba kao znanstveno-tehnološkog središta </w:t>
      </w:r>
      <w:r>
        <w:rPr>
          <w:rFonts w:ascii="Calibri" w:eastAsia="Times New Roman" w:hAnsi="Calibri" w:cs="Calibri"/>
          <w:lang w:eastAsia="hr-HR"/>
        </w:rPr>
        <w:t xml:space="preserve">također </w:t>
      </w:r>
      <w:r w:rsidRPr="006818BD">
        <w:rPr>
          <w:rFonts w:ascii="Calibri" w:eastAsia="Times New Roman" w:hAnsi="Calibri" w:cs="Calibri"/>
          <w:lang w:eastAsia="hr-HR"/>
        </w:rPr>
        <w:t xml:space="preserve">oslikava podatak da je od ukupnog broja zahtjeva za zaštitu patenata podnesenih Državnom zavodu za intelektualno vlasništvo </w:t>
      </w:r>
      <w:r>
        <w:rPr>
          <w:rFonts w:ascii="Calibri" w:eastAsia="Times New Roman" w:hAnsi="Calibri" w:cs="Calibri"/>
          <w:lang w:eastAsia="hr-HR"/>
        </w:rPr>
        <w:t xml:space="preserve">u 2019. godini gotovo </w:t>
      </w:r>
      <w:r w:rsidRPr="006818BD">
        <w:rPr>
          <w:rFonts w:ascii="Calibri" w:eastAsia="Times New Roman" w:hAnsi="Calibri" w:cs="Calibri"/>
          <w:lang w:eastAsia="hr-HR"/>
        </w:rPr>
        <w:t xml:space="preserve">polovica </w:t>
      </w:r>
      <w:r>
        <w:rPr>
          <w:rFonts w:ascii="Calibri" w:eastAsia="Times New Roman" w:hAnsi="Calibri" w:cs="Calibri"/>
          <w:lang w:eastAsia="hr-HR"/>
        </w:rPr>
        <w:t xml:space="preserve">(46%) </w:t>
      </w:r>
      <w:r w:rsidRPr="006818BD">
        <w:rPr>
          <w:rFonts w:ascii="Calibri" w:eastAsia="Times New Roman" w:hAnsi="Calibri" w:cs="Calibri"/>
          <w:lang w:eastAsia="hr-HR"/>
        </w:rPr>
        <w:t>prijavljena s područja Grada Zagreba i Zagrebačke županije. Sa zagrebačkog područja također je oko polovina ukupno priznatih patenata na području RH.</w:t>
      </w:r>
      <w:r>
        <w:rPr>
          <w:rFonts w:ascii="Calibri" w:eastAsia="Times New Roman" w:hAnsi="Calibri" w:cs="Calibri"/>
          <w:lang w:eastAsia="hr-HR"/>
        </w:rPr>
        <w:t xml:space="preserve"> </w:t>
      </w:r>
    </w:p>
    <w:p w14:paraId="1FEFBDA4" w14:textId="77777777" w:rsidR="00E87AC6" w:rsidRDefault="00E87AC6" w:rsidP="00E87AC6">
      <w:pPr>
        <w:spacing w:after="200" w:line="240" w:lineRule="auto"/>
        <w:jc w:val="both"/>
        <w:rPr>
          <w:rFonts w:ascii="Calibri" w:eastAsia="Times New Roman" w:hAnsi="Calibri" w:cs="Calibri"/>
          <w:lang w:eastAsia="hr-HR"/>
        </w:rPr>
      </w:pPr>
      <w:r>
        <w:rPr>
          <w:rFonts w:ascii="Calibri" w:eastAsia="Times New Roman" w:hAnsi="Calibri" w:cs="Calibri"/>
          <w:lang w:eastAsia="hr-HR"/>
        </w:rPr>
        <w:t xml:space="preserve">Od izuzetne važnosti za gospodarstvo, jer </w:t>
      </w:r>
      <w:r w:rsidRPr="00813C9F">
        <w:rPr>
          <w:rFonts w:ascii="Calibri" w:eastAsia="Times New Roman" w:hAnsi="Calibri" w:cs="Calibri"/>
          <w:lang w:eastAsia="hr-HR"/>
        </w:rPr>
        <w:t>potiče ulaganje u istraživanje i razvoj i preduvjet je za digitalnu transformaciju gospodarstva</w:t>
      </w:r>
      <w:r>
        <w:rPr>
          <w:rFonts w:ascii="Calibri" w:eastAsia="Times New Roman" w:hAnsi="Calibri" w:cs="Calibri"/>
          <w:lang w:eastAsia="hr-HR"/>
        </w:rPr>
        <w:t xml:space="preserve">, je djelatnost </w:t>
      </w:r>
      <w:r w:rsidRPr="00BC6726">
        <w:rPr>
          <w:rFonts w:ascii="Calibri" w:eastAsia="Times New Roman" w:hAnsi="Calibri" w:cs="Calibri"/>
          <w:lang w:eastAsia="hr-HR"/>
        </w:rPr>
        <w:t xml:space="preserve">informacije i komunikacije (ICT sektor) </w:t>
      </w:r>
      <w:r>
        <w:rPr>
          <w:rFonts w:ascii="Calibri" w:eastAsia="Times New Roman" w:hAnsi="Calibri" w:cs="Calibri"/>
          <w:lang w:eastAsia="hr-HR"/>
        </w:rPr>
        <w:t>koja</w:t>
      </w:r>
      <w:r w:rsidRPr="00BC6726">
        <w:rPr>
          <w:rFonts w:ascii="Calibri" w:eastAsia="Times New Roman" w:hAnsi="Calibri" w:cs="Calibri"/>
          <w:lang w:eastAsia="hr-HR"/>
        </w:rPr>
        <w:t xml:space="preserve"> na području Grada Zagreba bilježi stalni trend rasta</w:t>
      </w:r>
      <w:r>
        <w:rPr>
          <w:rFonts w:ascii="Calibri" w:eastAsia="Times New Roman" w:hAnsi="Calibri" w:cs="Calibri"/>
          <w:lang w:eastAsia="hr-HR"/>
        </w:rPr>
        <w:t xml:space="preserve">, </w:t>
      </w:r>
      <w:r w:rsidRPr="00BC6726">
        <w:rPr>
          <w:rFonts w:ascii="Calibri" w:eastAsia="Times New Roman" w:hAnsi="Calibri" w:cs="Calibri"/>
          <w:lang w:eastAsia="hr-HR"/>
        </w:rPr>
        <w:t xml:space="preserve">posebice potaknuta recentnim uvjetima  COVID-19 </w:t>
      </w:r>
      <w:r>
        <w:rPr>
          <w:rFonts w:ascii="Calibri" w:eastAsia="Times New Roman" w:hAnsi="Calibri" w:cs="Calibri"/>
          <w:lang w:eastAsia="hr-HR"/>
        </w:rPr>
        <w:t>epi</w:t>
      </w:r>
      <w:r w:rsidRPr="00BC6726">
        <w:rPr>
          <w:rFonts w:ascii="Calibri" w:eastAsia="Times New Roman" w:hAnsi="Calibri" w:cs="Calibri"/>
          <w:lang w:eastAsia="hr-HR"/>
        </w:rPr>
        <w:t xml:space="preserve">demije gdje se pokazala kao akcelerator u primjeni digitalnih rješenja i u privatnom i u javnom sektoru.  </w:t>
      </w:r>
      <w:r>
        <w:rPr>
          <w:rFonts w:ascii="Calibri" w:eastAsia="Times New Roman" w:hAnsi="Calibri" w:cs="Calibri"/>
          <w:lang w:eastAsia="hr-HR"/>
        </w:rPr>
        <w:t xml:space="preserve">Hrvatska IT industrija (bez </w:t>
      </w:r>
      <w:r w:rsidRPr="000C5801">
        <w:rPr>
          <w:rFonts w:ascii="Calibri" w:eastAsia="Times New Roman" w:hAnsi="Calibri" w:cs="Calibri"/>
          <w:lang w:eastAsia="hr-HR"/>
        </w:rPr>
        <w:t>djelatnosti telekom operatora</w:t>
      </w:r>
      <w:r>
        <w:rPr>
          <w:rFonts w:ascii="Calibri" w:eastAsia="Times New Roman" w:hAnsi="Calibri" w:cs="Calibri"/>
          <w:lang w:eastAsia="hr-HR"/>
        </w:rPr>
        <w:t xml:space="preserve">) </w:t>
      </w:r>
      <w:r w:rsidRPr="000C5801">
        <w:rPr>
          <w:rFonts w:ascii="Calibri" w:eastAsia="Times New Roman" w:hAnsi="Calibri" w:cs="Calibri"/>
          <w:lang w:eastAsia="hr-HR"/>
        </w:rPr>
        <w:t xml:space="preserve"> 2019. ostvarila je ukupni prihod od </w:t>
      </w:r>
      <w:r>
        <w:rPr>
          <w:rFonts w:ascii="Calibri" w:eastAsia="Times New Roman" w:hAnsi="Calibri" w:cs="Calibri"/>
          <w:lang w:eastAsia="hr-HR"/>
        </w:rPr>
        <w:t xml:space="preserve">27 </w:t>
      </w:r>
      <w:r w:rsidRPr="000C5801">
        <w:rPr>
          <w:rFonts w:ascii="Calibri" w:eastAsia="Times New Roman" w:hAnsi="Calibri" w:cs="Calibri"/>
          <w:lang w:eastAsia="hr-HR"/>
        </w:rPr>
        <w:t>milijardi kuna uz godišnji</w:t>
      </w:r>
      <w:r>
        <w:rPr>
          <w:rFonts w:ascii="Calibri" w:eastAsia="Times New Roman" w:hAnsi="Calibri" w:cs="Calibri"/>
          <w:lang w:eastAsia="hr-HR"/>
        </w:rPr>
        <w:t xml:space="preserve"> </w:t>
      </w:r>
      <w:r w:rsidRPr="000C5801">
        <w:rPr>
          <w:rFonts w:ascii="Calibri" w:eastAsia="Times New Roman" w:hAnsi="Calibri" w:cs="Calibri"/>
          <w:lang w:eastAsia="hr-HR"/>
        </w:rPr>
        <w:t xml:space="preserve">rast od 12,4 </w:t>
      </w:r>
      <w:r>
        <w:rPr>
          <w:rFonts w:ascii="Calibri" w:eastAsia="Times New Roman" w:hAnsi="Calibri" w:cs="Calibri"/>
          <w:lang w:eastAsia="hr-HR"/>
        </w:rPr>
        <w:t>% i predstavlja najbrže rastući sektor. D</w:t>
      </w:r>
      <w:r w:rsidRPr="000C5801">
        <w:rPr>
          <w:rFonts w:ascii="Calibri" w:eastAsia="Times New Roman" w:hAnsi="Calibri" w:cs="Calibri"/>
          <w:lang w:eastAsia="hr-HR"/>
        </w:rPr>
        <w:t xml:space="preserve">omaća IT industrija izrazito </w:t>
      </w:r>
      <w:r>
        <w:rPr>
          <w:rFonts w:ascii="Calibri" w:eastAsia="Times New Roman" w:hAnsi="Calibri" w:cs="Calibri"/>
          <w:lang w:eastAsia="hr-HR"/>
        </w:rPr>
        <w:t xml:space="preserve">je </w:t>
      </w:r>
      <w:r w:rsidRPr="000C5801">
        <w:rPr>
          <w:rFonts w:ascii="Calibri" w:eastAsia="Times New Roman" w:hAnsi="Calibri" w:cs="Calibri"/>
          <w:lang w:eastAsia="hr-HR"/>
        </w:rPr>
        <w:t>koncentrirana u Gradu Zagrebu koji predstavlja 80 posto ukupnog sektora, dok na ostatak Hrvatske otpada 20 posto.  U Zagrebu se ostvaruje 21,37 milijardi kuna prometa, što je gotovo četiri puta više od zbroja  prihoda svih ostalih županija. IT sektor je u 2019. zapošljavao 33.000 djelatnika, uz godišnji rast od 9,1 posto, a opet prednjači Zagreb s 20.810</w:t>
      </w:r>
      <w:r>
        <w:rPr>
          <w:rFonts w:ascii="Calibri" w:eastAsia="Times New Roman" w:hAnsi="Calibri" w:cs="Calibri"/>
          <w:lang w:eastAsia="hr-HR"/>
        </w:rPr>
        <w:t xml:space="preserve"> zaposlenih</w:t>
      </w:r>
      <w:r w:rsidRPr="000C5801">
        <w:rPr>
          <w:rFonts w:ascii="Calibri" w:eastAsia="Times New Roman" w:hAnsi="Calibri" w:cs="Calibri"/>
          <w:lang w:eastAsia="hr-HR"/>
        </w:rPr>
        <w:t>, odnosno  63  posto od ukupnog broja zaposlenih u branši.</w:t>
      </w:r>
      <w:r>
        <w:rPr>
          <w:rStyle w:val="Referencafusnote"/>
          <w:rFonts w:eastAsia="Times New Roman" w:cs="Calibri"/>
          <w:lang w:eastAsia="hr-HR"/>
        </w:rPr>
        <w:footnoteReference w:id="31"/>
      </w:r>
      <w:r>
        <w:rPr>
          <w:rFonts w:ascii="Calibri" w:eastAsia="Times New Roman" w:hAnsi="Calibri" w:cs="Calibri"/>
          <w:lang w:eastAsia="hr-HR"/>
        </w:rPr>
        <w:t xml:space="preserve"> </w:t>
      </w:r>
    </w:p>
    <w:p w14:paraId="4B4B0B41" w14:textId="77777777" w:rsidR="00E87AC6" w:rsidRPr="00026130" w:rsidRDefault="00E87AC6" w:rsidP="00E87AC6">
      <w:pPr>
        <w:spacing w:after="200" w:line="240" w:lineRule="auto"/>
        <w:jc w:val="both"/>
        <w:rPr>
          <w:rFonts w:ascii="Calibri" w:eastAsia="Times New Roman" w:hAnsi="Calibri" w:cs="Calibri"/>
          <w:lang w:eastAsia="hr-HR"/>
        </w:rPr>
      </w:pPr>
      <w:r w:rsidRPr="00026130">
        <w:rPr>
          <w:rFonts w:ascii="Calibri" w:eastAsia="Times New Roman" w:hAnsi="Calibri" w:cs="Calibri"/>
          <w:lang w:eastAsia="hr-HR"/>
        </w:rPr>
        <w:t xml:space="preserve">Kulturne i kreativne industrije, u koje među ostalim spadaju filmska industrija, </w:t>
      </w:r>
      <w:r>
        <w:rPr>
          <w:rFonts w:ascii="Calibri" w:eastAsia="Times New Roman" w:hAnsi="Calibri" w:cs="Calibri"/>
          <w:lang w:eastAsia="hr-HR"/>
        </w:rPr>
        <w:t xml:space="preserve">umjetnost, </w:t>
      </w:r>
      <w:r w:rsidRPr="00026130">
        <w:rPr>
          <w:rFonts w:ascii="Calibri" w:eastAsia="Times New Roman" w:hAnsi="Calibri" w:cs="Calibri"/>
          <w:lang w:eastAsia="hr-HR"/>
        </w:rPr>
        <w:t>dizajn</w:t>
      </w:r>
      <w:r>
        <w:rPr>
          <w:rFonts w:ascii="Calibri" w:eastAsia="Times New Roman" w:hAnsi="Calibri" w:cs="Calibri"/>
          <w:lang w:eastAsia="hr-HR"/>
        </w:rPr>
        <w:t>,</w:t>
      </w:r>
      <w:r w:rsidRPr="00026130">
        <w:rPr>
          <w:rFonts w:ascii="Calibri" w:eastAsia="Times New Roman" w:hAnsi="Calibri" w:cs="Calibri"/>
          <w:lang w:eastAsia="hr-HR"/>
        </w:rPr>
        <w:t xml:space="preserve"> arhitektura</w:t>
      </w:r>
      <w:r>
        <w:rPr>
          <w:rFonts w:ascii="Calibri" w:eastAsia="Times New Roman" w:hAnsi="Calibri" w:cs="Calibri"/>
          <w:lang w:eastAsia="hr-HR"/>
        </w:rPr>
        <w:t xml:space="preserve"> i elektronički mediji, </w:t>
      </w:r>
      <w:r w:rsidRPr="00026130">
        <w:rPr>
          <w:rFonts w:ascii="Calibri" w:eastAsia="Times New Roman" w:hAnsi="Calibri" w:cs="Calibri"/>
          <w:lang w:eastAsia="hr-HR"/>
        </w:rPr>
        <w:t xml:space="preserve"> </w:t>
      </w:r>
      <w:r>
        <w:rPr>
          <w:rFonts w:ascii="Calibri" w:eastAsia="Times New Roman" w:hAnsi="Calibri" w:cs="Calibri"/>
          <w:lang w:eastAsia="hr-HR"/>
        </w:rPr>
        <w:t xml:space="preserve">također </w:t>
      </w:r>
      <w:r w:rsidRPr="00026130">
        <w:rPr>
          <w:rFonts w:ascii="Calibri" w:eastAsia="Times New Roman" w:hAnsi="Calibri" w:cs="Calibri"/>
          <w:lang w:eastAsia="hr-HR"/>
        </w:rPr>
        <w:t xml:space="preserve">su </w:t>
      </w:r>
      <w:r>
        <w:rPr>
          <w:rFonts w:ascii="Calibri" w:eastAsia="Times New Roman" w:hAnsi="Calibri" w:cs="Calibri"/>
          <w:lang w:eastAsia="hr-HR"/>
        </w:rPr>
        <w:t xml:space="preserve">jedan </w:t>
      </w:r>
      <w:r w:rsidRPr="00026130">
        <w:rPr>
          <w:rFonts w:ascii="Calibri" w:eastAsia="Times New Roman" w:hAnsi="Calibri" w:cs="Calibri"/>
          <w:lang w:eastAsia="hr-HR"/>
        </w:rPr>
        <w:t>od najbrže rastućih sektora</w:t>
      </w:r>
      <w:r>
        <w:rPr>
          <w:rFonts w:ascii="Calibri" w:eastAsia="Times New Roman" w:hAnsi="Calibri" w:cs="Calibri"/>
          <w:lang w:eastAsia="hr-HR"/>
        </w:rPr>
        <w:t xml:space="preserve"> u Gradu Zagrebu. U</w:t>
      </w:r>
      <w:r w:rsidRPr="00026130">
        <w:rPr>
          <w:rFonts w:ascii="Calibri" w:eastAsia="Times New Roman" w:hAnsi="Calibri" w:cs="Calibri"/>
          <w:lang w:eastAsia="hr-HR"/>
        </w:rPr>
        <w:t xml:space="preserve"> usporedbi s ostatkom gospodarstva pokazale su se otpornim na recesiju</w:t>
      </w:r>
      <w:r>
        <w:rPr>
          <w:rFonts w:ascii="Calibri" w:eastAsia="Times New Roman" w:hAnsi="Calibri" w:cs="Calibri"/>
          <w:lang w:eastAsia="hr-HR"/>
        </w:rPr>
        <w:t xml:space="preserve">, međutim, iako izuzetno jaka, kulturna industrija koja ostvaruje visoku dodanu vrijednost, ima </w:t>
      </w:r>
      <w:r w:rsidRPr="00BF30BB">
        <w:rPr>
          <w:rFonts w:ascii="Calibri" w:eastAsia="Times New Roman" w:hAnsi="Calibri" w:cs="Calibri"/>
          <w:lang w:eastAsia="hr-HR"/>
        </w:rPr>
        <w:t>visoki potencijal izvoza</w:t>
      </w:r>
      <w:r>
        <w:rPr>
          <w:rFonts w:ascii="Calibri" w:eastAsia="Times New Roman" w:hAnsi="Calibri" w:cs="Calibri"/>
          <w:lang w:eastAsia="hr-HR"/>
        </w:rPr>
        <w:t xml:space="preserve"> i </w:t>
      </w:r>
      <w:r w:rsidRPr="00BF30BB">
        <w:rPr>
          <w:rFonts w:ascii="Calibri" w:eastAsia="Times New Roman" w:hAnsi="Calibri" w:cs="Calibri"/>
          <w:lang w:eastAsia="hr-HR"/>
        </w:rPr>
        <w:t>privlač</w:t>
      </w:r>
      <w:r>
        <w:rPr>
          <w:rFonts w:ascii="Calibri" w:eastAsia="Times New Roman" w:hAnsi="Calibri" w:cs="Calibri"/>
          <w:lang w:eastAsia="hr-HR"/>
        </w:rPr>
        <w:t>i</w:t>
      </w:r>
      <w:r w:rsidRPr="00BF30BB">
        <w:rPr>
          <w:rFonts w:ascii="Calibri" w:eastAsia="Times New Roman" w:hAnsi="Calibri" w:cs="Calibri"/>
          <w:lang w:eastAsia="hr-HR"/>
        </w:rPr>
        <w:t xml:space="preserve"> sve više ulaganja, </w:t>
      </w:r>
      <w:r>
        <w:rPr>
          <w:rFonts w:ascii="Calibri" w:eastAsia="Times New Roman" w:hAnsi="Calibri" w:cs="Calibri"/>
          <w:lang w:eastAsia="hr-HR"/>
        </w:rPr>
        <w:t>u uvjetima COVID epidemije teško je pogođena.</w:t>
      </w:r>
    </w:p>
    <w:p w14:paraId="18FB8BD1" w14:textId="77777777" w:rsidR="00E87AC6" w:rsidRDefault="00E87AC6" w:rsidP="00E87AC6">
      <w:pPr>
        <w:spacing w:after="200" w:line="240" w:lineRule="auto"/>
        <w:jc w:val="both"/>
        <w:rPr>
          <w:rFonts w:ascii="Calibri" w:eastAsia="Calibri" w:hAnsi="Calibri" w:cs="Times New Roman"/>
        </w:rPr>
      </w:pPr>
      <w:bookmarkStart w:id="64" w:name="_Hlk68774611"/>
      <w:r w:rsidRPr="00BF30BB">
        <w:rPr>
          <w:rFonts w:ascii="Calibri" w:eastAsia="Times New Roman" w:hAnsi="Calibri" w:cs="Calibri"/>
          <w:b/>
          <w:bCs/>
          <w:lang w:eastAsia="hr-HR"/>
        </w:rPr>
        <w:t xml:space="preserve">Učinci COVID 19 epidemije </w:t>
      </w:r>
      <w:r>
        <w:rPr>
          <w:rFonts w:ascii="Calibri" w:eastAsia="Times New Roman" w:hAnsi="Calibri" w:cs="Calibri"/>
          <w:b/>
          <w:bCs/>
          <w:lang w:eastAsia="hr-HR"/>
        </w:rPr>
        <w:t xml:space="preserve">i </w:t>
      </w:r>
      <w:r w:rsidRPr="008C2EEB">
        <w:rPr>
          <w:rFonts w:ascii="Calibri" w:eastAsia="Times New Roman" w:hAnsi="Calibri" w:cs="Calibri"/>
          <w:b/>
          <w:bCs/>
          <w:lang w:eastAsia="hr-HR"/>
        </w:rPr>
        <w:t xml:space="preserve">potresa </w:t>
      </w:r>
      <w:r w:rsidRPr="00BF30BB">
        <w:rPr>
          <w:rFonts w:ascii="Calibri" w:eastAsia="Times New Roman" w:hAnsi="Calibri" w:cs="Calibri"/>
          <w:b/>
          <w:bCs/>
          <w:lang w:eastAsia="hr-HR"/>
        </w:rPr>
        <w:t xml:space="preserve">na </w:t>
      </w:r>
      <w:r>
        <w:rPr>
          <w:rFonts w:ascii="Calibri" w:eastAsia="Times New Roman" w:hAnsi="Calibri" w:cs="Calibri"/>
          <w:b/>
          <w:bCs/>
          <w:lang w:eastAsia="hr-HR"/>
        </w:rPr>
        <w:t xml:space="preserve">gospodarstvo </w:t>
      </w:r>
      <w:r w:rsidRPr="00BF30BB">
        <w:rPr>
          <w:rFonts w:ascii="Calibri" w:eastAsia="Times New Roman" w:hAnsi="Calibri" w:cs="Calibri"/>
          <w:b/>
          <w:bCs/>
          <w:lang w:eastAsia="hr-HR"/>
        </w:rPr>
        <w:t>Grad</w:t>
      </w:r>
      <w:r>
        <w:rPr>
          <w:rFonts w:ascii="Calibri" w:eastAsia="Times New Roman" w:hAnsi="Calibri" w:cs="Calibri"/>
          <w:b/>
          <w:bCs/>
          <w:lang w:eastAsia="hr-HR"/>
        </w:rPr>
        <w:t>a</w:t>
      </w:r>
      <w:r w:rsidRPr="00BF30BB">
        <w:rPr>
          <w:rFonts w:ascii="Calibri" w:eastAsia="Times New Roman" w:hAnsi="Calibri" w:cs="Calibri"/>
          <w:b/>
          <w:bCs/>
          <w:lang w:eastAsia="hr-HR"/>
        </w:rPr>
        <w:t xml:space="preserve"> Zagreb</w:t>
      </w:r>
      <w:r>
        <w:rPr>
          <w:rFonts w:ascii="Calibri" w:eastAsia="Times New Roman" w:hAnsi="Calibri" w:cs="Calibri"/>
          <w:b/>
          <w:bCs/>
          <w:lang w:eastAsia="hr-HR"/>
        </w:rPr>
        <w:t>a.</w:t>
      </w:r>
      <w:r w:rsidRPr="00BF30BB">
        <w:rPr>
          <w:rFonts w:ascii="Calibri" w:eastAsia="Times New Roman" w:hAnsi="Calibri" w:cs="Calibri"/>
          <w:b/>
          <w:bCs/>
          <w:lang w:eastAsia="hr-HR"/>
        </w:rPr>
        <w:t xml:space="preserve"> </w:t>
      </w:r>
      <w:bookmarkEnd w:id="64"/>
      <w:r w:rsidRPr="008C2EEB">
        <w:rPr>
          <w:rFonts w:ascii="Calibri" w:eastAsia="Calibri" w:hAnsi="Calibri" w:cs="Times New Roman"/>
        </w:rPr>
        <w:t>Epidemija bolesti COVID-19 kao ozbiljna javnozdravstvena kriza uzrokovala je snažan udar na gospodarstvo</w:t>
      </w:r>
      <w:r>
        <w:rPr>
          <w:rFonts w:ascii="Calibri" w:eastAsia="Calibri" w:hAnsi="Calibri" w:cs="Times New Roman"/>
        </w:rPr>
        <w:t>.</w:t>
      </w:r>
      <w:r>
        <w:rPr>
          <w:rStyle w:val="Referencafusnote"/>
        </w:rPr>
        <w:footnoteReference w:id="32"/>
      </w:r>
      <w:r>
        <w:rPr>
          <w:rFonts w:ascii="Calibri" w:eastAsia="Calibri" w:hAnsi="Calibri" w:cs="Times New Roman"/>
        </w:rPr>
        <w:t xml:space="preserve"> </w:t>
      </w:r>
      <w:r w:rsidRPr="008C2EEB">
        <w:rPr>
          <w:rFonts w:ascii="Calibri" w:eastAsia="Calibri" w:hAnsi="Calibri" w:cs="Times New Roman"/>
        </w:rPr>
        <w:t>Najviše pogođena područja odnose se na prijevoz, uslužne djelatnosti, trgovinu na malo i turizam.</w:t>
      </w:r>
      <w:r>
        <w:rPr>
          <w:rFonts w:ascii="Calibri" w:eastAsia="Calibri" w:hAnsi="Calibri" w:cs="Times New Roman"/>
        </w:rPr>
        <w:t xml:space="preserve"> </w:t>
      </w:r>
      <w:r w:rsidRPr="008C2EEB">
        <w:rPr>
          <w:rFonts w:ascii="Calibri" w:eastAsia="Calibri" w:hAnsi="Calibri" w:cs="Times New Roman"/>
        </w:rPr>
        <w:t>Zbog donošenja epidemioloških mjera u Gradu Zagrebu bilježi se pad ukupnog prometa uslužnih djelatnosti za 9,2% u razdoblju od siječnja do rujna 2020. u odnosu na isto razdoblje 2019. U gotovo svim uslužnim djelatnostima ostvaren je pad prometa, a najizraženije u djelatnostima putničkih agencija i turoperatora (67%) i smještaja (57,7%).</w:t>
      </w:r>
      <w:r>
        <w:rPr>
          <w:rFonts w:ascii="Calibri" w:eastAsia="Calibri" w:hAnsi="Calibri" w:cs="Times New Roman"/>
        </w:rPr>
        <w:t xml:space="preserve"> </w:t>
      </w:r>
      <w:r w:rsidRPr="008C2EEB">
        <w:rPr>
          <w:rFonts w:ascii="Calibri" w:eastAsia="Calibri" w:hAnsi="Calibri" w:cs="Times New Roman"/>
        </w:rPr>
        <w:t xml:space="preserve">Podaci o prometu trgovine na malo prema trgovačkim strukama pokazuju da je u prosincu 2020. u odnosu na isti mjesec 2019., ukupan promet od trgovine na malo ostvario pad od 8,2%. Pritom je najveći pad prometa zabilježen </w:t>
      </w:r>
      <w:r>
        <w:rPr>
          <w:rFonts w:ascii="Calibri" w:eastAsia="Calibri" w:hAnsi="Calibri" w:cs="Times New Roman"/>
        </w:rPr>
        <w:t xml:space="preserve">u </w:t>
      </w:r>
      <w:r w:rsidRPr="008C2EEB">
        <w:rPr>
          <w:rFonts w:ascii="Calibri" w:eastAsia="Calibri" w:hAnsi="Calibri" w:cs="Times New Roman"/>
        </w:rPr>
        <w:t>trgovačkim strukama tekstil, odjevni predmeti, obuća i kožni proizvodi za 33,2% te motorna vozila za 32,6%. Porast prometa ostvarile su trgovina na malo hranom, pićem i duhanskim proizvodima za 3,1%, a trgovina na malo preko pošte ili internetom za 3,0%.</w:t>
      </w:r>
      <w:r>
        <w:rPr>
          <w:rFonts w:ascii="Calibri" w:eastAsia="Calibri" w:hAnsi="Calibri" w:cs="Times New Roman"/>
        </w:rPr>
        <w:t xml:space="preserve"> </w:t>
      </w:r>
    </w:p>
    <w:p w14:paraId="052F842E" w14:textId="77777777" w:rsidR="00E87AC6" w:rsidRDefault="00E87AC6" w:rsidP="00E87AC6">
      <w:pPr>
        <w:spacing w:after="200" w:line="240" w:lineRule="auto"/>
        <w:jc w:val="both"/>
        <w:rPr>
          <w:rFonts w:ascii="Calibri" w:eastAsia="Calibri" w:hAnsi="Calibri" w:cs="Times New Roman"/>
        </w:rPr>
      </w:pPr>
      <w:r>
        <w:rPr>
          <w:rFonts w:ascii="Calibri" w:eastAsia="Calibri" w:hAnsi="Calibri" w:cs="Times New Roman"/>
        </w:rPr>
        <w:t xml:space="preserve">IT industrija u </w:t>
      </w:r>
      <w:r w:rsidRPr="0018150A">
        <w:rPr>
          <w:rFonts w:ascii="Calibri" w:eastAsia="Calibri" w:hAnsi="Calibri" w:cs="Times New Roman"/>
        </w:rPr>
        <w:t>2020 godin</w:t>
      </w:r>
      <w:r>
        <w:rPr>
          <w:rFonts w:ascii="Calibri" w:eastAsia="Calibri" w:hAnsi="Calibri" w:cs="Times New Roman"/>
        </w:rPr>
        <w:t>i</w:t>
      </w:r>
      <w:r w:rsidRPr="0018150A">
        <w:rPr>
          <w:rFonts w:ascii="Calibri" w:eastAsia="Calibri" w:hAnsi="Calibri" w:cs="Times New Roman"/>
        </w:rPr>
        <w:t xml:space="preserve"> bila je obilježena s dva supro</w:t>
      </w:r>
      <w:r>
        <w:rPr>
          <w:rFonts w:ascii="Calibri" w:eastAsia="Calibri" w:hAnsi="Calibri" w:cs="Times New Roman"/>
        </w:rPr>
        <w:t>tst</w:t>
      </w:r>
      <w:r w:rsidRPr="0018150A">
        <w:rPr>
          <w:rFonts w:ascii="Calibri" w:eastAsia="Calibri" w:hAnsi="Calibri" w:cs="Times New Roman"/>
        </w:rPr>
        <w:t>avljena trenda uzrokovana korona krizom:</w:t>
      </w:r>
      <w:r>
        <w:rPr>
          <w:rFonts w:ascii="Calibri" w:eastAsia="Calibri" w:hAnsi="Calibri" w:cs="Times New Roman"/>
        </w:rPr>
        <w:t xml:space="preserve"> </w:t>
      </w:r>
      <w:r w:rsidRPr="0018150A">
        <w:rPr>
          <w:rFonts w:ascii="Calibri" w:eastAsia="Calibri" w:hAnsi="Calibri" w:cs="Times New Roman"/>
        </w:rPr>
        <w:t xml:space="preserve">negativan utjecaj na poslovanje zbog smanjenja gospodarske aktivnosti, na što </w:t>
      </w:r>
      <w:r>
        <w:rPr>
          <w:rFonts w:ascii="Calibri" w:eastAsia="Calibri" w:hAnsi="Calibri" w:cs="Times New Roman"/>
        </w:rPr>
        <w:t xml:space="preserve">se </w:t>
      </w:r>
      <w:r w:rsidRPr="0018150A">
        <w:rPr>
          <w:rFonts w:ascii="Calibri" w:eastAsia="Calibri" w:hAnsi="Calibri" w:cs="Times New Roman"/>
        </w:rPr>
        <w:t>odgovoril</w:t>
      </w:r>
      <w:r>
        <w:rPr>
          <w:rFonts w:ascii="Calibri" w:eastAsia="Calibri" w:hAnsi="Calibri" w:cs="Times New Roman"/>
        </w:rPr>
        <w:t>o</w:t>
      </w:r>
      <w:r w:rsidRPr="0018150A">
        <w:rPr>
          <w:rFonts w:ascii="Calibri" w:eastAsia="Calibri" w:hAnsi="Calibri" w:cs="Times New Roman"/>
        </w:rPr>
        <w:t xml:space="preserve"> ubrzavanjem digitalne transformacije vlastitog poslovanja i poslovanja s</w:t>
      </w:r>
      <w:r>
        <w:rPr>
          <w:rFonts w:ascii="Calibri" w:eastAsia="Calibri" w:hAnsi="Calibri" w:cs="Times New Roman"/>
        </w:rPr>
        <w:t xml:space="preserve"> </w:t>
      </w:r>
      <w:r w:rsidRPr="0018150A">
        <w:rPr>
          <w:rFonts w:ascii="Calibri" w:eastAsia="Calibri" w:hAnsi="Calibri" w:cs="Times New Roman"/>
        </w:rPr>
        <w:t>partnerima, a to je rezultiralo i povećanjem prometa te potražnje za uslugama informacijskog</w:t>
      </w:r>
      <w:r>
        <w:rPr>
          <w:rFonts w:ascii="Calibri" w:eastAsia="Calibri" w:hAnsi="Calibri" w:cs="Times New Roman"/>
        </w:rPr>
        <w:t xml:space="preserve"> </w:t>
      </w:r>
      <w:r w:rsidRPr="0018150A">
        <w:rPr>
          <w:rFonts w:ascii="Calibri" w:eastAsia="Calibri" w:hAnsi="Calibri" w:cs="Times New Roman"/>
        </w:rPr>
        <w:t>posredništva.</w:t>
      </w:r>
      <w:r>
        <w:rPr>
          <w:rFonts w:ascii="Calibri" w:eastAsia="Calibri" w:hAnsi="Calibri" w:cs="Times New Roman"/>
        </w:rPr>
        <w:t xml:space="preserve"> Što se tiče </w:t>
      </w:r>
      <w:r w:rsidRPr="0018150A">
        <w:rPr>
          <w:rFonts w:ascii="Calibri" w:eastAsia="Calibri" w:hAnsi="Calibri" w:cs="Times New Roman"/>
        </w:rPr>
        <w:t>kreativnih i kulturnih industrija</w:t>
      </w:r>
      <w:r>
        <w:rPr>
          <w:rFonts w:ascii="Calibri" w:eastAsia="Calibri" w:hAnsi="Calibri" w:cs="Times New Roman"/>
        </w:rPr>
        <w:t>, o</w:t>
      </w:r>
      <w:r w:rsidRPr="0018150A">
        <w:rPr>
          <w:rFonts w:ascii="Calibri" w:eastAsia="Calibri" w:hAnsi="Calibri" w:cs="Times New Roman"/>
        </w:rPr>
        <w:t>d pojedinačnih autora, izvođača, izdavača, kinematografa, kazališta, filmskih producenata</w:t>
      </w:r>
      <w:r>
        <w:rPr>
          <w:rFonts w:ascii="Calibri" w:eastAsia="Calibri" w:hAnsi="Calibri" w:cs="Times New Roman"/>
        </w:rPr>
        <w:t xml:space="preserve"> </w:t>
      </w:r>
      <w:r w:rsidRPr="0018150A">
        <w:rPr>
          <w:rFonts w:ascii="Calibri" w:eastAsia="Calibri" w:hAnsi="Calibri" w:cs="Times New Roman"/>
        </w:rPr>
        <w:t>do udruga koje okupljaju kreativce i s njima povezane profesionalce u industriji</w:t>
      </w:r>
      <w:r>
        <w:rPr>
          <w:rFonts w:ascii="Calibri" w:eastAsia="Calibri" w:hAnsi="Calibri" w:cs="Times New Roman"/>
        </w:rPr>
        <w:t xml:space="preserve"> </w:t>
      </w:r>
      <w:r w:rsidRPr="0018150A">
        <w:rPr>
          <w:rFonts w:ascii="Calibri" w:eastAsia="Calibri" w:hAnsi="Calibri" w:cs="Times New Roman"/>
        </w:rPr>
        <w:t>događanja, promocije, marketinga, medija i komunikacija</w:t>
      </w:r>
      <w:r>
        <w:rPr>
          <w:rFonts w:ascii="Calibri" w:eastAsia="Calibri" w:hAnsi="Calibri" w:cs="Times New Roman"/>
        </w:rPr>
        <w:t>;</w:t>
      </w:r>
      <w:r w:rsidRPr="0018150A">
        <w:rPr>
          <w:rFonts w:ascii="Calibri" w:eastAsia="Calibri" w:hAnsi="Calibri" w:cs="Times New Roman"/>
        </w:rPr>
        <w:t xml:space="preserve"> doslovno svi dionici kreativnih</w:t>
      </w:r>
      <w:r>
        <w:rPr>
          <w:rFonts w:ascii="Calibri" w:eastAsia="Calibri" w:hAnsi="Calibri" w:cs="Times New Roman"/>
        </w:rPr>
        <w:t xml:space="preserve"> </w:t>
      </w:r>
      <w:r w:rsidRPr="0018150A">
        <w:rPr>
          <w:rFonts w:ascii="Calibri" w:eastAsia="Calibri" w:hAnsi="Calibri" w:cs="Times New Roman"/>
        </w:rPr>
        <w:t>i kulturnih industrija u zemlji</w:t>
      </w:r>
      <w:r>
        <w:rPr>
          <w:rFonts w:ascii="Calibri" w:eastAsia="Calibri" w:hAnsi="Calibri" w:cs="Times New Roman"/>
        </w:rPr>
        <w:t xml:space="preserve">, pa tako i u Gradu Zagrebu gdje je njihova najveća koncentracija, </w:t>
      </w:r>
      <w:r w:rsidRPr="0018150A">
        <w:rPr>
          <w:rFonts w:ascii="Calibri" w:eastAsia="Calibri" w:hAnsi="Calibri" w:cs="Times New Roman"/>
        </w:rPr>
        <w:t xml:space="preserve"> </w:t>
      </w:r>
      <w:r>
        <w:rPr>
          <w:rFonts w:ascii="Calibri" w:eastAsia="Calibri" w:hAnsi="Calibri" w:cs="Times New Roman"/>
        </w:rPr>
        <w:t xml:space="preserve">u 2020. ostali su bez glavnih prihoda. </w:t>
      </w:r>
      <w:r w:rsidRPr="0018150A">
        <w:rPr>
          <w:rFonts w:ascii="Calibri" w:eastAsia="Calibri" w:hAnsi="Calibri" w:cs="Times New Roman"/>
        </w:rPr>
        <w:t>Kreativci, posebno oni koji svoj posao uglavnom obavljaju „uživo“</w:t>
      </w:r>
      <w:r>
        <w:rPr>
          <w:rFonts w:ascii="Calibri" w:eastAsia="Calibri" w:hAnsi="Calibri" w:cs="Times New Roman"/>
        </w:rPr>
        <w:t xml:space="preserve"> </w:t>
      </w:r>
      <w:r w:rsidRPr="0018150A">
        <w:rPr>
          <w:rFonts w:ascii="Calibri" w:eastAsia="Calibri" w:hAnsi="Calibri" w:cs="Times New Roman"/>
        </w:rPr>
        <w:t>na nastupima kao što</w:t>
      </w:r>
      <w:r>
        <w:rPr>
          <w:rFonts w:ascii="Calibri" w:eastAsia="Calibri" w:hAnsi="Calibri" w:cs="Times New Roman"/>
        </w:rPr>
        <w:t xml:space="preserve"> </w:t>
      </w:r>
      <w:r w:rsidRPr="0018150A">
        <w:rPr>
          <w:rFonts w:ascii="Calibri" w:eastAsia="Calibri" w:hAnsi="Calibri" w:cs="Times New Roman"/>
        </w:rPr>
        <w:t>su koncerti ili kazališta ostali su bez glavnog izvora prihoda. Pad prihoda od autorskih i</w:t>
      </w:r>
      <w:r>
        <w:rPr>
          <w:rFonts w:ascii="Calibri" w:eastAsia="Calibri" w:hAnsi="Calibri" w:cs="Times New Roman"/>
        </w:rPr>
        <w:t xml:space="preserve"> </w:t>
      </w:r>
      <w:r w:rsidRPr="0018150A">
        <w:rPr>
          <w:rFonts w:ascii="Calibri" w:eastAsia="Calibri" w:hAnsi="Calibri" w:cs="Times New Roman"/>
        </w:rPr>
        <w:t xml:space="preserve">srodnih prava </w:t>
      </w:r>
      <w:r>
        <w:rPr>
          <w:rFonts w:ascii="Calibri" w:eastAsia="Calibri" w:hAnsi="Calibri" w:cs="Times New Roman"/>
        </w:rPr>
        <w:t xml:space="preserve">iznosio je </w:t>
      </w:r>
      <w:r w:rsidRPr="0018150A">
        <w:rPr>
          <w:rFonts w:ascii="Calibri" w:eastAsia="Calibri" w:hAnsi="Calibri" w:cs="Times New Roman"/>
        </w:rPr>
        <w:t>oko 30 posto.</w:t>
      </w:r>
      <w:r>
        <w:rPr>
          <w:rStyle w:val="Referencafusnote"/>
        </w:rPr>
        <w:footnoteReference w:id="33"/>
      </w:r>
    </w:p>
    <w:p w14:paraId="0AEE957B" w14:textId="77777777" w:rsidR="00E87AC6" w:rsidRDefault="00E87AC6" w:rsidP="00E87AC6">
      <w:pPr>
        <w:spacing w:after="200" w:line="240" w:lineRule="auto"/>
        <w:jc w:val="both"/>
        <w:rPr>
          <w:rFonts w:ascii="Calibri" w:eastAsia="Calibri" w:hAnsi="Calibri" w:cs="Times New Roman"/>
        </w:rPr>
      </w:pPr>
      <w:r w:rsidRPr="008C2EEB">
        <w:rPr>
          <w:rFonts w:ascii="Calibri" w:eastAsia="Calibri" w:hAnsi="Calibri" w:cs="Times New Roman"/>
        </w:rPr>
        <w:t xml:space="preserve">Uz posljedice </w:t>
      </w:r>
      <w:r>
        <w:rPr>
          <w:rFonts w:ascii="Calibri" w:eastAsia="Calibri" w:hAnsi="Calibri" w:cs="Times New Roman"/>
        </w:rPr>
        <w:t>epi</w:t>
      </w:r>
      <w:r w:rsidRPr="008C2EEB">
        <w:rPr>
          <w:rFonts w:ascii="Calibri" w:eastAsia="Calibri" w:hAnsi="Calibri" w:cs="Times New Roman"/>
        </w:rPr>
        <w:t>demije COVID 19, Grad Zagreb se istodobno našao u situaciji golemih  infrastrukturnih šteta kao posljedica snažnog potresa od 22. ožujka 2020. Izravne štete procjenjuju se na više od 86 milijardi kuna prema definiciji i regulativi Fonda solidarnosti Europske unije.</w:t>
      </w:r>
      <w:r>
        <w:rPr>
          <w:rFonts w:ascii="Calibri" w:eastAsia="Calibri" w:hAnsi="Calibri" w:cs="Times New Roman"/>
        </w:rPr>
        <w:t xml:space="preserve"> </w:t>
      </w:r>
      <w:r w:rsidRPr="008C2EEB">
        <w:rPr>
          <w:rFonts w:ascii="Calibri" w:eastAsia="Calibri" w:hAnsi="Calibri" w:cs="Times New Roman"/>
        </w:rPr>
        <w:t xml:space="preserve">U 2020. godini, u kojoj se zbog </w:t>
      </w:r>
      <w:r>
        <w:rPr>
          <w:rFonts w:ascii="Calibri" w:eastAsia="Calibri" w:hAnsi="Calibri" w:cs="Times New Roman"/>
        </w:rPr>
        <w:t>epi</w:t>
      </w:r>
      <w:r w:rsidRPr="008C2EEB">
        <w:rPr>
          <w:rFonts w:ascii="Calibri" w:eastAsia="Calibri" w:hAnsi="Calibri" w:cs="Times New Roman"/>
        </w:rPr>
        <w:t>demije bilježi pad gospodarskih aktivnosti, građevinarstvo je jedna od rijetkih djelatnosti koja bilježi rast, a taj je trend, između ostalog, rezultat snažnog utjecaj</w:t>
      </w:r>
      <w:r>
        <w:rPr>
          <w:rFonts w:ascii="Calibri" w:eastAsia="Calibri" w:hAnsi="Calibri" w:cs="Times New Roman"/>
        </w:rPr>
        <w:t>a</w:t>
      </w:r>
      <w:r w:rsidRPr="008C2EEB">
        <w:rPr>
          <w:rFonts w:ascii="Calibri" w:eastAsia="Calibri" w:hAnsi="Calibri" w:cs="Times New Roman"/>
        </w:rPr>
        <w:t xml:space="preserve"> otklanjanja posljedica potresa</w:t>
      </w:r>
      <w:r>
        <w:rPr>
          <w:rFonts w:ascii="Calibri" w:eastAsia="Calibri" w:hAnsi="Calibri" w:cs="Times New Roman"/>
        </w:rPr>
        <w:t>.</w:t>
      </w:r>
      <w:r w:rsidRPr="008C2EEB">
        <w:rPr>
          <w:rFonts w:ascii="Calibri" w:eastAsia="Calibri" w:hAnsi="Calibri" w:cs="Times New Roman"/>
        </w:rPr>
        <w:t xml:space="preserve"> </w:t>
      </w:r>
      <w:r>
        <w:rPr>
          <w:rFonts w:ascii="Calibri" w:eastAsia="Calibri" w:hAnsi="Calibri" w:cs="Times New Roman"/>
        </w:rPr>
        <w:t xml:space="preserve">Grad Zagreb čeka </w:t>
      </w:r>
      <w:r w:rsidRPr="007C2629">
        <w:rPr>
          <w:rFonts w:ascii="Calibri" w:eastAsia="Calibri" w:hAnsi="Calibri" w:cs="Times New Roman"/>
        </w:rPr>
        <w:t xml:space="preserve">opsežna obnova i velike investicije </w:t>
      </w:r>
      <w:r>
        <w:rPr>
          <w:rFonts w:ascii="Calibri" w:eastAsia="Calibri" w:hAnsi="Calibri" w:cs="Times New Roman"/>
        </w:rPr>
        <w:t>te će uloga g</w:t>
      </w:r>
      <w:r w:rsidRPr="007C2629">
        <w:rPr>
          <w:rFonts w:ascii="Calibri" w:eastAsia="Calibri" w:hAnsi="Calibri" w:cs="Times New Roman"/>
        </w:rPr>
        <w:t>rađevinsk</w:t>
      </w:r>
      <w:r>
        <w:rPr>
          <w:rFonts w:ascii="Calibri" w:eastAsia="Calibri" w:hAnsi="Calibri" w:cs="Times New Roman"/>
        </w:rPr>
        <w:t>og</w:t>
      </w:r>
      <w:r w:rsidRPr="007C2629">
        <w:rPr>
          <w:rFonts w:ascii="Calibri" w:eastAsia="Calibri" w:hAnsi="Calibri" w:cs="Times New Roman"/>
        </w:rPr>
        <w:t xml:space="preserve"> sektor</w:t>
      </w:r>
      <w:r>
        <w:rPr>
          <w:rFonts w:ascii="Calibri" w:eastAsia="Calibri" w:hAnsi="Calibri" w:cs="Times New Roman"/>
        </w:rPr>
        <w:t xml:space="preserve">a </w:t>
      </w:r>
      <w:r w:rsidRPr="000A341F">
        <w:rPr>
          <w:rFonts w:ascii="Calibri" w:eastAsia="Calibri" w:hAnsi="Calibri" w:cs="Times New Roman"/>
        </w:rPr>
        <w:t>kao potencijalnog pokretača razvoja</w:t>
      </w:r>
      <w:r>
        <w:rPr>
          <w:rFonts w:ascii="Calibri" w:eastAsia="Calibri" w:hAnsi="Calibri" w:cs="Times New Roman"/>
        </w:rPr>
        <w:t>,</w:t>
      </w:r>
      <w:r w:rsidRPr="00574156">
        <w:t xml:space="preserve"> </w:t>
      </w:r>
      <w:r w:rsidRPr="00574156">
        <w:rPr>
          <w:rFonts w:ascii="Calibri" w:eastAsia="Calibri" w:hAnsi="Calibri" w:cs="Times New Roman"/>
        </w:rPr>
        <w:t xml:space="preserve">s obzirom da na sebe veže </w:t>
      </w:r>
      <w:r>
        <w:rPr>
          <w:rFonts w:ascii="Calibri" w:eastAsia="Calibri" w:hAnsi="Calibri" w:cs="Times New Roman"/>
        </w:rPr>
        <w:t xml:space="preserve">i druge </w:t>
      </w:r>
      <w:r w:rsidRPr="00574156">
        <w:rPr>
          <w:rFonts w:ascii="Calibri" w:eastAsia="Calibri" w:hAnsi="Calibri" w:cs="Times New Roman"/>
        </w:rPr>
        <w:t>industrij</w:t>
      </w:r>
      <w:r>
        <w:rPr>
          <w:rFonts w:ascii="Calibri" w:eastAsia="Calibri" w:hAnsi="Calibri" w:cs="Times New Roman"/>
        </w:rPr>
        <w:t>e i zapošljavanje,</w:t>
      </w:r>
      <w:r w:rsidRPr="007C2629">
        <w:rPr>
          <w:rFonts w:ascii="Calibri" w:eastAsia="Calibri" w:hAnsi="Calibri" w:cs="Times New Roman"/>
        </w:rPr>
        <w:t xml:space="preserve"> </w:t>
      </w:r>
      <w:r>
        <w:rPr>
          <w:rFonts w:ascii="Calibri" w:eastAsia="Calibri" w:hAnsi="Calibri" w:cs="Times New Roman"/>
        </w:rPr>
        <w:t>biti od iznimne važnosti.</w:t>
      </w:r>
    </w:p>
    <w:p w14:paraId="7DE94F12" w14:textId="497AC4F6" w:rsidR="00E87AC6" w:rsidRPr="009A0BD8" w:rsidRDefault="00E87AC6" w:rsidP="005A25A2">
      <w:pPr>
        <w:pStyle w:val="Stil2"/>
      </w:pPr>
      <w:bookmarkStart w:id="65" w:name="_Toc97123806"/>
      <w:bookmarkEnd w:id="63"/>
      <w:r w:rsidRPr="009A0BD8">
        <w:t xml:space="preserve">3.1.3. </w:t>
      </w:r>
      <w:bookmarkStart w:id="66" w:name="_Hlk47698174"/>
      <w:r w:rsidRPr="009A0BD8">
        <w:t>Financijski rezultati poslovanja poduzetnika</w:t>
      </w:r>
      <w:bookmarkEnd w:id="65"/>
      <w:r w:rsidRPr="009A0BD8">
        <w:t xml:space="preserve"> </w:t>
      </w:r>
      <w:bookmarkEnd w:id="66"/>
    </w:p>
    <w:p w14:paraId="7A8B5900" w14:textId="77777777" w:rsidR="00E87AC6" w:rsidRPr="009A0BD8" w:rsidRDefault="00E87AC6" w:rsidP="00E87AC6">
      <w:pPr>
        <w:jc w:val="both"/>
        <w:rPr>
          <w:rFonts w:ascii="Calibri" w:eastAsia="Calibri" w:hAnsi="Calibri" w:cs="Times New Roman"/>
          <w:b/>
          <w:bCs/>
        </w:rPr>
      </w:pPr>
      <w:r w:rsidRPr="009A0BD8">
        <w:rPr>
          <w:rFonts w:ascii="Calibri" w:eastAsia="Calibri" w:hAnsi="Calibri" w:cs="Calibri"/>
          <w:lang w:bidi="ta-IN"/>
        </w:rPr>
        <w:t xml:space="preserve">Poduzetnici Grada Zagreba imaju dominantan udio u ukupnim rezultatima poslovanja poduzetnika Republike Hrvatske. </w:t>
      </w:r>
    </w:p>
    <w:p w14:paraId="5B674396" w14:textId="4A4C3F66" w:rsidR="00E87AC6" w:rsidRPr="009A0BD8" w:rsidRDefault="00E2286C" w:rsidP="00E2286C">
      <w:pPr>
        <w:pStyle w:val="Opisslike"/>
        <w:rPr>
          <w:rFonts w:eastAsia="Calibri"/>
          <w:bCs/>
          <w:i/>
          <w:color w:val="323E4F"/>
          <w:sz w:val="16"/>
          <w:szCs w:val="16"/>
        </w:rPr>
      </w:pPr>
      <w:r>
        <w:t xml:space="preserve">Tablica </w:t>
      </w:r>
      <w:r w:rsidR="00751C19">
        <w:fldChar w:fldCharType="begin"/>
      </w:r>
      <w:r w:rsidR="00751C19">
        <w:instrText xml:space="preserve"> SEQ Tablica \* ARABIC </w:instrText>
      </w:r>
      <w:r w:rsidR="00751C19">
        <w:fldChar w:fldCharType="separate"/>
      </w:r>
      <w:r w:rsidR="00803E25">
        <w:rPr>
          <w:noProof/>
        </w:rPr>
        <w:t>12</w:t>
      </w:r>
      <w:r w:rsidR="00751C19">
        <w:rPr>
          <w:noProof/>
        </w:rPr>
        <w:fldChar w:fldCharType="end"/>
      </w:r>
      <w:r w:rsidR="00782E62">
        <w:t xml:space="preserve">. </w:t>
      </w:r>
      <w:r w:rsidR="00782E62" w:rsidRPr="00590D4E">
        <w:t xml:space="preserve">Osnovni financijski rezultati poduzetnika sa sjedištem u Zagrebu, u </w:t>
      </w:r>
      <w:r w:rsidR="004D782A" w:rsidRPr="00590D4E">
        <w:t xml:space="preserve"> 2019. godini</w:t>
      </w:r>
      <w:r w:rsidR="004D782A" w:rsidRPr="009A0BD8">
        <w:rPr>
          <w:rFonts w:eastAsia="Calibri" w:cs="Times New Roman"/>
        </w:rPr>
        <w:t xml:space="preserve">               </w:t>
      </w:r>
      <w:r w:rsidR="004D782A">
        <w:rPr>
          <w:rFonts w:eastAsia="Calibri" w:cs="Times New Roman"/>
        </w:rPr>
        <w:t xml:space="preserve">                                                                                                              </w:t>
      </w:r>
      <w:r w:rsidR="004D782A" w:rsidRPr="009A0BD8">
        <w:rPr>
          <w:rFonts w:eastAsia="Calibri" w:cs="Times New Roman"/>
        </w:rPr>
        <w:t xml:space="preserve">  </w:t>
      </w:r>
      <w:r w:rsidR="00E87AC6" w:rsidRPr="009A0BD8">
        <w:rPr>
          <w:rFonts w:eastAsia="Calibri" w:cs="Times New Roman"/>
        </w:rPr>
        <w:t xml:space="preserve">               </w:t>
      </w:r>
      <w:r w:rsidR="00E87AC6">
        <w:rPr>
          <w:rFonts w:eastAsia="Calibri" w:cs="Times New Roman"/>
        </w:rPr>
        <w:t xml:space="preserve">                                                                                                              </w:t>
      </w:r>
      <w:r w:rsidR="00E87AC6" w:rsidRPr="009A0BD8">
        <w:rPr>
          <w:rFonts w:eastAsia="Calibri" w:cs="Times New Roman"/>
        </w:rPr>
        <w:t xml:space="preserve">  </w:t>
      </w:r>
      <w:r w:rsidR="00E87AC6" w:rsidRPr="009A0BD8">
        <w:rPr>
          <w:rFonts w:eastAsia="Calibri"/>
          <w:bCs/>
          <w:i/>
          <w:color w:val="323E4F"/>
          <w:sz w:val="16"/>
          <w:szCs w:val="16"/>
        </w:rPr>
        <w:t>(iznosi u tisućama kuna, plaće u kunama)</w:t>
      </w:r>
    </w:p>
    <w:tbl>
      <w:tblPr>
        <w:tblW w:w="9756" w:type="dxa"/>
        <w:jc w:val="center"/>
        <w:tblLayout w:type="fixed"/>
        <w:tblCellMar>
          <w:top w:w="28" w:type="dxa"/>
          <w:left w:w="57" w:type="dxa"/>
          <w:bottom w:w="28" w:type="dxa"/>
          <w:right w:w="57" w:type="dxa"/>
        </w:tblCellMar>
        <w:tblLook w:val="04A0" w:firstRow="1" w:lastRow="0" w:firstColumn="1" w:lastColumn="0" w:noHBand="0" w:noVBand="1"/>
      </w:tblPr>
      <w:tblGrid>
        <w:gridCol w:w="5556"/>
        <w:gridCol w:w="1247"/>
        <w:gridCol w:w="1247"/>
        <w:gridCol w:w="737"/>
        <w:gridCol w:w="969"/>
      </w:tblGrid>
      <w:tr w:rsidR="00E87AC6" w:rsidRPr="009A0BD8" w14:paraId="23D75621" w14:textId="77777777" w:rsidTr="004838D7">
        <w:trPr>
          <w:cantSplit/>
          <w:jc w:val="center"/>
        </w:trPr>
        <w:tc>
          <w:tcPr>
            <w:tcW w:w="5556" w:type="dxa"/>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14:paraId="2398AF9B" w14:textId="77777777" w:rsidR="00E87AC6" w:rsidRPr="009A0BD8" w:rsidRDefault="00E87AC6" w:rsidP="004838D7">
            <w:pPr>
              <w:spacing w:after="0" w:line="240" w:lineRule="auto"/>
              <w:jc w:val="center"/>
              <w:rPr>
                <w:rFonts w:ascii="Arial" w:eastAsia="Times New Roman" w:hAnsi="Arial" w:cs="Arial"/>
                <w:b/>
                <w:bCs/>
                <w:color w:val="FFFFFF"/>
                <w:sz w:val="16"/>
                <w:szCs w:val="16"/>
                <w:lang w:eastAsia="hr-HR"/>
              </w:rPr>
            </w:pPr>
            <w:r w:rsidRPr="009A0BD8">
              <w:rPr>
                <w:rFonts w:ascii="Arial" w:eastAsia="Times New Roman" w:hAnsi="Arial" w:cs="Arial"/>
                <w:b/>
                <w:bCs/>
                <w:color w:val="FFFFFF"/>
                <w:sz w:val="16"/>
                <w:szCs w:val="16"/>
                <w:lang w:eastAsia="hr-HR"/>
              </w:rPr>
              <w:t>Opis</w:t>
            </w:r>
          </w:p>
        </w:tc>
        <w:tc>
          <w:tcPr>
            <w:tcW w:w="3231" w:type="dxa"/>
            <w:gridSpan w:val="3"/>
            <w:tcBorders>
              <w:top w:val="single" w:sz="4" w:space="0" w:color="FFFFFF"/>
              <w:left w:val="nil"/>
              <w:bottom w:val="single" w:sz="4" w:space="0" w:color="FFFFFF"/>
              <w:right w:val="single" w:sz="4" w:space="0" w:color="FFFFFF"/>
            </w:tcBorders>
            <w:shd w:val="clear" w:color="000000" w:fill="17365D"/>
            <w:vAlign w:val="center"/>
            <w:hideMark/>
          </w:tcPr>
          <w:p w14:paraId="3395862E" w14:textId="77777777" w:rsidR="00E87AC6" w:rsidRPr="009A0BD8" w:rsidRDefault="00E87AC6" w:rsidP="004838D7">
            <w:pPr>
              <w:spacing w:after="0" w:line="240" w:lineRule="auto"/>
              <w:jc w:val="center"/>
              <w:rPr>
                <w:rFonts w:ascii="Arial" w:eastAsia="Times New Roman" w:hAnsi="Arial" w:cs="Arial"/>
                <w:b/>
                <w:bCs/>
                <w:color w:val="FFFFFF"/>
                <w:sz w:val="18"/>
                <w:szCs w:val="18"/>
                <w:lang w:eastAsia="hr-HR"/>
              </w:rPr>
            </w:pPr>
            <w:r w:rsidRPr="009A0BD8">
              <w:rPr>
                <w:rFonts w:ascii="Arial" w:eastAsia="Times New Roman" w:hAnsi="Arial" w:cs="Arial"/>
                <w:b/>
                <w:bCs/>
                <w:color w:val="FFFFFF"/>
                <w:sz w:val="18"/>
                <w:szCs w:val="18"/>
                <w:lang w:eastAsia="hr-HR"/>
              </w:rPr>
              <w:t>Grad Zagreb</w:t>
            </w:r>
          </w:p>
        </w:tc>
        <w:tc>
          <w:tcPr>
            <w:tcW w:w="969" w:type="dxa"/>
            <w:vMerge w:val="restart"/>
            <w:tcBorders>
              <w:top w:val="single" w:sz="4" w:space="0" w:color="FFFFFF"/>
              <w:left w:val="single" w:sz="4" w:space="0" w:color="FFFFFF"/>
              <w:right w:val="single" w:sz="4" w:space="0" w:color="FFFFFF"/>
            </w:tcBorders>
            <w:shd w:val="clear" w:color="000000" w:fill="17365D"/>
            <w:vAlign w:val="center"/>
            <w:hideMark/>
          </w:tcPr>
          <w:p w14:paraId="0A496762" w14:textId="77777777" w:rsidR="00E87AC6" w:rsidRPr="009A0BD8" w:rsidRDefault="00E87AC6" w:rsidP="004838D7">
            <w:pPr>
              <w:spacing w:after="0" w:line="240" w:lineRule="auto"/>
              <w:jc w:val="center"/>
              <w:rPr>
                <w:rFonts w:ascii="Arial" w:eastAsia="Times New Roman" w:hAnsi="Arial" w:cs="Arial"/>
                <w:b/>
                <w:bCs/>
                <w:color w:val="FFFFFF"/>
                <w:sz w:val="16"/>
                <w:szCs w:val="16"/>
                <w:lang w:eastAsia="hr-HR"/>
              </w:rPr>
            </w:pPr>
            <w:r w:rsidRPr="009A0BD8">
              <w:rPr>
                <w:rFonts w:ascii="Arial" w:eastAsia="Times New Roman" w:hAnsi="Arial" w:cs="Arial"/>
                <w:b/>
                <w:bCs/>
                <w:color w:val="FFFFFF"/>
                <w:sz w:val="16"/>
                <w:szCs w:val="16"/>
                <w:lang w:eastAsia="hr-HR"/>
              </w:rPr>
              <w:t xml:space="preserve">Udjel % </w:t>
            </w:r>
          </w:p>
          <w:p w14:paraId="3D0FD7D2" w14:textId="77777777" w:rsidR="00E87AC6" w:rsidRPr="009A0BD8" w:rsidRDefault="00E87AC6" w:rsidP="004838D7">
            <w:pPr>
              <w:spacing w:after="0" w:line="240" w:lineRule="auto"/>
              <w:jc w:val="center"/>
              <w:rPr>
                <w:rFonts w:ascii="Arial" w:eastAsia="Times New Roman" w:hAnsi="Arial" w:cs="Arial"/>
                <w:b/>
                <w:bCs/>
                <w:color w:val="FFFFFF"/>
                <w:sz w:val="16"/>
                <w:szCs w:val="16"/>
                <w:lang w:eastAsia="hr-HR"/>
              </w:rPr>
            </w:pPr>
            <w:r w:rsidRPr="009A0BD8">
              <w:rPr>
                <w:rFonts w:ascii="Arial" w:eastAsia="Times New Roman" w:hAnsi="Arial" w:cs="Arial"/>
                <w:b/>
                <w:bCs/>
                <w:color w:val="FFFFFF"/>
                <w:sz w:val="16"/>
                <w:szCs w:val="16"/>
                <w:lang w:eastAsia="hr-HR"/>
              </w:rPr>
              <w:t>ZG u RH</w:t>
            </w:r>
          </w:p>
        </w:tc>
      </w:tr>
      <w:tr w:rsidR="00E87AC6" w:rsidRPr="009A0BD8" w14:paraId="18CA110D" w14:textId="77777777" w:rsidTr="004838D7">
        <w:trPr>
          <w:cantSplit/>
          <w:jc w:val="center"/>
        </w:trPr>
        <w:tc>
          <w:tcPr>
            <w:tcW w:w="5556" w:type="dxa"/>
            <w:vMerge/>
            <w:tcBorders>
              <w:top w:val="single" w:sz="4" w:space="0" w:color="FFFFFF"/>
              <w:left w:val="single" w:sz="4" w:space="0" w:color="FFFFFF"/>
              <w:bottom w:val="single" w:sz="4" w:space="0" w:color="FFFFFF"/>
              <w:right w:val="single" w:sz="4" w:space="0" w:color="FFFFFF"/>
            </w:tcBorders>
            <w:vAlign w:val="center"/>
            <w:hideMark/>
          </w:tcPr>
          <w:p w14:paraId="170FE45E" w14:textId="77777777" w:rsidR="00E87AC6" w:rsidRPr="009A0BD8" w:rsidRDefault="00E87AC6" w:rsidP="004838D7">
            <w:pPr>
              <w:spacing w:after="0" w:line="240" w:lineRule="auto"/>
              <w:rPr>
                <w:rFonts w:ascii="Arial" w:eastAsia="Times New Roman" w:hAnsi="Arial" w:cs="Arial"/>
                <w:b/>
                <w:bCs/>
                <w:color w:val="FF0000"/>
                <w:sz w:val="16"/>
                <w:szCs w:val="16"/>
                <w:lang w:eastAsia="hr-HR"/>
              </w:rPr>
            </w:pPr>
          </w:p>
        </w:tc>
        <w:tc>
          <w:tcPr>
            <w:tcW w:w="1247" w:type="dxa"/>
            <w:tcBorders>
              <w:top w:val="nil"/>
              <w:left w:val="nil"/>
              <w:bottom w:val="nil"/>
              <w:right w:val="single" w:sz="4" w:space="0" w:color="FFFFFF"/>
            </w:tcBorders>
            <w:shd w:val="clear" w:color="000000" w:fill="003366"/>
            <w:vAlign w:val="center"/>
            <w:hideMark/>
          </w:tcPr>
          <w:p w14:paraId="57B89C59" w14:textId="77777777" w:rsidR="00E87AC6" w:rsidRPr="009A0BD8" w:rsidRDefault="00E87AC6" w:rsidP="004838D7">
            <w:pPr>
              <w:spacing w:after="0" w:line="240" w:lineRule="auto"/>
              <w:jc w:val="center"/>
              <w:rPr>
                <w:rFonts w:ascii="Arial" w:eastAsia="Times New Roman" w:hAnsi="Arial" w:cs="Arial"/>
                <w:b/>
                <w:bCs/>
                <w:color w:val="FFFFFF"/>
                <w:sz w:val="16"/>
                <w:szCs w:val="16"/>
                <w:lang w:eastAsia="hr-HR"/>
              </w:rPr>
            </w:pPr>
            <w:r w:rsidRPr="009A0BD8">
              <w:rPr>
                <w:rFonts w:ascii="Arial" w:eastAsia="Times New Roman" w:hAnsi="Arial" w:cs="Arial"/>
                <w:b/>
                <w:bCs/>
                <w:color w:val="FFFFFF"/>
                <w:sz w:val="16"/>
                <w:szCs w:val="16"/>
                <w:lang w:eastAsia="hr-HR"/>
              </w:rPr>
              <w:t xml:space="preserve">2018. </w:t>
            </w:r>
          </w:p>
        </w:tc>
        <w:tc>
          <w:tcPr>
            <w:tcW w:w="1247" w:type="dxa"/>
            <w:tcBorders>
              <w:top w:val="nil"/>
              <w:left w:val="nil"/>
              <w:bottom w:val="nil"/>
              <w:right w:val="single" w:sz="4" w:space="0" w:color="FFFFFF"/>
            </w:tcBorders>
            <w:shd w:val="clear" w:color="000000" w:fill="003366"/>
            <w:vAlign w:val="center"/>
            <w:hideMark/>
          </w:tcPr>
          <w:p w14:paraId="6052F6FE" w14:textId="77777777" w:rsidR="00E87AC6" w:rsidRPr="009A0BD8" w:rsidRDefault="00E87AC6" w:rsidP="004838D7">
            <w:pPr>
              <w:spacing w:after="0" w:line="240" w:lineRule="auto"/>
              <w:jc w:val="center"/>
              <w:rPr>
                <w:rFonts w:ascii="Arial" w:eastAsia="Times New Roman" w:hAnsi="Arial" w:cs="Arial"/>
                <w:b/>
                <w:bCs/>
                <w:color w:val="FFFFFF"/>
                <w:sz w:val="16"/>
                <w:szCs w:val="16"/>
                <w:lang w:eastAsia="hr-HR"/>
              </w:rPr>
            </w:pPr>
            <w:r w:rsidRPr="009A0BD8">
              <w:rPr>
                <w:rFonts w:ascii="Arial" w:eastAsia="Times New Roman" w:hAnsi="Arial" w:cs="Arial"/>
                <w:b/>
                <w:bCs/>
                <w:color w:val="FFFFFF"/>
                <w:sz w:val="16"/>
                <w:szCs w:val="16"/>
                <w:lang w:eastAsia="hr-HR"/>
              </w:rPr>
              <w:t xml:space="preserve">2019. </w:t>
            </w:r>
          </w:p>
        </w:tc>
        <w:tc>
          <w:tcPr>
            <w:tcW w:w="737" w:type="dxa"/>
            <w:tcBorders>
              <w:top w:val="nil"/>
              <w:left w:val="nil"/>
              <w:bottom w:val="single" w:sz="4" w:space="0" w:color="FFFFFF"/>
              <w:right w:val="single" w:sz="4" w:space="0" w:color="FFFFFF"/>
            </w:tcBorders>
            <w:shd w:val="clear" w:color="000000" w:fill="003366"/>
            <w:vAlign w:val="center"/>
            <w:hideMark/>
          </w:tcPr>
          <w:p w14:paraId="69DA675B" w14:textId="77777777" w:rsidR="00E87AC6" w:rsidRPr="009A0BD8" w:rsidRDefault="00E87AC6" w:rsidP="004838D7">
            <w:pPr>
              <w:spacing w:after="0" w:line="240" w:lineRule="auto"/>
              <w:jc w:val="center"/>
              <w:rPr>
                <w:rFonts w:ascii="Arial" w:eastAsia="Times New Roman" w:hAnsi="Arial" w:cs="Arial"/>
                <w:b/>
                <w:bCs/>
                <w:color w:val="FFFFFF"/>
                <w:sz w:val="16"/>
                <w:szCs w:val="16"/>
                <w:lang w:eastAsia="hr-HR"/>
              </w:rPr>
            </w:pPr>
            <w:r w:rsidRPr="009A0BD8">
              <w:rPr>
                <w:rFonts w:ascii="Arial" w:eastAsia="Times New Roman" w:hAnsi="Arial" w:cs="Arial"/>
                <w:b/>
                <w:bCs/>
                <w:color w:val="FFFFFF"/>
                <w:sz w:val="16"/>
                <w:szCs w:val="16"/>
                <w:lang w:eastAsia="hr-HR"/>
              </w:rPr>
              <w:t>Index</w:t>
            </w:r>
          </w:p>
        </w:tc>
        <w:tc>
          <w:tcPr>
            <w:tcW w:w="969" w:type="dxa"/>
            <w:vMerge/>
            <w:tcBorders>
              <w:left w:val="single" w:sz="4" w:space="0" w:color="FFFFFF"/>
              <w:bottom w:val="single" w:sz="4" w:space="0" w:color="FFFFFF"/>
              <w:right w:val="single" w:sz="4" w:space="0" w:color="FFFFFF"/>
            </w:tcBorders>
            <w:vAlign w:val="center"/>
            <w:hideMark/>
          </w:tcPr>
          <w:p w14:paraId="7ABBFC46" w14:textId="77777777" w:rsidR="00E87AC6" w:rsidRPr="009A0BD8" w:rsidRDefault="00E87AC6" w:rsidP="004838D7">
            <w:pPr>
              <w:spacing w:after="0" w:line="240" w:lineRule="auto"/>
              <w:rPr>
                <w:rFonts w:ascii="Arial" w:eastAsia="Times New Roman" w:hAnsi="Arial" w:cs="Arial"/>
                <w:b/>
                <w:bCs/>
                <w:color w:val="FF0000"/>
                <w:sz w:val="16"/>
                <w:szCs w:val="16"/>
                <w:lang w:eastAsia="hr-HR"/>
              </w:rPr>
            </w:pPr>
          </w:p>
        </w:tc>
      </w:tr>
      <w:tr w:rsidR="00E87AC6" w:rsidRPr="009A0BD8" w14:paraId="70A4D80F" w14:textId="77777777" w:rsidTr="004838D7">
        <w:trPr>
          <w:cantSplit/>
          <w:trHeight w:val="227"/>
          <w:jc w:val="center"/>
        </w:trPr>
        <w:tc>
          <w:tcPr>
            <w:tcW w:w="5556" w:type="dxa"/>
            <w:tcBorders>
              <w:top w:val="single" w:sz="4" w:space="0" w:color="D9D9D9"/>
              <w:left w:val="single" w:sz="4" w:space="0" w:color="D9D9D9"/>
              <w:bottom w:val="single" w:sz="4" w:space="0" w:color="D9D9D9"/>
              <w:right w:val="single" w:sz="4" w:space="0" w:color="D9D9D9"/>
            </w:tcBorders>
            <w:shd w:val="clear" w:color="auto" w:fill="auto"/>
            <w:noWrap/>
            <w:vAlign w:val="center"/>
            <w:hideMark/>
          </w:tcPr>
          <w:p w14:paraId="1AFCF0DF"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Broj poduzetnika</w:t>
            </w:r>
          </w:p>
        </w:tc>
        <w:tc>
          <w:tcPr>
            <w:tcW w:w="1247" w:type="dxa"/>
            <w:tcBorders>
              <w:top w:val="single" w:sz="4" w:space="0" w:color="D9D9D9"/>
              <w:left w:val="nil"/>
              <w:bottom w:val="single" w:sz="4" w:space="0" w:color="D9D9D9"/>
              <w:right w:val="single" w:sz="4" w:space="0" w:color="D9D9D9"/>
            </w:tcBorders>
            <w:shd w:val="clear" w:color="000000" w:fill="FFFFFF"/>
            <w:noWrap/>
            <w:vAlign w:val="center"/>
            <w:hideMark/>
          </w:tcPr>
          <w:p w14:paraId="74B169FC"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 </w:t>
            </w:r>
          </w:p>
        </w:tc>
        <w:tc>
          <w:tcPr>
            <w:tcW w:w="1247" w:type="dxa"/>
            <w:tcBorders>
              <w:top w:val="single" w:sz="4" w:space="0" w:color="D9D9D9"/>
              <w:left w:val="nil"/>
              <w:bottom w:val="single" w:sz="4" w:space="0" w:color="D9D9D9"/>
              <w:right w:val="single" w:sz="4" w:space="0" w:color="D9D9D9"/>
            </w:tcBorders>
            <w:shd w:val="clear" w:color="000000" w:fill="FFFFFF"/>
            <w:noWrap/>
            <w:vAlign w:val="center"/>
            <w:hideMark/>
          </w:tcPr>
          <w:p w14:paraId="553BD39E"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45.608</w:t>
            </w:r>
          </w:p>
        </w:tc>
        <w:tc>
          <w:tcPr>
            <w:tcW w:w="737" w:type="dxa"/>
            <w:tcBorders>
              <w:top w:val="nil"/>
              <w:left w:val="nil"/>
              <w:bottom w:val="single" w:sz="4" w:space="0" w:color="FFFFFF"/>
              <w:right w:val="nil"/>
            </w:tcBorders>
            <w:shd w:val="clear" w:color="000000" w:fill="DCE6F1"/>
            <w:noWrap/>
            <w:vAlign w:val="center"/>
            <w:hideMark/>
          </w:tcPr>
          <w:p w14:paraId="733243F7"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w:t>
            </w:r>
          </w:p>
        </w:tc>
        <w:tc>
          <w:tcPr>
            <w:tcW w:w="969" w:type="dxa"/>
            <w:tcBorders>
              <w:top w:val="single" w:sz="4" w:space="0" w:color="D9D9D9"/>
              <w:left w:val="single" w:sz="4" w:space="0" w:color="D9D9D9"/>
              <w:bottom w:val="single" w:sz="4" w:space="0" w:color="D9D9D9"/>
              <w:right w:val="single" w:sz="4" w:space="0" w:color="D9D9D9"/>
            </w:tcBorders>
            <w:shd w:val="clear" w:color="auto" w:fill="auto"/>
            <w:noWrap/>
            <w:vAlign w:val="center"/>
          </w:tcPr>
          <w:p w14:paraId="6A664653"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33,5</w:t>
            </w:r>
          </w:p>
        </w:tc>
      </w:tr>
      <w:tr w:rsidR="00E87AC6" w:rsidRPr="009A0BD8" w14:paraId="45E30AFD"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7F01A597"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Broj dobitaša</w:t>
            </w:r>
          </w:p>
        </w:tc>
        <w:tc>
          <w:tcPr>
            <w:tcW w:w="1247" w:type="dxa"/>
            <w:tcBorders>
              <w:top w:val="nil"/>
              <w:left w:val="nil"/>
              <w:bottom w:val="single" w:sz="4" w:space="0" w:color="D9D9D9"/>
              <w:right w:val="single" w:sz="4" w:space="0" w:color="D9D9D9"/>
            </w:tcBorders>
            <w:shd w:val="clear" w:color="000000" w:fill="FFFFFF"/>
            <w:noWrap/>
            <w:vAlign w:val="center"/>
            <w:hideMark/>
          </w:tcPr>
          <w:p w14:paraId="7D3A92A7"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28.583</w:t>
            </w:r>
          </w:p>
        </w:tc>
        <w:tc>
          <w:tcPr>
            <w:tcW w:w="1247" w:type="dxa"/>
            <w:tcBorders>
              <w:top w:val="nil"/>
              <w:left w:val="nil"/>
              <w:bottom w:val="single" w:sz="4" w:space="0" w:color="D9D9D9"/>
              <w:right w:val="single" w:sz="4" w:space="0" w:color="D9D9D9"/>
            </w:tcBorders>
            <w:shd w:val="clear" w:color="000000" w:fill="FFFFFF"/>
            <w:noWrap/>
            <w:vAlign w:val="center"/>
            <w:hideMark/>
          </w:tcPr>
          <w:p w14:paraId="4B191A2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30.614</w:t>
            </w:r>
          </w:p>
        </w:tc>
        <w:tc>
          <w:tcPr>
            <w:tcW w:w="737" w:type="dxa"/>
            <w:tcBorders>
              <w:top w:val="nil"/>
              <w:left w:val="nil"/>
              <w:bottom w:val="single" w:sz="4" w:space="0" w:color="FFFFFF"/>
              <w:right w:val="nil"/>
            </w:tcBorders>
            <w:shd w:val="clear" w:color="000000" w:fill="DCE6F1"/>
            <w:noWrap/>
            <w:vAlign w:val="center"/>
            <w:hideMark/>
          </w:tcPr>
          <w:p w14:paraId="1D0D7CB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107,1</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29769947"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33,7</w:t>
            </w:r>
          </w:p>
        </w:tc>
      </w:tr>
      <w:tr w:rsidR="00E87AC6" w:rsidRPr="009A0BD8" w14:paraId="1695BE18"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32296FB7"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Broj gubitaša</w:t>
            </w:r>
          </w:p>
        </w:tc>
        <w:tc>
          <w:tcPr>
            <w:tcW w:w="1247" w:type="dxa"/>
            <w:tcBorders>
              <w:top w:val="nil"/>
              <w:left w:val="nil"/>
              <w:bottom w:val="single" w:sz="4" w:space="0" w:color="D9D9D9"/>
              <w:right w:val="single" w:sz="4" w:space="0" w:color="D9D9D9"/>
            </w:tcBorders>
            <w:shd w:val="clear" w:color="000000" w:fill="FFFFFF"/>
            <w:noWrap/>
            <w:vAlign w:val="center"/>
            <w:hideMark/>
          </w:tcPr>
          <w:p w14:paraId="7AAF9738"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12.584</w:t>
            </w:r>
          </w:p>
        </w:tc>
        <w:tc>
          <w:tcPr>
            <w:tcW w:w="1247" w:type="dxa"/>
            <w:tcBorders>
              <w:top w:val="nil"/>
              <w:left w:val="nil"/>
              <w:bottom w:val="single" w:sz="4" w:space="0" w:color="D9D9D9"/>
              <w:right w:val="single" w:sz="4" w:space="0" w:color="D9D9D9"/>
            </w:tcBorders>
            <w:shd w:val="clear" w:color="000000" w:fill="FFFFFF"/>
            <w:noWrap/>
            <w:vAlign w:val="center"/>
            <w:hideMark/>
          </w:tcPr>
          <w:p w14:paraId="3D493415"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14.994</w:t>
            </w:r>
          </w:p>
        </w:tc>
        <w:tc>
          <w:tcPr>
            <w:tcW w:w="737" w:type="dxa"/>
            <w:tcBorders>
              <w:top w:val="nil"/>
              <w:left w:val="nil"/>
              <w:bottom w:val="single" w:sz="4" w:space="0" w:color="FFFFFF"/>
              <w:right w:val="nil"/>
            </w:tcBorders>
            <w:shd w:val="clear" w:color="000000" w:fill="DCE6F1"/>
            <w:noWrap/>
            <w:vAlign w:val="center"/>
            <w:hideMark/>
          </w:tcPr>
          <w:p w14:paraId="3C5FE378"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119,2</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45A64444"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33,1</w:t>
            </w:r>
          </w:p>
        </w:tc>
      </w:tr>
      <w:tr w:rsidR="00E87AC6" w:rsidRPr="009A0BD8" w14:paraId="6AFE12E4"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09AA6CF3"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Broj zaposlenih</w:t>
            </w:r>
          </w:p>
        </w:tc>
        <w:tc>
          <w:tcPr>
            <w:tcW w:w="1247" w:type="dxa"/>
            <w:tcBorders>
              <w:top w:val="nil"/>
              <w:left w:val="nil"/>
              <w:bottom w:val="single" w:sz="4" w:space="0" w:color="D9D9D9"/>
              <w:right w:val="single" w:sz="4" w:space="0" w:color="D9D9D9"/>
            </w:tcBorders>
            <w:shd w:val="clear" w:color="000000" w:fill="FFFFFF"/>
            <w:noWrap/>
            <w:vAlign w:val="center"/>
            <w:hideMark/>
          </w:tcPr>
          <w:p w14:paraId="6A224BAA"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340.705</w:t>
            </w:r>
          </w:p>
        </w:tc>
        <w:tc>
          <w:tcPr>
            <w:tcW w:w="1247" w:type="dxa"/>
            <w:tcBorders>
              <w:top w:val="nil"/>
              <w:left w:val="nil"/>
              <w:bottom w:val="single" w:sz="4" w:space="0" w:color="D9D9D9"/>
              <w:right w:val="single" w:sz="4" w:space="0" w:color="D9D9D9"/>
            </w:tcBorders>
            <w:shd w:val="clear" w:color="000000" w:fill="FFFFFF"/>
            <w:noWrap/>
            <w:vAlign w:val="center"/>
            <w:hideMark/>
          </w:tcPr>
          <w:p w14:paraId="40BDAB1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372.776</w:t>
            </w:r>
          </w:p>
        </w:tc>
        <w:tc>
          <w:tcPr>
            <w:tcW w:w="737" w:type="dxa"/>
            <w:tcBorders>
              <w:top w:val="nil"/>
              <w:left w:val="nil"/>
              <w:bottom w:val="single" w:sz="4" w:space="0" w:color="FFFFFF"/>
              <w:right w:val="nil"/>
            </w:tcBorders>
            <w:shd w:val="clear" w:color="000000" w:fill="DCE6F1"/>
            <w:noWrap/>
            <w:vAlign w:val="center"/>
            <w:hideMark/>
          </w:tcPr>
          <w:p w14:paraId="4759BEF7"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109,4</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58FFDE40"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38,4</w:t>
            </w:r>
          </w:p>
        </w:tc>
      </w:tr>
      <w:tr w:rsidR="00E87AC6" w:rsidRPr="009A0BD8" w14:paraId="619D735C"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3027A645"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Ukupni prihodi</w:t>
            </w:r>
          </w:p>
        </w:tc>
        <w:tc>
          <w:tcPr>
            <w:tcW w:w="1247" w:type="dxa"/>
            <w:tcBorders>
              <w:top w:val="nil"/>
              <w:left w:val="nil"/>
              <w:bottom w:val="single" w:sz="4" w:space="0" w:color="D9D9D9"/>
              <w:right w:val="single" w:sz="4" w:space="0" w:color="D9D9D9"/>
            </w:tcBorders>
            <w:shd w:val="clear" w:color="000000" w:fill="FFFFFF"/>
            <w:noWrap/>
            <w:vAlign w:val="center"/>
            <w:hideMark/>
          </w:tcPr>
          <w:p w14:paraId="7C227F34"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357.490.764</w:t>
            </w:r>
          </w:p>
        </w:tc>
        <w:tc>
          <w:tcPr>
            <w:tcW w:w="1247" w:type="dxa"/>
            <w:tcBorders>
              <w:top w:val="nil"/>
              <w:left w:val="nil"/>
              <w:bottom w:val="single" w:sz="4" w:space="0" w:color="D9D9D9"/>
              <w:right w:val="single" w:sz="4" w:space="0" w:color="D9D9D9"/>
            </w:tcBorders>
            <w:shd w:val="clear" w:color="000000" w:fill="FFFFFF"/>
            <w:noWrap/>
            <w:vAlign w:val="center"/>
            <w:hideMark/>
          </w:tcPr>
          <w:p w14:paraId="5276DB6F"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399.898.534</w:t>
            </w:r>
          </w:p>
        </w:tc>
        <w:tc>
          <w:tcPr>
            <w:tcW w:w="737" w:type="dxa"/>
            <w:tcBorders>
              <w:top w:val="nil"/>
              <w:left w:val="nil"/>
              <w:bottom w:val="single" w:sz="4" w:space="0" w:color="FFFFFF"/>
              <w:right w:val="nil"/>
            </w:tcBorders>
            <w:shd w:val="clear" w:color="000000" w:fill="DCE6F1"/>
            <w:noWrap/>
            <w:vAlign w:val="center"/>
            <w:hideMark/>
          </w:tcPr>
          <w:p w14:paraId="34CD20BE"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111,9</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3C6DF6AF"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50,2</w:t>
            </w:r>
          </w:p>
        </w:tc>
      </w:tr>
      <w:tr w:rsidR="00E87AC6" w:rsidRPr="009A0BD8" w14:paraId="07D30FD2"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705F7DD1"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Ukupni rashodi</w:t>
            </w:r>
          </w:p>
        </w:tc>
        <w:tc>
          <w:tcPr>
            <w:tcW w:w="1247" w:type="dxa"/>
            <w:tcBorders>
              <w:top w:val="nil"/>
              <w:left w:val="nil"/>
              <w:bottom w:val="single" w:sz="4" w:space="0" w:color="D9D9D9"/>
              <w:right w:val="single" w:sz="4" w:space="0" w:color="D9D9D9"/>
            </w:tcBorders>
            <w:shd w:val="clear" w:color="000000" w:fill="FFFFFF"/>
            <w:noWrap/>
            <w:vAlign w:val="center"/>
            <w:hideMark/>
          </w:tcPr>
          <w:p w14:paraId="1A6A9C43"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334.955.330</w:t>
            </w:r>
          </w:p>
        </w:tc>
        <w:tc>
          <w:tcPr>
            <w:tcW w:w="1247" w:type="dxa"/>
            <w:tcBorders>
              <w:top w:val="nil"/>
              <w:left w:val="nil"/>
              <w:bottom w:val="single" w:sz="4" w:space="0" w:color="D9D9D9"/>
              <w:right w:val="single" w:sz="4" w:space="0" w:color="D9D9D9"/>
            </w:tcBorders>
            <w:shd w:val="clear" w:color="000000" w:fill="FFFFFF"/>
            <w:noWrap/>
            <w:vAlign w:val="center"/>
            <w:hideMark/>
          </w:tcPr>
          <w:p w14:paraId="06F96805"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376.832.272</w:t>
            </w:r>
          </w:p>
        </w:tc>
        <w:tc>
          <w:tcPr>
            <w:tcW w:w="737" w:type="dxa"/>
            <w:tcBorders>
              <w:top w:val="nil"/>
              <w:left w:val="nil"/>
              <w:bottom w:val="single" w:sz="4" w:space="0" w:color="FFFFFF"/>
              <w:right w:val="nil"/>
            </w:tcBorders>
            <w:shd w:val="clear" w:color="000000" w:fill="DCE6F1"/>
            <w:noWrap/>
            <w:vAlign w:val="center"/>
            <w:hideMark/>
          </w:tcPr>
          <w:p w14:paraId="29184BB4"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112,5</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241D019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49,8</w:t>
            </w:r>
          </w:p>
        </w:tc>
      </w:tr>
      <w:tr w:rsidR="00E87AC6" w:rsidRPr="009A0BD8" w14:paraId="41DAEC51"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47129879"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Dobit prije oporezivanja</w:t>
            </w:r>
          </w:p>
        </w:tc>
        <w:tc>
          <w:tcPr>
            <w:tcW w:w="1247" w:type="dxa"/>
            <w:tcBorders>
              <w:top w:val="nil"/>
              <w:left w:val="nil"/>
              <w:bottom w:val="single" w:sz="4" w:space="0" w:color="D9D9D9"/>
              <w:right w:val="single" w:sz="4" w:space="0" w:color="D9D9D9"/>
            </w:tcBorders>
            <w:shd w:val="clear" w:color="000000" w:fill="FFFFFF"/>
            <w:noWrap/>
            <w:vAlign w:val="center"/>
            <w:hideMark/>
          </w:tcPr>
          <w:p w14:paraId="2F7021BD"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28.398.130</w:t>
            </w:r>
          </w:p>
        </w:tc>
        <w:tc>
          <w:tcPr>
            <w:tcW w:w="1247" w:type="dxa"/>
            <w:tcBorders>
              <w:top w:val="nil"/>
              <w:left w:val="nil"/>
              <w:bottom w:val="single" w:sz="4" w:space="0" w:color="D9D9D9"/>
              <w:right w:val="single" w:sz="4" w:space="0" w:color="D9D9D9"/>
            </w:tcBorders>
            <w:shd w:val="clear" w:color="000000" w:fill="FFFFFF"/>
            <w:noWrap/>
            <w:vAlign w:val="center"/>
            <w:hideMark/>
          </w:tcPr>
          <w:p w14:paraId="7BCB29F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30.825.179</w:t>
            </w:r>
          </w:p>
        </w:tc>
        <w:tc>
          <w:tcPr>
            <w:tcW w:w="737" w:type="dxa"/>
            <w:tcBorders>
              <w:top w:val="nil"/>
              <w:left w:val="nil"/>
              <w:bottom w:val="single" w:sz="4" w:space="0" w:color="FFFFFF"/>
              <w:right w:val="nil"/>
            </w:tcBorders>
            <w:shd w:val="clear" w:color="000000" w:fill="DCE6F1"/>
            <w:noWrap/>
            <w:vAlign w:val="center"/>
            <w:hideMark/>
          </w:tcPr>
          <w:p w14:paraId="3C152465"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108,5</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12221DB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53,9</w:t>
            </w:r>
          </w:p>
        </w:tc>
      </w:tr>
      <w:tr w:rsidR="00E87AC6" w:rsidRPr="009A0BD8" w14:paraId="009C6308"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06A8BC6A"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Gubitak prije oporezivanja</w:t>
            </w:r>
          </w:p>
        </w:tc>
        <w:tc>
          <w:tcPr>
            <w:tcW w:w="1247" w:type="dxa"/>
            <w:tcBorders>
              <w:top w:val="nil"/>
              <w:left w:val="nil"/>
              <w:bottom w:val="single" w:sz="4" w:space="0" w:color="D9D9D9"/>
              <w:right w:val="single" w:sz="4" w:space="0" w:color="D9D9D9"/>
            </w:tcBorders>
            <w:shd w:val="clear" w:color="000000" w:fill="FFFFFF"/>
            <w:noWrap/>
            <w:vAlign w:val="center"/>
            <w:hideMark/>
          </w:tcPr>
          <w:p w14:paraId="1250F1F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5.862.696</w:t>
            </w:r>
          </w:p>
        </w:tc>
        <w:tc>
          <w:tcPr>
            <w:tcW w:w="1247" w:type="dxa"/>
            <w:tcBorders>
              <w:top w:val="nil"/>
              <w:left w:val="nil"/>
              <w:bottom w:val="single" w:sz="4" w:space="0" w:color="D9D9D9"/>
              <w:right w:val="single" w:sz="4" w:space="0" w:color="D9D9D9"/>
            </w:tcBorders>
            <w:shd w:val="clear" w:color="000000" w:fill="FFFFFF"/>
            <w:noWrap/>
            <w:vAlign w:val="center"/>
            <w:hideMark/>
          </w:tcPr>
          <w:p w14:paraId="465E96AC"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7.758.917</w:t>
            </w:r>
          </w:p>
        </w:tc>
        <w:tc>
          <w:tcPr>
            <w:tcW w:w="737" w:type="dxa"/>
            <w:tcBorders>
              <w:top w:val="nil"/>
              <w:left w:val="nil"/>
              <w:bottom w:val="single" w:sz="4" w:space="0" w:color="FFFFFF"/>
              <w:right w:val="nil"/>
            </w:tcBorders>
            <w:shd w:val="clear" w:color="000000" w:fill="DCE6F1"/>
            <w:noWrap/>
            <w:vAlign w:val="center"/>
            <w:hideMark/>
          </w:tcPr>
          <w:p w14:paraId="35C7227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132,3</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338140B6"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44,1</w:t>
            </w:r>
          </w:p>
        </w:tc>
      </w:tr>
      <w:tr w:rsidR="00E87AC6" w:rsidRPr="009A0BD8" w14:paraId="07108994"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0A8FE661"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Porez na dobit</w:t>
            </w:r>
          </w:p>
        </w:tc>
        <w:tc>
          <w:tcPr>
            <w:tcW w:w="1247" w:type="dxa"/>
            <w:tcBorders>
              <w:top w:val="nil"/>
              <w:left w:val="nil"/>
              <w:bottom w:val="single" w:sz="4" w:space="0" w:color="D9D9D9"/>
              <w:right w:val="single" w:sz="4" w:space="0" w:color="D9D9D9"/>
            </w:tcBorders>
            <w:shd w:val="clear" w:color="000000" w:fill="FFFFFF"/>
            <w:noWrap/>
            <w:vAlign w:val="center"/>
            <w:hideMark/>
          </w:tcPr>
          <w:p w14:paraId="4D85BAC1"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4.210.978</w:t>
            </w:r>
          </w:p>
        </w:tc>
        <w:tc>
          <w:tcPr>
            <w:tcW w:w="1247" w:type="dxa"/>
            <w:tcBorders>
              <w:top w:val="nil"/>
              <w:left w:val="nil"/>
              <w:bottom w:val="single" w:sz="4" w:space="0" w:color="D9D9D9"/>
              <w:right w:val="single" w:sz="4" w:space="0" w:color="D9D9D9"/>
            </w:tcBorders>
            <w:shd w:val="clear" w:color="000000" w:fill="FFFFFF"/>
            <w:noWrap/>
            <w:vAlign w:val="center"/>
            <w:hideMark/>
          </w:tcPr>
          <w:p w14:paraId="1E5A6734"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4.556.489</w:t>
            </w:r>
          </w:p>
        </w:tc>
        <w:tc>
          <w:tcPr>
            <w:tcW w:w="737" w:type="dxa"/>
            <w:tcBorders>
              <w:top w:val="nil"/>
              <w:left w:val="nil"/>
              <w:bottom w:val="single" w:sz="4" w:space="0" w:color="FFFFFF"/>
              <w:right w:val="nil"/>
            </w:tcBorders>
            <w:shd w:val="clear" w:color="000000" w:fill="DCE6F1"/>
            <w:noWrap/>
            <w:vAlign w:val="center"/>
            <w:hideMark/>
          </w:tcPr>
          <w:p w14:paraId="0D35F30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108,2</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69B95C23"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54,6</w:t>
            </w:r>
          </w:p>
        </w:tc>
      </w:tr>
      <w:tr w:rsidR="00E87AC6" w:rsidRPr="009A0BD8" w14:paraId="0457A48A"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207AA498"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Dobit razdoblja</w:t>
            </w:r>
          </w:p>
        </w:tc>
        <w:tc>
          <w:tcPr>
            <w:tcW w:w="1247" w:type="dxa"/>
            <w:tcBorders>
              <w:top w:val="nil"/>
              <w:left w:val="nil"/>
              <w:bottom w:val="single" w:sz="4" w:space="0" w:color="D9D9D9"/>
              <w:right w:val="single" w:sz="4" w:space="0" w:color="D9D9D9"/>
            </w:tcBorders>
            <w:shd w:val="clear" w:color="000000" w:fill="FFFFFF"/>
            <w:noWrap/>
            <w:vAlign w:val="center"/>
            <w:hideMark/>
          </w:tcPr>
          <w:p w14:paraId="1C092D0B"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24.185.298</w:t>
            </w:r>
          </w:p>
        </w:tc>
        <w:tc>
          <w:tcPr>
            <w:tcW w:w="1247" w:type="dxa"/>
            <w:tcBorders>
              <w:top w:val="nil"/>
              <w:left w:val="nil"/>
              <w:bottom w:val="single" w:sz="4" w:space="0" w:color="D9D9D9"/>
              <w:right w:val="single" w:sz="4" w:space="0" w:color="D9D9D9"/>
            </w:tcBorders>
            <w:shd w:val="clear" w:color="000000" w:fill="FFFFFF"/>
            <w:noWrap/>
            <w:vAlign w:val="center"/>
            <w:hideMark/>
          </w:tcPr>
          <w:p w14:paraId="2711BFF6"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26.253.920</w:t>
            </w:r>
          </w:p>
        </w:tc>
        <w:tc>
          <w:tcPr>
            <w:tcW w:w="737" w:type="dxa"/>
            <w:tcBorders>
              <w:top w:val="nil"/>
              <w:left w:val="nil"/>
              <w:bottom w:val="single" w:sz="4" w:space="0" w:color="FFFFFF"/>
              <w:right w:val="nil"/>
            </w:tcBorders>
            <w:shd w:val="clear" w:color="000000" w:fill="DCE6F1"/>
            <w:noWrap/>
            <w:vAlign w:val="center"/>
            <w:hideMark/>
          </w:tcPr>
          <w:p w14:paraId="6EFE065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108,6</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22467733"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53,7</w:t>
            </w:r>
          </w:p>
        </w:tc>
      </w:tr>
      <w:tr w:rsidR="00E87AC6" w:rsidRPr="009A0BD8" w14:paraId="6C4DD77C"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315000C6"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Gubitak razdoblja</w:t>
            </w:r>
          </w:p>
        </w:tc>
        <w:tc>
          <w:tcPr>
            <w:tcW w:w="1247" w:type="dxa"/>
            <w:tcBorders>
              <w:top w:val="nil"/>
              <w:left w:val="nil"/>
              <w:bottom w:val="single" w:sz="4" w:space="0" w:color="D9D9D9"/>
              <w:right w:val="single" w:sz="4" w:space="0" w:color="D9D9D9"/>
            </w:tcBorders>
            <w:shd w:val="clear" w:color="000000" w:fill="FFFFFF"/>
            <w:noWrap/>
            <w:vAlign w:val="center"/>
            <w:hideMark/>
          </w:tcPr>
          <w:p w14:paraId="653A801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5.860.842</w:t>
            </w:r>
          </w:p>
        </w:tc>
        <w:tc>
          <w:tcPr>
            <w:tcW w:w="1247" w:type="dxa"/>
            <w:tcBorders>
              <w:top w:val="nil"/>
              <w:left w:val="nil"/>
              <w:bottom w:val="single" w:sz="4" w:space="0" w:color="D9D9D9"/>
              <w:right w:val="single" w:sz="4" w:space="0" w:color="D9D9D9"/>
            </w:tcBorders>
            <w:shd w:val="clear" w:color="000000" w:fill="FFFFFF"/>
            <w:noWrap/>
            <w:vAlign w:val="center"/>
            <w:hideMark/>
          </w:tcPr>
          <w:p w14:paraId="1050321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7.744.148</w:t>
            </w:r>
          </w:p>
        </w:tc>
        <w:tc>
          <w:tcPr>
            <w:tcW w:w="737" w:type="dxa"/>
            <w:tcBorders>
              <w:top w:val="nil"/>
              <w:left w:val="nil"/>
              <w:bottom w:val="single" w:sz="4" w:space="0" w:color="FFFFFF"/>
              <w:right w:val="nil"/>
            </w:tcBorders>
            <w:shd w:val="clear" w:color="000000" w:fill="DCE6F1"/>
            <w:noWrap/>
            <w:vAlign w:val="center"/>
            <w:hideMark/>
          </w:tcPr>
          <w:p w14:paraId="6F9D95DB"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132,1</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0B8AF10B"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44,0</w:t>
            </w:r>
          </w:p>
        </w:tc>
      </w:tr>
      <w:tr w:rsidR="00E87AC6" w:rsidRPr="009A0BD8" w14:paraId="37D35810"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000000" w:fill="FFFFFF"/>
            <w:vAlign w:val="center"/>
            <w:hideMark/>
          </w:tcPr>
          <w:p w14:paraId="01509B80" w14:textId="77777777" w:rsidR="00E87AC6" w:rsidRPr="009A0BD8" w:rsidRDefault="00E87AC6" w:rsidP="004838D7">
            <w:pPr>
              <w:spacing w:after="0" w:line="240" w:lineRule="auto"/>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Konsolidirani financ. rezultat (dobit (+) ili gubitak (-) razdoblja)</w:t>
            </w:r>
          </w:p>
        </w:tc>
        <w:tc>
          <w:tcPr>
            <w:tcW w:w="1247" w:type="dxa"/>
            <w:tcBorders>
              <w:top w:val="nil"/>
              <w:left w:val="nil"/>
              <w:bottom w:val="single" w:sz="4" w:space="0" w:color="D9D9D9"/>
              <w:right w:val="single" w:sz="4" w:space="0" w:color="D9D9D9"/>
            </w:tcBorders>
            <w:shd w:val="clear" w:color="000000" w:fill="FFFFFF"/>
            <w:noWrap/>
            <w:vAlign w:val="center"/>
            <w:hideMark/>
          </w:tcPr>
          <w:p w14:paraId="0C6A1CE6"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18.324.456</w:t>
            </w:r>
          </w:p>
        </w:tc>
        <w:tc>
          <w:tcPr>
            <w:tcW w:w="1247" w:type="dxa"/>
            <w:tcBorders>
              <w:top w:val="nil"/>
              <w:left w:val="nil"/>
              <w:bottom w:val="single" w:sz="4" w:space="0" w:color="D9D9D9"/>
              <w:right w:val="single" w:sz="4" w:space="0" w:color="D9D9D9"/>
            </w:tcBorders>
            <w:shd w:val="clear" w:color="000000" w:fill="FFFFFF"/>
            <w:noWrap/>
            <w:vAlign w:val="center"/>
            <w:hideMark/>
          </w:tcPr>
          <w:p w14:paraId="5DE35B27"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18.509.772</w:t>
            </w:r>
          </w:p>
        </w:tc>
        <w:tc>
          <w:tcPr>
            <w:tcW w:w="737" w:type="dxa"/>
            <w:tcBorders>
              <w:top w:val="nil"/>
              <w:left w:val="nil"/>
              <w:bottom w:val="single" w:sz="4" w:space="0" w:color="FFFFFF"/>
              <w:right w:val="nil"/>
            </w:tcBorders>
            <w:shd w:val="clear" w:color="000000" w:fill="DCE6F1"/>
            <w:noWrap/>
            <w:vAlign w:val="center"/>
            <w:hideMark/>
          </w:tcPr>
          <w:p w14:paraId="762CC3F7"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101,0</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2E66C654"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59,2</w:t>
            </w:r>
          </w:p>
        </w:tc>
      </w:tr>
      <w:tr w:rsidR="00E87AC6" w:rsidRPr="009A0BD8" w14:paraId="0299392A"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41E62598"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Neto plaće i nadnice</w:t>
            </w:r>
          </w:p>
        </w:tc>
        <w:tc>
          <w:tcPr>
            <w:tcW w:w="1247" w:type="dxa"/>
            <w:tcBorders>
              <w:top w:val="nil"/>
              <w:left w:val="nil"/>
              <w:bottom w:val="single" w:sz="4" w:space="0" w:color="D9D9D9"/>
              <w:right w:val="single" w:sz="4" w:space="0" w:color="D9D9D9"/>
            </w:tcBorders>
            <w:shd w:val="clear" w:color="000000" w:fill="FFFFFF"/>
            <w:noWrap/>
            <w:vAlign w:val="center"/>
            <w:hideMark/>
          </w:tcPr>
          <w:p w14:paraId="353D128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26.800.276</w:t>
            </w:r>
          </w:p>
        </w:tc>
        <w:tc>
          <w:tcPr>
            <w:tcW w:w="1247" w:type="dxa"/>
            <w:tcBorders>
              <w:top w:val="nil"/>
              <w:left w:val="nil"/>
              <w:bottom w:val="single" w:sz="4" w:space="0" w:color="D9D9D9"/>
              <w:right w:val="single" w:sz="4" w:space="0" w:color="D9D9D9"/>
            </w:tcBorders>
            <w:shd w:val="clear" w:color="000000" w:fill="FFFFFF"/>
            <w:noWrap/>
            <w:vAlign w:val="center"/>
            <w:hideMark/>
          </w:tcPr>
          <w:p w14:paraId="02FBDA59"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29.796.546</w:t>
            </w:r>
          </w:p>
        </w:tc>
        <w:tc>
          <w:tcPr>
            <w:tcW w:w="737" w:type="dxa"/>
            <w:tcBorders>
              <w:top w:val="nil"/>
              <w:left w:val="nil"/>
              <w:bottom w:val="single" w:sz="4" w:space="0" w:color="FFFFFF"/>
              <w:right w:val="nil"/>
            </w:tcBorders>
            <w:shd w:val="clear" w:color="000000" w:fill="DCE6F1"/>
            <w:noWrap/>
            <w:vAlign w:val="center"/>
            <w:hideMark/>
          </w:tcPr>
          <w:p w14:paraId="12F44900"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111,2</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40A12F1D"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44,0</w:t>
            </w:r>
          </w:p>
        </w:tc>
      </w:tr>
      <w:tr w:rsidR="00E87AC6" w:rsidRPr="009A0BD8" w14:paraId="1656A3B2"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4B32BAA0" w14:textId="77777777" w:rsidR="00E87AC6" w:rsidRPr="009A0BD8" w:rsidRDefault="00E87AC6" w:rsidP="004838D7">
            <w:pPr>
              <w:spacing w:after="0" w:line="240" w:lineRule="auto"/>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Prosječna mjesečna neto plaća po zaposl.</w:t>
            </w:r>
          </w:p>
        </w:tc>
        <w:tc>
          <w:tcPr>
            <w:tcW w:w="1247" w:type="dxa"/>
            <w:tcBorders>
              <w:top w:val="nil"/>
              <w:left w:val="nil"/>
              <w:bottom w:val="single" w:sz="4" w:space="0" w:color="D9D9D9"/>
              <w:right w:val="single" w:sz="4" w:space="0" w:color="D9D9D9"/>
            </w:tcBorders>
            <w:shd w:val="clear" w:color="000000" w:fill="FFFFFF"/>
            <w:noWrap/>
            <w:vAlign w:val="center"/>
            <w:hideMark/>
          </w:tcPr>
          <w:p w14:paraId="742E7912"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6.555</w:t>
            </w:r>
          </w:p>
        </w:tc>
        <w:tc>
          <w:tcPr>
            <w:tcW w:w="1247" w:type="dxa"/>
            <w:tcBorders>
              <w:top w:val="nil"/>
              <w:left w:val="nil"/>
              <w:bottom w:val="single" w:sz="4" w:space="0" w:color="D9D9D9"/>
              <w:right w:val="single" w:sz="4" w:space="0" w:color="D9D9D9"/>
            </w:tcBorders>
            <w:shd w:val="clear" w:color="000000" w:fill="FFFFFF"/>
            <w:noWrap/>
            <w:vAlign w:val="center"/>
            <w:hideMark/>
          </w:tcPr>
          <w:p w14:paraId="35E79C6E"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6.661</w:t>
            </w:r>
          </w:p>
        </w:tc>
        <w:tc>
          <w:tcPr>
            <w:tcW w:w="737" w:type="dxa"/>
            <w:tcBorders>
              <w:top w:val="nil"/>
              <w:left w:val="nil"/>
              <w:bottom w:val="single" w:sz="4" w:space="0" w:color="FFFFFF"/>
              <w:right w:val="nil"/>
            </w:tcBorders>
            <w:shd w:val="clear" w:color="000000" w:fill="DCE6F1"/>
            <w:noWrap/>
            <w:vAlign w:val="center"/>
            <w:hideMark/>
          </w:tcPr>
          <w:p w14:paraId="1168E93A"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101,6</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00C81191" w14:textId="77777777" w:rsidR="00E87AC6" w:rsidRPr="009A0BD8" w:rsidRDefault="00E87AC6" w:rsidP="004838D7">
            <w:pPr>
              <w:spacing w:after="0" w:line="240" w:lineRule="auto"/>
              <w:jc w:val="right"/>
              <w:rPr>
                <w:rFonts w:ascii="Arial" w:eastAsia="Times New Roman" w:hAnsi="Arial" w:cs="Arial"/>
                <w:b/>
                <w:color w:val="17365D"/>
                <w:sz w:val="18"/>
                <w:szCs w:val="18"/>
                <w:lang w:eastAsia="hr-HR"/>
              </w:rPr>
            </w:pPr>
            <w:r w:rsidRPr="009A0BD8">
              <w:rPr>
                <w:rFonts w:ascii="Arial" w:eastAsia="Times New Roman" w:hAnsi="Arial" w:cs="Arial"/>
                <w:b/>
                <w:color w:val="17365D"/>
                <w:sz w:val="18"/>
                <w:szCs w:val="18"/>
                <w:lang w:eastAsia="hr-HR"/>
              </w:rPr>
              <w:t>114,6</w:t>
            </w:r>
          </w:p>
        </w:tc>
      </w:tr>
      <w:tr w:rsidR="00E87AC6" w:rsidRPr="009A0BD8" w14:paraId="676CC8BF"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14D2AA1A"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Izvoz</w:t>
            </w:r>
          </w:p>
        </w:tc>
        <w:tc>
          <w:tcPr>
            <w:tcW w:w="1247" w:type="dxa"/>
            <w:tcBorders>
              <w:top w:val="nil"/>
              <w:left w:val="nil"/>
              <w:bottom w:val="single" w:sz="4" w:space="0" w:color="D9D9D9"/>
              <w:right w:val="single" w:sz="4" w:space="0" w:color="D9D9D9"/>
            </w:tcBorders>
            <w:shd w:val="clear" w:color="000000" w:fill="FFFFFF"/>
            <w:noWrap/>
            <w:vAlign w:val="center"/>
            <w:hideMark/>
          </w:tcPr>
          <w:p w14:paraId="70D45C88"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54.855.153</w:t>
            </w:r>
          </w:p>
        </w:tc>
        <w:tc>
          <w:tcPr>
            <w:tcW w:w="1247" w:type="dxa"/>
            <w:tcBorders>
              <w:top w:val="nil"/>
              <w:left w:val="nil"/>
              <w:bottom w:val="single" w:sz="4" w:space="0" w:color="D9D9D9"/>
              <w:right w:val="single" w:sz="4" w:space="0" w:color="D9D9D9"/>
            </w:tcBorders>
            <w:shd w:val="clear" w:color="000000" w:fill="FFFFFF"/>
            <w:noWrap/>
            <w:vAlign w:val="center"/>
            <w:hideMark/>
          </w:tcPr>
          <w:p w14:paraId="1DEEAEA1"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59.108.903</w:t>
            </w:r>
          </w:p>
        </w:tc>
        <w:tc>
          <w:tcPr>
            <w:tcW w:w="737" w:type="dxa"/>
            <w:tcBorders>
              <w:top w:val="nil"/>
              <w:left w:val="nil"/>
              <w:bottom w:val="single" w:sz="4" w:space="0" w:color="FFFFFF"/>
              <w:right w:val="nil"/>
            </w:tcBorders>
            <w:shd w:val="clear" w:color="000000" w:fill="DCE6F1"/>
            <w:noWrap/>
            <w:vAlign w:val="center"/>
            <w:hideMark/>
          </w:tcPr>
          <w:p w14:paraId="68AE10DB"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107,8</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78C98E80"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39,0</w:t>
            </w:r>
          </w:p>
        </w:tc>
      </w:tr>
      <w:tr w:rsidR="00E87AC6" w:rsidRPr="009A0BD8" w14:paraId="058F4913"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535E3827"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Uvoz</w:t>
            </w:r>
          </w:p>
        </w:tc>
        <w:tc>
          <w:tcPr>
            <w:tcW w:w="1247" w:type="dxa"/>
            <w:tcBorders>
              <w:top w:val="nil"/>
              <w:left w:val="nil"/>
              <w:bottom w:val="single" w:sz="4" w:space="0" w:color="D9D9D9"/>
              <w:right w:val="single" w:sz="4" w:space="0" w:color="D9D9D9"/>
            </w:tcBorders>
            <w:shd w:val="clear" w:color="000000" w:fill="FFFFFF"/>
            <w:noWrap/>
            <w:vAlign w:val="center"/>
            <w:hideMark/>
          </w:tcPr>
          <w:p w14:paraId="609D182B"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76.811.711</w:t>
            </w:r>
          </w:p>
        </w:tc>
        <w:tc>
          <w:tcPr>
            <w:tcW w:w="1247" w:type="dxa"/>
            <w:tcBorders>
              <w:top w:val="nil"/>
              <w:left w:val="nil"/>
              <w:bottom w:val="single" w:sz="4" w:space="0" w:color="D9D9D9"/>
              <w:right w:val="single" w:sz="4" w:space="0" w:color="D9D9D9"/>
            </w:tcBorders>
            <w:shd w:val="clear" w:color="000000" w:fill="FFFFFF"/>
            <w:noWrap/>
            <w:vAlign w:val="center"/>
            <w:hideMark/>
          </w:tcPr>
          <w:p w14:paraId="05B507F6"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82.686.933</w:t>
            </w:r>
          </w:p>
        </w:tc>
        <w:tc>
          <w:tcPr>
            <w:tcW w:w="737" w:type="dxa"/>
            <w:tcBorders>
              <w:top w:val="nil"/>
              <w:left w:val="nil"/>
              <w:bottom w:val="single" w:sz="4" w:space="0" w:color="FFFFFF"/>
              <w:right w:val="nil"/>
            </w:tcBorders>
            <w:shd w:val="clear" w:color="000000" w:fill="DCE6F1"/>
            <w:noWrap/>
            <w:vAlign w:val="center"/>
            <w:hideMark/>
          </w:tcPr>
          <w:p w14:paraId="0CFF0FC8"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107,6</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300D33F7"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60,0</w:t>
            </w:r>
          </w:p>
        </w:tc>
      </w:tr>
      <w:tr w:rsidR="00E87AC6" w:rsidRPr="009A0BD8" w14:paraId="5DA501D1"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auto" w:fill="auto"/>
            <w:noWrap/>
            <w:vAlign w:val="center"/>
            <w:hideMark/>
          </w:tcPr>
          <w:p w14:paraId="64F3162C"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Trgovinski saldo</w:t>
            </w:r>
          </w:p>
        </w:tc>
        <w:tc>
          <w:tcPr>
            <w:tcW w:w="1247" w:type="dxa"/>
            <w:tcBorders>
              <w:top w:val="nil"/>
              <w:left w:val="nil"/>
              <w:bottom w:val="single" w:sz="4" w:space="0" w:color="D9D9D9"/>
              <w:right w:val="single" w:sz="4" w:space="0" w:color="D9D9D9"/>
            </w:tcBorders>
            <w:shd w:val="clear" w:color="000000" w:fill="FFFFFF"/>
            <w:noWrap/>
            <w:vAlign w:val="center"/>
            <w:hideMark/>
          </w:tcPr>
          <w:p w14:paraId="5CA67FA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-21.956.558</w:t>
            </w:r>
          </w:p>
        </w:tc>
        <w:tc>
          <w:tcPr>
            <w:tcW w:w="1247" w:type="dxa"/>
            <w:tcBorders>
              <w:top w:val="nil"/>
              <w:left w:val="nil"/>
              <w:bottom w:val="single" w:sz="4" w:space="0" w:color="D9D9D9"/>
              <w:right w:val="single" w:sz="4" w:space="0" w:color="D9D9D9"/>
            </w:tcBorders>
            <w:shd w:val="clear" w:color="000000" w:fill="FFFFFF"/>
            <w:noWrap/>
            <w:vAlign w:val="center"/>
            <w:hideMark/>
          </w:tcPr>
          <w:p w14:paraId="7A7B4808"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-23.578.031</w:t>
            </w:r>
          </w:p>
        </w:tc>
        <w:tc>
          <w:tcPr>
            <w:tcW w:w="737" w:type="dxa"/>
            <w:tcBorders>
              <w:top w:val="nil"/>
              <w:left w:val="nil"/>
              <w:bottom w:val="single" w:sz="4" w:space="0" w:color="FFFFFF"/>
              <w:right w:val="nil"/>
            </w:tcBorders>
            <w:shd w:val="clear" w:color="000000" w:fill="DCE6F1"/>
            <w:noWrap/>
            <w:vAlign w:val="center"/>
            <w:hideMark/>
          </w:tcPr>
          <w:p w14:paraId="66876778"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107,4</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73995D81"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-172,6</w:t>
            </w:r>
          </w:p>
        </w:tc>
      </w:tr>
      <w:tr w:rsidR="00E87AC6" w:rsidRPr="009A0BD8" w14:paraId="7373537C" w14:textId="77777777" w:rsidTr="004838D7">
        <w:trPr>
          <w:cantSplit/>
          <w:trHeight w:val="227"/>
          <w:jc w:val="center"/>
        </w:trPr>
        <w:tc>
          <w:tcPr>
            <w:tcW w:w="5556" w:type="dxa"/>
            <w:tcBorders>
              <w:top w:val="nil"/>
              <w:left w:val="single" w:sz="4" w:space="0" w:color="D9D9D9"/>
              <w:bottom w:val="single" w:sz="4" w:space="0" w:color="D9D9D9"/>
              <w:right w:val="single" w:sz="4" w:space="0" w:color="D9D9D9"/>
            </w:tcBorders>
            <w:shd w:val="clear" w:color="000000" w:fill="FFFFFF"/>
            <w:vAlign w:val="center"/>
            <w:hideMark/>
          </w:tcPr>
          <w:p w14:paraId="1E4394C1" w14:textId="77777777" w:rsidR="00E87AC6" w:rsidRPr="009A0BD8" w:rsidRDefault="00E87AC6" w:rsidP="004838D7">
            <w:pPr>
              <w:spacing w:after="0" w:line="240" w:lineRule="auto"/>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Bruto investicije samo u novu dugotrajnu imovinu</w:t>
            </w:r>
          </w:p>
        </w:tc>
        <w:tc>
          <w:tcPr>
            <w:tcW w:w="1247" w:type="dxa"/>
            <w:tcBorders>
              <w:top w:val="nil"/>
              <w:left w:val="nil"/>
              <w:bottom w:val="single" w:sz="4" w:space="0" w:color="D9D9D9"/>
              <w:right w:val="single" w:sz="4" w:space="0" w:color="D9D9D9"/>
            </w:tcBorders>
            <w:shd w:val="clear" w:color="000000" w:fill="FFFFFF"/>
            <w:noWrap/>
            <w:vAlign w:val="center"/>
            <w:hideMark/>
          </w:tcPr>
          <w:p w14:paraId="21AE842F"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11.378.199</w:t>
            </w:r>
          </w:p>
        </w:tc>
        <w:tc>
          <w:tcPr>
            <w:tcW w:w="1247" w:type="dxa"/>
            <w:tcBorders>
              <w:top w:val="nil"/>
              <w:left w:val="nil"/>
              <w:bottom w:val="single" w:sz="4" w:space="0" w:color="D9D9D9"/>
              <w:right w:val="single" w:sz="4" w:space="0" w:color="D9D9D9"/>
            </w:tcBorders>
            <w:shd w:val="clear" w:color="000000" w:fill="FFFFFF"/>
            <w:noWrap/>
            <w:vAlign w:val="center"/>
            <w:hideMark/>
          </w:tcPr>
          <w:p w14:paraId="3F11D145"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14.280.616</w:t>
            </w:r>
          </w:p>
        </w:tc>
        <w:tc>
          <w:tcPr>
            <w:tcW w:w="737" w:type="dxa"/>
            <w:tcBorders>
              <w:top w:val="nil"/>
              <w:left w:val="nil"/>
              <w:bottom w:val="single" w:sz="4" w:space="0" w:color="FFFFFF"/>
              <w:right w:val="nil"/>
            </w:tcBorders>
            <w:shd w:val="clear" w:color="000000" w:fill="DCE6F1"/>
            <w:noWrap/>
            <w:vAlign w:val="center"/>
            <w:hideMark/>
          </w:tcPr>
          <w:p w14:paraId="299627DF"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125,5</w:t>
            </w:r>
          </w:p>
        </w:tc>
        <w:tc>
          <w:tcPr>
            <w:tcW w:w="969" w:type="dxa"/>
            <w:tcBorders>
              <w:top w:val="nil"/>
              <w:left w:val="single" w:sz="4" w:space="0" w:color="D9D9D9"/>
              <w:bottom w:val="single" w:sz="4" w:space="0" w:color="D9D9D9"/>
              <w:right w:val="single" w:sz="4" w:space="0" w:color="D9D9D9"/>
            </w:tcBorders>
            <w:shd w:val="clear" w:color="auto" w:fill="auto"/>
            <w:noWrap/>
            <w:vAlign w:val="center"/>
          </w:tcPr>
          <w:p w14:paraId="00846DC2" w14:textId="77777777" w:rsidR="00E87AC6" w:rsidRPr="009A0BD8" w:rsidRDefault="00E87AC6" w:rsidP="004838D7">
            <w:pPr>
              <w:spacing w:after="0" w:line="240" w:lineRule="auto"/>
              <w:jc w:val="right"/>
              <w:rPr>
                <w:rFonts w:ascii="Arial" w:eastAsia="Times New Roman" w:hAnsi="Arial" w:cs="Arial"/>
                <w:color w:val="17365D"/>
                <w:sz w:val="18"/>
                <w:szCs w:val="18"/>
                <w:lang w:eastAsia="hr-HR"/>
              </w:rPr>
            </w:pPr>
            <w:r w:rsidRPr="009A0BD8">
              <w:rPr>
                <w:rFonts w:ascii="Arial" w:eastAsia="Times New Roman" w:hAnsi="Arial" w:cs="Arial"/>
                <w:color w:val="17365D"/>
                <w:sz w:val="18"/>
                <w:szCs w:val="18"/>
                <w:lang w:eastAsia="hr-HR"/>
              </w:rPr>
              <w:t>51,9</w:t>
            </w:r>
          </w:p>
        </w:tc>
      </w:tr>
    </w:tbl>
    <w:p w14:paraId="2A56BC1A" w14:textId="77777777" w:rsidR="00E87AC6" w:rsidRPr="009A0BD8" w:rsidRDefault="00E87AC6" w:rsidP="00E87AC6">
      <w:pPr>
        <w:spacing w:line="276" w:lineRule="auto"/>
        <w:jc w:val="both"/>
        <w:rPr>
          <w:rFonts w:ascii="Calibri" w:eastAsia="Calibri" w:hAnsi="Calibri" w:cs="Times New Roman"/>
          <w:i/>
          <w:iCs/>
          <w:sz w:val="18"/>
          <w:szCs w:val="18"/>
        </w:rPr>
      </w:pPr>
      <w:r w:rsidRPr="009A0BD8">
        <w:rPr>
          <w:rFonts w:ascii="Calibri" w:eastAsia="Calibri" w:hAnsi="Calibri" w:cs="Times New Roman"/>
          <w:i/>
          <w:iCs/>
          <w:sz w:val="18"/>
          <w:szCs w:val="18"/>
        </w:rPr>
        <w:t>Izvor: Fina, Registar godišnjih financijskih izvještaja</w:t>
      </w:r>
    </w:p>
    <w:p w14:paraId="5C7B00CB" w14:textId="77777777" w:rsidR="00E87AC6" w:rsidRPr="009A0BD8" w:rsidRDefault="00E87AC6" w:rsidP="00E87AC6">
      <w:pPr>
        <w:spacing w:line="276" w:lineRule="auto"/>
        <w:jc w:val="both"/>
        <w:rPr>
          <w:rFonts w:ascii="Calibri" w:eastAsia="Calibri" w:hAnsi="Calibri" w:cs="Times New Roman"/>
        </w:rPr>
      </w:pPr>
      <w:r w:rsidRPr="009A0BD8">
        <w:rPr>
          <w:rFonts w:ascii="Calibri" w:eastAsia="Calibri" w:hAnsi="Calibri" w:cs="Times New Roman"/>
        </w:rPr>
        <w:t xml:space="preserve">U Gradu Zagrebu u 2019. godini sjedište </w:t>
      </w:r>
      <w:r>
        <w:rPr>
          <w:rFonts w:ascii="Calibri" w:eastAsia="Calibri" w:hAnsi="Calibri" w:cs="Times New Roman"/>
        </w:rPr>
        <w:t xml:space="preserve">poslovanja </w:t>
      </w:r>
      <w:r w:rsidRPr="009A0BD8">
        <w:rPr>
          <w:rFonts w:ascii="Calibri" w:eastAsia="Calibri" w:hAnsi="Calibri" w:cs="Times New Roman"/>
        </w:rPr>
        <w:t>je imalo 45.608 poduzetnika, kod kojih je bilo 372.776 zaposlenih</w:t>
      </w:r>
      <w:r>
        <w:rPr>
          <w:rFonts w:ascii="Calibri" w:eastAsia="Calibri" w:hAnsi="Calibri" w:cs="Times New Roman"/>
        </w:rPr>
        <w:t xml:space="preserve"> </w:t>
      </w:r>
      <w:r w:rsidRPr="009A0BD8">
        <w:rPr>
          <w:rFonts w:ascii="Calibri" w:eastAsia="Calibri" w:hAnsi="Calibri" w:cs="Times New Roman"/>
        </w:rPr>
        <w:t xml:space="preserve">. </w:t>
      </w:r>
      <w:r>
        <w:rPr>
          <w:rFonts w:ascii="Calibri" w:eastAsia="Calibri" w:hAnsi="Calibri" w:cs="Times New Roman"/>
        </w:rPr>
        <w:t>O</w:t>
      </w:r>
      <w:r w:rsidRPr="009A0BD8">
        <w:rPr>
          <w:rFonts w:ascii="Calibri" w:eastAsia="Calibri" w:hAnsi="Calibri" w:cs="Times New Roman"/>
        </w:rPr>
        <w:t xml:space="preserve">stvareni su ukupni prihodi od gotovo 399,9 milijardi kuna (rast od 11,9%), ukupni rashodi od 376,8 milijardi kuna (rast od 12,5%), dobit razdoblja u iznosu od 26,3 milijarde kuna (rast od 8,6%), gubitak razdoblja od 7,7 milijardi kuna (rast od 32,1%) te je </w:t>
      </w:r>
      <w:r>
        <w:rPr>
          <w:rFonts w:ascii="Calibri" w:eastAsia="Calibri" w:hAnsi="Calibri" w:cs="Times New Roman"/>
        </w:rPr>
        <w:t>u</w:t>
      </w:r>
      <w:r w:rsidRPr="00657E95">
        <w:rPr>
          <w:rFonts w:ascii="Calibri" w:eastAsia="Calibri" w:hAnsi="Calibri" w:cs="Times New Roman"/>
        </w:rPr>
        <w:t>kupno ostvareni financijski rezultat (neto dobit) poduzetnika Grada Zagreba u 2018. godini iznosio 18,5 milijardi kuna što je 1% više u odnosu na 2017. godinu</w:t>
      </w:r>
      <w:r>
        <w:rPr>
          <w:rFonts w:ascii="Calibri" w:eastAsia="Calibri" w:hAnsi="Calibri" w:cs="Times New Roman"/>
        </w:rPr>
        <w:t xml:space="preserve">. </w:t>
      </w:r>
      <w:r w:rsidRPr="009A0BD8">
        <w:rPr>
          <w:rFonts w:ascii="Calibri" w:eastAsia="Calibri" w:hAnsi="Calibri" w:cs="Times New Roman"/>
        </w:rPr>
        <w:t xml:space="preserve">Prosječna mjesečna neto plaća zaposlenih kod poduzetnika u Zagrebu iznosila je 6.661 kuna, što je 1,6% više od prosječne plaće u 2018. godini </w:t>
      </w:r>
      <w:r>
        <w:rPr>
          <w:rFonts w:ascii="Calibri" w:eastAsia="Calibri" w:hAnsi="Calibri" w:cs="Times New Roman"/>
        </w:rPr>
        <w:t xml:space="preserve">, koja je iznosila </w:t>
      </w:r>
      <w:r w:rsidRPr="009A0BD8">
        <w:rPr>
          <w:rFonts w:ascii="Calibri" w:eastAsia="Calibri" w:hAnsi="Calibri" w:cs="Times New Roman"/>
        </w:rPr>
        <w:t>6.555 kuna</w:t>
      </w:r>
      <w:r>
        <w:rPr>
          <w:rFonts w:ascii="Calibri" w:eastAsia="Calibri" w:hAnsi="Calibri" w:cs="Times New Roman"/>
        </w:rPr>
        <w:t>,</w:t>
      </w:r>
      <w:r w:rsidRPr="009A0BD8">
        <w:rPr>
          <w:rFonts w:ascii="Calibri" w:eastAsia="Calibri" w:hAnsi="Calibri" w:cs="Times New Roman"/>
        </w:rPr>
        <w:t xml:space="preserve"> te 14,5% više od prosječne plaće zaposlenih kod poduzetnika na razini RH (5.815 kuna). Bruto investicije u novu dugotrajnu imovinu u 2019. godini povećane su u odnosu na 2018. godinu za 25,5%. Izvoz je povećan za 7,8%, a uvoz za 7,6%, te je ostvaren trgovinski deficit u iznosu od 23,6 milijardi kuna. U odnosu na 2018. godinu, broj zaposlenih povećan je za 9,4%, ukupni prihodi za 11,9%, ukupni rashodi za 12,5%, dobit razdoblja za 8,6%, gubitak razdoblja za čak 32,1%, te je ostvarena neto dobit povećana za 1,1%.</w:t>
      </w:r>
    </w:p>
    <w:p w14:paraId="75DA534B" w14:textId="77777777" w:rsidR="00E87AC6" w:rsidRDefault="00E87AC6" w:rsidP="00E87AC6">
      <w:pPr>
        <w:spacing w:line="276" w:lineRule="auto"/>
        <w:jc w:val="both"/>
        <w:rPr>
          <w:rFonts w:ascii="Calibri" w:eastAsia="Calibri" w:hAnsi="Calibri" w:cs="Times New Roman"/>
        </w:rPr>
      </w:pPr>
      <w:bookmarkStart w:id="67" w:name="_Hlk68776587"/>
      <w:r w:rsidRPr="009A0BD8">
        <w:rPr>
          <w:rFonts w:ascii="Calibri" w:eastAsia="Calibri" w:hAnsi="Calibri" w:cs="Times New Roman"/>
        </w:rPr>
        <w:t xml:space="preserve">Udio poduzetnika sa sjedištem u Zagrebu </w:t>
      </w:r>
      <w:bookmarkEnd w:id="67"/>
      <w:r w:rsidRPr="009A0BD8">
        <w:rPr>
          <w:rFonts w:ascii="Calibri" w:eastAsia="Calibri" w:hAnsi="Calibri" w:cs="Times New Roman"/>
        </w:rPr>
        <w:t>u broju i rezultatima poduzetnika na razini RH je sljedeći: 33,5% u broju poduzetnika, 38,4% u broju zaposlenih, 50,2% u ukupnim prihodima</w:t>
      </w:r>
      <w:r>
        <w:rPr>
          <w:rFonts w:ascii="Calibri" w:eastAsia="Calibri" w:hAnsi="Calibri" w:cs="Times New Roman"/>
        </w:rPr>
        <w:t xml:space="preserve"> hrvatskog gospodarstva</w:t>
      </w:r>
      <w:r w:rsidRPr="009A0BD8">
        <w:rPr>
          <w:rFonts w:ascii="Calibri" w:eastAsia="Calibri" w:hAnsi="Calibri" w:cs="Times New Roman"/>
        </w:rPr>
        <w:t>, 49,8</w:t>
      </w:r>
      <w:r>
        <w:rPr>
          <w:rFonts w:ascii="Calibri" w:eastAsia="Calibri" w:hAnsi="Calibri" w:cs="Times New Roman"/>
        </w:rPr>
        <w:t>%</w:t>
      </w:r>
      <w:r w:rsidRPr="009A0BD8">
        <w:rPr>
          <w:rFonts w:ascii="Calibri" w:eastAsia="Calibri" w:hAnsi="Calibri" w:cs="Times New Roman"/>
        </w:rPr>
        <w:t xml:space="preserve"> u ukupnim rashodima, 59,2% u konsolidiranom financijskom rezultatu (neto dobiti), 39% u izvozu i 60% u uvozu.</w:t>
      </w:r>
    </w:p>
    <w:p w14:paraId="53BA657F" w14:textId="702D34FD" w:rsidR="00E87AC6" w:rsidRPr="00852E9C" w:rsidRDefault="00E87AC6" w:rsidP="005A25A2">
      <w:pPr>
        <w:pStyle w:val="Stil2"/>
      </w:pPr>
      <w:bookmarkStart w:id="68" w:name="_Toc97123807"/>
      <w:r w:rsidRPr="00852E9C">
        <w:t>3.1.4. Obrtništvo</w:t>
      </w:r>
      <w:bookmarkEnd w:id="68"/>
    </w:p>
    <w:p w14:paraId="30D49FB7" w14:textId="6971C667" w:rsidR="00E87AC6" w:rsidRPr="00852E9C" w:rsidRDefault="00E87AC6" w:rsidP="00E87AC6">
      <w:pPr>
        <w:tabs>
          <w:tab w:val="left" w:pos="-720"/>
        </w:tabs>
        <w:suppressAutoHyphens/>
        <w:spacing w:after="0" w:line="240" w:lineRule="auto"/>
        <w:jc w:val="both"/>
        <w:rPr>
          <w:rFonts w:ascii="Calibri" w:eastAsia="Times New Roman" w:hAnsi="Calibri" w:cs="Calibri"/>
          <w:lang w:eastAsia="hr-HR"/>
        </w:rPr>
      </w:pPr>
      <w:r w:rsidRPr="00852E9C">
        <w:rPr>
          <w:rFonts w:ascii="Calibri" w:eastAsia="Times New Roman" w:hAnsi="Calibri" w:cs="Calibri"/>
          <w:lang w:eastAsia="hr-HR"/>
        </w:rPr>
        <w:t xml:space="preserve">Podaci iz službene evidencije nadležnih upravnih tijela pokazuju da u </w:t>
      </w:r>
      <w:r w:rsidR="005E305B">
        <w:rPr>
          <w:rFonts w:ascii="Calibri" w:eastAsia="Times New Roman" w:hAnsi="Calibri" w:cs="Calibri"/>
          <w:lang w:eastAsia="hr-HR"/>
        </w:rPr>
        <w:t>2021.</w:t>
      </w:r>
      <w:r w:rsidRPr="00852E9C">
        <w:rPr>
          <w:rFonts w:ascii="Calibri" w:eastAsia="Times New Roman" w:hAnsi="Calibri" w:cs="Calibri"/>
          <w:lang w:eastAsia="hr-HR"/>
        </w:rPr>
        <w:t xml:space="preserve">. u Gradu Zagrebu ima </w:t>
      </w:r>
      <w:r w:rsidR="005E305B">
        <w:rPr>
          <w:rFonts w:ascii="Calibri" w:eastAsia="Times New Roman" w:hAnsi="Calibri" w:cs="Calibri"/>
          <w:lang w:eastAsia="hr-HR"/>
        </w:rPr>
        <w:t xml:space="preserve"> 19.122 </w:t>
      </w:r>
      <w:r w:rsidRPr="00852E9C">
        <w:rPr>
          <w:rFonts w:ascii="Calibri" w:eastAsia="Times New Roman" w:hAnsi="Calibri" w:cs="Calibri"/>
          <w:lang w:eastAsia="hr-HR"/>
        </w:rPr>
        <w:t>registriranih obrta što je udio od 19,</w:t>
      </w:r>
      <w:r w:rsidR="005E305B">
        <w:rPr>
          <w:rFonts w:ascii="Calibri" w:eastAsia="Times New Roman" w:hAnsi="Calibri" w:cs="Calibri"/>
          <w:lang w:eastAsia="hr-HR"/>
        </w:rPr>
        <w:t xml:space="preserve">79 </w:t>
      </w:r>
      <w:r w:rsidRPr="00852E9C">
        <w:rPr>
          <w:rFonts w:ascii="Calibri" w:eastAsia="Times New Roman" w:hAnsi="Calibri" w:cs="Calibri"/>
          <w:lang w:eastAsia="hr-HR"/>
        </w:rPr>
        <w:t xml:space="preserve">% u ukupnom broju registriranih obrta u Republici Hrvatskoj.  U odnosu na </w:t>
      </w:r>
      <w:r w:rsidR="005E305B">
        <w:rPr>
          <w:rFonts w:ascii="Calibri" w:eastAsia="Times New Roman" w:hAnsi="Calibri" w:cs="Calibri"/>
          <w:lang w:eastAsia="hr-HR"/>
        </w:rPr>
        <w:t xml:space="preserve">2020. </w:t>
      </w:r>
      <w:r w:rsidRPr="00852E9C">
        <w:rPr>
          <w:rFonts w:ascii="Calibri" w:eastAsia="Times New Roman" w:hAnsi="Calibri" w:cs="Calibri"/>
          <w:lang w:eastAsia="hr-HR"/>
        </w:rPr>
        <w:t>godin</w:t>
      </w:r>
      <w:r w:rsidR="001879BA">
        <w:rPr>
          <w:rFonts w:ascii="Calibri" w:eastAsia="Times New Roman" w:hAnsi="Calibri" w:cs="Calibri"/>
          <w:lang w:eastAsia="hr-HR"/>
        </w:rPr>
        <w:t>u</w:t>
      </w:r>
      <w:r w:rsidRPr="00852E9C">
        <w:rPr>
          <w:rFonts w:ascii="Calibri" w:eastAsia="Times New Roman" w:hAnsi="Calibri" w:cs="Calibri"/>
          <w:lang w:eastAsia="hr-HR"/>
        </w:rPr>
        <w:t xml:space="preserve"> ukupan broj obrta  u </w:t>
      </w:r>
      <w:r w:rsidR="005E305B">
        <w:rPr>
          <w:rFonts w:ascii="Calibri" w:eastAsia="Times New Roman" w:hAnsi="Calibri" w:cs="Calibri"/>
          <w:lang w:eastAsia="hr-HR"/>
        </w:rPr>
        <w:t xml:space="preserve"> 2021.</w:t>
      </w:r>
      <w:r w:rsidRPr="00852E9C">
        <w:rPr>
          <w:rFonts w:ascii="Calibri" w:eastAsia="Times New Roman" w:hAnsi="Calibri" w:cs="Calibri"/>
          <w:lang w:eastAsia="hr-HR"/>
        </w:rPr>
        <w:t xml:space="preserve"> povećao se za </w:t>
      </w:r>
      <w:r w:rsidR="005E305B">
        <w:rPr>
          <w:rFonts w:ascii="Calibri" w:eastAsia="Times New Roman" w:hAnsi="Calibri" w:cs="Calibri"/>
          <w:lang w:eastAsia="hr-HR"/>
        </w:rPr>
        <w:t xml:space="preserve"> 1350 </w:t>
      </w:r>
      <w:r w:rsidRPr="00852E9C">
        <w:rPr>
          <w:rFonts w:ascii="Calibri" w:eastAsia="Times New Roman" w:hAnsi="Calibri" w:cs="Calibri"/>
          <w:lang w:eastAsia="hr-HR"/>
        </w:rPr>
        <w:t xml:space="preserve">odnosno </w:t>
      </w:r>
      <w:r w:rsidR="005E305B">
        <w:rPr>
          <w:rFonts w:ascii="Calibri" w:eastAsia="Times New Roman" w:hAnsi="Calibri" w:cs="Calibri"/>
          <w:lang w:eastAsia="hr-HR"/>
        </w:rPr>
        <w:t xml:space="preserve"> 7,60</w:t>
      </w:r>
      <w:r w:rsidRPr="00852E9C">
        <w:rPr>
          <w:rFonts w:ascii="Calibri" w:eastAsia="Times New Roman" w:hAnsi="Calibri" w:cs="Calibri"/>
          <w:lang w:eastAsia="hr-HR"/>
        </w:rPr>
        <w:t xml:space="preserve">%.  </w:t>
      </w:r>
    </w:p>
    <w:p w14:paraId="67FFFC81" w14:textId="77777777" w:rsidR="00E87AC6" w:rsidRPr="00852E9C" w:rsidRDefault="00E87AC6" w:rsidP="00E87AC6">
      <w:pPr>
        <w:tabs>
          <w:tab w:val="left" w:pos="-720"/>
        </w:tabs>
        <w:suppressAutoHyphens/>
        <w:spacing w:after="0" w:line="240" w:lineRule="auto"/>
        <w:jc w:val="both"/>
        <w:rPr>
          <w:rFonts w:ascii="Calibri" w:eastAsia="Times New Roman" w:hAnsi="Calibri" w:cs="Calibri"/>
          <w:lang w:eastAsia="hr-HR"/>
        </w:rPr>
      </w:pPr>
    </w:p>
    <w:p w14:paraId="7F414278" w14:textId="74DC053B" w:rsidR="00782E62" w:rsidRDefault="00782E62" w:rsidP="00782E62">
      <w:pPr>
        <w:tabs>
          <w:tab w:val="left" w:pos="-720"/>
        </w:tabs>
        <w:suppressAutoHyphens/>
        <w:spacing w:after="0" w:line="240" w:lineRule="auto"/>
        <w:jc w:val="both"/>
        <w:rPr>
          <w:rFonts w:ascii="Calibri" w:eastAsia="Calibri" w:hAnsi="Calibri" w:cs="Calibri"/>
          <w:bCs/>
          <w:sz w:val="20"/>
          <w:szCs w:val="20"/>
        </w:rPr>
      </w:pPr>
    </w:p>
    <w:p w14:paraId="5213AAA1" w14:textId="04458C54" w:rsidR="004D782A" w:rsidRDefault="004D782A" w:rsidP="004D782A">
      <w:pPr>
        <w:tabs>
          <w:tab w:val="left" w:pos="-720"/>
        </w:tabs>
        <w:suppressAutoHyphens/>
        <w:spacing w:after="0" w:line="240" w:lineRule="auto"/>
        <w:jc w:val="both"/>
      </w:pPr>
      <w:r>
        <w:t xml:space="preserve">Tablica </w:t>
      </w:r>
      <w:r w:rsidR="00751C19">
        <w:fldChar w:fldCharType="begin"/>
      </w:r>
      <w:r w:rsidR="00751C19">
        <w:instrText xml:space="preserve"> SEQ Tablica \* ARABIC </w:instrText>
      </w:r>
      <w:r w:rsidR="00751C19">
        <w:fldChar w:fldCharType="separate"/>
      </w:r>
      <w:r>
        <w:rPr>
          <w:noProof/>
        </w:rPr>
        <w:t>13</w:t>
      </w:r>
      <w:r w:rsidR="00751C19">
        <w:rPr>
          <w:noProof/>
        </w:rPr>
        <w:fldChar w:fldCharType="end"/>
      </w:r>
      <w:r>
        <w:t xml:space="preserve">. Broj i struktura obrta prema djelatnostima NKD-a 2007. u Gradu Zagrebu i Republici Hrvatskoj, </w:t>
      </w:r>
    </w:p>
    <w:p w14:paraId="7B251BA6" w14:textId="1BD62DE4" w:rsidR="00AA3FF1" w:rsidRDefault="00AA3FF1" w:rsidP="004D782A">
      <w:pPr>
        <w:tabs>
          <w:tab w:val="left" w:pos="-720"/>
        </w:tabs>
        <w:suppressAutoHyphens/>
        <w:spacing w:after="0" w:line="240" w:lineRule="auto"/>
        <w:jc w:val="both"/>
      </w:pPr>
      <w:r>
        <w:rPr>
          <w:noProof/>
        </w:rPr>
        <w:drawing>
          <wp:inline distT="0" distB="0" distL="0" distR="0" wp14:anchorId="4F98D264" wp14:editId="034F7F60">
            <wp:extent cx="5761355" cy="326136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261360"/>
                    </a:xfrm>
                    <a:prstGeom prst="rect">
                      <a:avLst/>
                    </a:prstGeom>
                    <a:noFill/>
                  </pic:spPr>
                </pic:pic>
              </a:graphicData>
            </a:graphic>
          </wp:inline>
        </w:drawing>
      </w:r>
    </w:p>
    <w:p w14:paraId="059B8851" w14:textId="77777777" w:rsidR="00AA3FF1" w:rsidRDefault="00AA3FF1" w:rsidP="004D782A">
      <w:pPr>
        <w:tabs>
          <w:tab w:val="left" w:pos="-720"/>
        </w:tabs>
        <w:suppressAutoHyphens/>
        <w:spacing w:after="0" w:line="240" w:lineRule="auto"/>
        <w:jc w:val="both"/>
        <w:rPr>
          <w:rFonts w:ascii="Calibri" w:eastAsia="Calibri" w:hAnsi="Calibri" w:cs="Calibri"/>
          <w:bCs/>
          <w:sz w:val="20"/>
          <w:szCs w:val="20"/>
        </w:rPr>
      </w:pPr>
    </w:p>
    <w:p w14:paraId="5C261D19" w14:textId="2FD1F605" w:rsidR="00A63343" w:rsidRPr="00C70148" w:rsidRDefault="00782E62" w:rsidP="00E2286C">
      <w:pPr>
        <w:pStyle w:val="Opisslike"/>
        <w:rPr>
          <w:rFonts w:ascii="Calibri" w:eastAsia="Calibri" w:hAnsi="Calibri" w:cs="Calibri"/>
          <w:bCs/>
          <w:sz w:val="24"/>
          <w:szCs w:val="24"/>
        </w:rPr>
      </w:pPr>
      <w:r>
        <w:t xml:space="preserve">Tablica </w:t>
      </w:r>
      <w:r w:rsidR="00751C19">
        <w:fldChar w:fldCharType="begin"/>
      </w:r>
      <w:r w:rsidR="00751C19">
        <w:instrText xml:space="preserve"> SEQ Tablica \* ARABIC </w:instrText>
      </w:r>
      <w:r w:rsidR="00751C19">
        <w:fldChar w:fldCharType="separate"/>
      </w:r>
      <w:r w:rsidR="00803E25">
        <w:rPr>
          <w:noProof/>
        </w:rPr>
        <w:t>14</w:t>
      </w:r>
      <w:r w:rsidR="00751C19">
        <w:rPr>
          <w:noProof/>
        </w:rPr>
        <w:fldChar w:fldCharType="end"/>
      </w:r>
      <w:r>
        <w:t xml:space="preserve">. </w:t>
      </w:r>
      <w:r w:rsidRPr="00DB3351">
        <w:t>Cehovski ustroj u aktivnim obrtima prema oznaci glavne djelatnosti u sjedištu obrta, u Gradu Zagrebu i Republici Hrvatskoj, 31.prosinca 2020. - 30. lipnja .2021</w:t>
      </w:r>
    </w:p>
    <w:tbl>
      <w:tblPr>
        <w:tblStyle w:val="Reetkatablice"/>
        <w:tblW w:w="9209" w:type="dxa"/>
        <w:tblLook w:val="04A0" w:firstRow="1" w:lastRow="0" w:firstColumn="1" w:lastColumn="0" w:noHBand="0" w:noVBand="1"/>
      </w:tblPr>
      <w:tblGrid>
        <w:gridCol w:w="1472"/>
        <w:gridCol w:w="812"/>
        <w:gridCol w:w="594"/>
        <w:gridCol w:w="815"/>
        <w:gridCol w:w="595"/>
        <w:gridCol w:w="813"/>
        <w:gridCol w:w="594"/>
        <w:gridCol w:w="815"/>
        <w:gridCol w:w="595"/>
        <w:gridCol w:w="1033"/>
        <w:gridCol w:w="1071"/>
      </w:tblGrid>
      <w:tr w:rsidR="007A2522" w:rsidRPr="00A56E45" w14:paraId="3A45E5DE" w14:textId="77777777" w:rsidTr="00F22E15">
        <w:trPr>
          <w:trHeight w:val="270"/>
        </w:trPr>
        <w:tc>
          <w:tcPr>
            <w:tcW w:w="1473" w:type="dxa"/>
          </w:tcPr>
          <w:p w14:paraId="3D3735ED" w14:textId="77777777" w:rsidR="00A63343" w:rsidRDefault="00A63343" w:rsidP="00F22E15">
            <w:pPr>
              <w:jc w:val="both"/>
            </w:pPr>
          </w:p>
          <w:p w14:paraId="0A1CA9E1" w14:textId="77777777" w:rsidR="00A63343" w:rsidRDefault="00A63343" w:rsidP="00F22E15">
            <w:pPr>
              <w:jc w:val="both"/>
            </w:pPr>
          </w:p>
          <w:p w14:paraId="08ADDBFB" w14:textId="77777777" w:rsidR="00A63343" w:rsidRDefault="00A63343" w:rsidP="00F22E15">
            <w:pPr>
              <w:jc w:val="both"/>
            </w:pPr>
            <w:r>
              <w:t>DJELATNOST</w:t>
            </w:r>
          </w:p>
        </w:tc>
        <w:tc>
          <w:tcPr>
            <w:tcW w:w="2867" w:type="dxa"/>
            <w:gridSpan w:val="4"/>
          </w:tcPr>
          <w:p w14:paraId="10DCEB5A" w14:textId="77777777" w:rsidR="00A63343" w:rsidRDefault="00A63343" w:rsidP="00F22E15">
            <w:pPr>
              <w:jc w:val="both"/>
            </w:pPr>
          </w:p>
          <w:p w14:paraId="063D93E5" w14:textId="77777777" w:rsidR="00A63343" w:rsidRDefault="00A63343" w:rsidP="00F22E15">
            <w:pPr>
              <w:jc w:val="both"/>
            </w:pPr>
            <w:r>
              <w:t>STANJE NA DAN   31.12.2020.</w:t>
            </w:r>
          </w:p>
        </w:tc>
        <w:tc>
          <w:tcPr>
            <w:tcW w:w="2867" w:type="dxa"/>
            <w:gridSpan w:val="4"/>
          </w:tcPr>
          <w:p w14:paraId="035F7483" w14:textId="77777777" w:rsidR="00A63343" w:rsidRDefault="00A63343" w:rsidP="00F22E15">
            <w:pPr>
              <w:jc w:val="both"/>
            </w:pPr>
          </w:p>
          <w:p w14:paraId="00058189" w14:textId="77777777" w:rsidR="00A63343" w:rsidRDefault="00A63343" w:rsidP="00F22E15">
            <w:pPr>
              <w:jc w:val="both"/>
            </w:pPr>
            <w:r>
              <w:t>STANJE NA DAN   30.06.2021.</w:t>
            </w:r>
          </w:p>
        </w:tc>
        <w:tc>
          <w:tcPr>
            <w:tcW w:w="2002" w:type="dxa"/>
            <w:gridSpan w:val="2"/>
          </w:tcPr>
          <w:p w14:paraId="6E47243B" w14:textId="77777777" w:rsidR="00A63343" w:rsidRPr="00A56E45" w:rsidRDefault="00A63343" w:rsidP="00F22E15">
            <w:pPr>
              <w:jc w:val="both"/>
              <w:rPr>
                <w:sz w:val="18"/>
                <w:szCs w:val="18"/>
              </w:rPr>
            </w:pPr>
            <w:r w:rsidRPr="00A56E45">
              <w:rPr>
                <w:sz w:val="18"/>
                <w:szCs w:val="18"/>
              </w:rPr>
              <w:t>GRAD ZAGREB (%) / REPUBLIKA HRVATSKA (%)</w:t>
            </w:r>
          </w:p>
        </w:tc>
      </w:tr>
      <w:tr w:rsidR="007A2522" w:rsidRPr="00A56E45" w14:paraId="0F1DC8DA" w14:textId="77777777" w:rsidTr="00F22E15">
        <w:trPr>
          <w:trHeight w:val="483"/>
        </w:trPr>
        <w:tc>
          <w:tcPr>
            <w:tcW w:w="1473" w:type="dxa"/>
          </w:tcPr>
          <w:p w14:paraId="269055C9" w14:textId="77777777" w:rsidR="00A63343" w:rsidRDefault="00A63343" w:rsidP="00F22E15">
            <w:pPr>
              <w:jc w:val="both"/>
            </w:pPr>
          </w:p>
          <w:p w14:paraId="0A37B539" w14:textId="77777777" w:rsidR="00A63343" w:rsidRDefault="00A63343" w:rsidP="00F22E15">
            <w:pPr>
              <w:jc w:val="both"/>
            </w:pPr>
            <w:r>
              <w:t>CEH</w:t>
            </w:r>
          </w:p>
        </w:tc>
        <w:tc>
          <w:tcPr>
            <w:tcW w:w="1433" w:type="dxa"/>
            <w:gridSpan w:val="2"/>
          </w:tcPr>
          <w:p w14:paraId="162FFDD6" w14:textId="77777777" w:rsidR="00A63343" w:rsidRDefault="00A63343" w:rsidP="00F22E15">
            <w:pPr>
              <w:jc w:val="both"/>
            </w:pPr>
            <w:r>
              <w:t>GRAD ZAGREB</w:t>
            </w:r>
          </w:p>
        </w:tc>
        <w:tc>
          <w:tcPr>
            <w:tcW w:w="1434" w:type="dxa"/>
            <w:gridSpan w:val="2"/>
          </w:tcPr>
          <w:p w14:paraId="4A29C213" w14:textId="77777777" w:rsidR="00A63343" w:rsidRDefault="00A63343" w:rsidP="00F22E15">
            <w:pPr>
              <w:jc w:val="both"/>
            </w:pPr>
            <w:r>
              <w:t>REPUBLIKA HRVATSKA</w:t>
            </w:r>
          </w:p>
        </w:tc>
        <w:tc>
          <w:tcPr>
            <w:tcW w:w="1433" w:type="dxa"/>
            <w:gridSpan w:val="2"/>
          </w:tcPr>
          <w:p w14:paraId="3F0729BF" w14:textId="77777777" w:rsidR="00A63343" w:rsidRDefault="00A63343" w:rsidP="00F22E15">
            <w:pPr>
              <w:jc w:val="both"/>
            </w:pPr>
            <w:r>
              <w:t>GRAD ZAGREB</w:t>
            </w:r>
          </w:p>
        </w:tc>
        <w:tc>
          <w:tcPr>
            <w:tcW w:w="1434" w:type="dxa"/>
            <w:gridSpan w:val="2"/>
          </w:tcPr>
          <w:p w14:paraId="10D94BDF" w14:textId="77777777" w:rsidR="00A63343" w:rsidRDefault="00A63343" w:rsidP="00F22E15">
            <w:pPr>
              <w:jc w:val="both"/>
            </w:pPr>
            <w:r>
              <w:t>REPUBLIKA HRVATSKA</w:t>
            </w:r>
          </w:p>
        </w:tc>
        <w:tc>
          <w:tcPr>
            <w:tcW w:w="1036" w:type="dxa"/>
          </w:tcPr>
          <w:p w14:paraId="7B40686C" w14:textId="77777777" w:rsidR="00A63343" w:rsidRDefault="00A63343" w:rsidP="00F22E15">
            <w:pPr>
              <w:jc w:val="both"/>
              <w:rPr>
                <w:sz w:val="18"/>
                <w:szCs w:val="18"/>
              </w:rPr>
            </w:pPr>
          </w:p>
          <w:p w14:paraId="70F30333" w14:textId="77777777" w:rsidR="00A63343" w:rsidRPr="00A56E45" w:rsidRDefault="00A63343" w:rsidP="00F22E15">
            <w:pPr>
              <w:jc w:val="both"/>
              <w:rPr>
                <w:sz w:val="18"/>
                <w:szCs w:val="18"/>
              </w:rPr>
            </w:pPr>
            <w:r>
              <w:rPr>
                <w:sz w:val="18"/>
                <w:szCs w:val="18"/>
              </w:rPr>
              <w:t>31.12.2020</w:t>
            </w:r>
          </w:p>
        </w:tc>
        <w:tc>
          <w:tcPr>
            <w:tcW w:w="966" w:type="dxa"/>
          </w:tcPr>
          <w:p w14:paraId="35CEA10E" w14:textId="77777777" w:rsidR="00A63343" w:rsidRDefault="00A63343" w:rsidP="00F22E15">
            <w:pPr>
              <w:jc w:val="both"/>
              <w:rPr>
                <w:sz w:val="18"/>
                <w:szCs w:val="18"/>
              </w:rPr>
            </w:pPr>
          </w:p>
          <w:p w14:paraId="530574B8" w14:textId="77777777" w:rsidR="00A63343" w:rsidRPr="00A56E45" w:rsidRDefault="00A63343" w:rsidP="00F22E15">
            <w:pPr>
              <w:jc w:val="both"/>
              <w:rPr>
                <w:sz w:val="18"/>
                <w:szCs w:val="18"/>
              </w:rPr>
            </w:pPr>
            <w:r>
              <w:rPr>
                <w:sz w:val="18"/>
                <w:szCs w:val="18"/>
              </w:rPr>
              <w:t>30.06.2021.</w:t>
            </w:r>
          </w:p>
        </w:tc>
      </w:tr>
      <w:tr w:rsidR="007A2522" w14:paraId="29EFB4A2" w14:textId="77777777" w:rsidTr="00F22E15">
        <w:tc>
          <w:tcPr>
            <w:tcW w:w="1473" w:type="dxa"/>
          </w:tcPr>
          <w:p w14:paraId="3D28DFF5" w14:textId="77777777" w:rsidR="00A63343" w:rsidRDefault="00A63343" w:rsidP="00F22E15">
            <w:pPr>
              <w:jc w:val="both"/>
            </w:pPr>
            <w:r>
              <w:t>Proizvodno zanatstvo</w:t>
            </w:r>
          </w:p>
        </w:tc>
        <w:tc>
          <w:tcPr>
            <w:tcW w:w="829" w:type="dxa"/>
          </w:tcPr>
          <w:p w14:paraId="6424A034" w14:textId="77777777" w:rsidR="00A63343" w:rsidRDefault="00A63343" w:rsidP="00F22E15">
            <w:pPr>
              <w:jc w:val="both"/>
            </w:pPr>
          </w:p>
          <w:p w14:paraId="6C22E1CD" w14:textId="77777777" w:rsidR="00A63343" w:rsidRDefault="00A63343" w:rsidP="00F22E15">
            <w:pPr>
              <w:jc w:val="center"/>
            </w:pPr>
            <w:r>
              <w:t>1.324</w:t>
            </w:r>
          </w:p>
        </w:tc>
        <w:tc>
          <w:tcPr>
            <w:tcW w:w="604" w:type="dxa"/>
          </w:tcPr>
          <w:p w14:paraId="113D596E" w14:textId="77777777" w:rsidR="00A63343" w:rsidRDefault="00A63343" w:rsidP="00F22E15">
            <w:pPr>
              <w:jc w:val="both"/>
            </w:pPr>
          </w:p>
          <w:p w14:paraId="799C906C" w14:textId="77777777" w:rsidR="00A63343" w:rsidRDefault="00A63343" w:rsidP="00F22E15">
            <w:pPr>
              <w:jc w:val="center"/>
            </w:pPr>
            <w:r>
              <w:t>7,4</w:t>
            </w:r>
          </w:p>
        </w:tc>
        <w:tc>
          <w:tcPr>
            <w:tcW w:w="830" w:type="dxa"/>
          </w:tcPr>
          <w:p w14:paraId="065D79AC" w14:textId="77777777" w:rsidR="00A63343" w:rsidRDefault="00A63343" w:rsidP="00F22E15"/>
          <w:p w14:paraId="4B116778" w14:textId="77777777" w:rsidR="00A63343" w:rsidRDefault="00A63343" w:rsidP="00F22E15">
            <w:pPr>
              <w:jc w:val="center"/>
            </w:pPr>
            <w:r>
              <w:t>7.938</w:t>
            </w:r>
          </w:p>
        </w:tc>
        <w:tc>
          <w:tcPr>
            <w:tcW w:w="604" w:type="dxa"/>
          </w:tcPr>
          <w:p w14:paraId="75BB31F8" w14:textId="77777777" w:rsidR="00A63343" w:rsidRDefault="00A63343" w:rsidP="00F22E15"/>
          <w:p w14:paraId="2978ECF5" w14:textId="77777777" w:rsidR="00A63343" w:rsidRDefault="00A63343" w:rsidP="00F22E15">
            <w:pPr>
              <w:jc w:val="center"/>
            </w:pPr>
            <w:r>
              <w:t>8,7</w:t>
            </w:r>
          </w:p>
        </w:tc>
        <w:tc>
          <w:tcPr>
            <w:tcW w:w="829" w:type="dxa"/>
          </w:tcPr>
          <w:p w14:paraId="1F274235" w14:textId="77777777" w:rsidR="00A63343" w:rsidRDefault="00A63343" w:rsidP="00F22E15">
            <w:pPr>
              <w:jc w:val="both"/>
            </w:pPr>
          </w:p>
          <w:p w14:paraId="40239E81" w14:textId="77777777" w:rsidR="00A63343" w:rsidRDefault="00A63343" w:rsidP="00F22E15">
            <w:pPr>
              <w:jc w:val="center"/>
            </w:pPr>
            <w:r>
              <w:t>1.352</w:t>
            </w:r>
          </w:p>
        </w:tc>
        <w:tc>
          <w:tcPr>
            <w:tcW w:w="604" w:type="dxa"/>
          </w:tcPr>
          <w:p w14:paraId="31849DFF" w14:textId="77777777" w:rsidR="00A63343" w:rsidRDefault="00A63343" w:rsidP="00F22E15">
            <w:pPr>
              <w:jc w:val="center"/>
            </w:pPr>
          </w:p>
          <w:p w14:paraId="47ADFF07" w14:textId="77777777" w:rsidR="00A63343" w:rsidRDefault="00A63343" w:rsidP="00F22E15">
            <w:pPr>
              <w:jc w:val="center"/>
            </w:pPr>
            <w:r>
              <w:t>7,3</w:t>
            </w:r>
          </w:p>
        </w:tc>
        <w:tc>
          <w:tcPr>
            <w:tcW w:w="830" w:type="dxa"/>
          </w:tcPr>
          <w:p w14:paraId="791D7CA4" w14:textId="77777777" w:rsidR="00A63343" w:rsidRDefault="00A63343" w:rsidP="00F22E15"/>
          <w:p w14:paraId="7B439C41" w14:textId="77777777" w:rsidR="00A63343" w:rsidRDefault="00A63343" w:rsidP="00F22E15">
            <w:pPr>
              <w:jc w:val="center"/>
            </w:pPr>
            <w:r>
              <w:t>8.129</w:t>
            </w:r>
          </w:p>
        </w:tc>
        <w:tc>
          <w:tcPr>
            <w:tcW w:w="604" w:type="dxa"/>
          </w:tcPr>
          <w:p w14:paraId="6BCE7367" w14:textId="77777777" w:rsidR="00A63343" w:rsidRDefault="00A63343" w:rsidP="00F22E15"/>
          <w:p w14:paraId="6A2E381E" w14:textId="77777777" w:rsidR="00A63343" w:rsidRDefault="00A63343" w:rsidP="00F22E15">
            <w:pPr>
              <w:jc w:val="center"/>
            </w:pPr>
            <w:r>
              <w:t>8,6</w:t>
            </w:r>
          </w:p>
        </w:tc>
        <w:tc>
          <w:tcPr>
            <w:tcW w:w="1036" w:type="dxa"/>
          </w:tcPr>
          <w:p w14:paraId="0A2BC0ED" w14:textId="77777777" w:rsidR="00A63343" w:rsidRDefault="00A63343" w:rsidP="00F22E15">
            <w:pPr>
              <w:jc w:val="center"/>
            </w:pPr>
          </w:p>
          <w:p w14:paraId="4B94F866" w14:textId="77777777" w:rsidR="00A63343" w:rsidRDefault="00A63343" w:rsidP="00F22E15">
            <w:pPr>
              <w:jc w:val="center"/>
            </w:pPr>
            <w:r>
              <w:t>16,68</w:t>
            </w:r>
          </w:p>
        </w:tc>
        <w:tc>
          <w:tcPr>
            <w:tcW w:w="966" w:type="dxa"/>
          </w:tcPr>
          <w:p w14:paraId="2D0A32A7" w14:textId="77777777" w:rsidR="00A63343" w:rsidRDefault="00A63343" w:rsidP="00F22E15">
            <w:pPr>
              <w:jc w:val="center"/>
            </w:pPr>
          </w:p>
          <w:p w14:paraId="7B460316" w14:textId="77777777" w:rsidR="00A63343" w:rsidRDefault="00A63343" w:rsidP="00F22E15">
            <w:pPr>
              <w:jc w:val="center"/>
            </w:pPr>
            <w:r>
              <w:t>16,63</w:t>
            </w:r>
          </w:p>
        </w:tc>
      </w:tr>
      <w:tr w:rsidR="007A2522" w14:paraId="1B4FB21D" w14:textId="77777777" w:rsidTr="00F22E15">
        <w:tc>
          <w:tcPr>
            <w:tcW w:w="1473" w:type="dxa"/>
          </w:tcPr>
          <w:p w14:paraId="1157D3D9" w14:textId="77777777" w:rsidR="00A63343" w:rsidRDefault="00A63343" w:rsidP="00F22E15">
            <w:pPr>
              <w:jc w:val="both"/>
            </w:pPr>
            <w:r>
              <w:t>Uslužno zanatstvo</w:t>
            </w:r>
          </w:p>
        </w:tc>
        <w:tc>
          <w:tcPr>
            <w:tcW w:w="829" w:type="dxa"/>
          </w:tcPr>
          <w:p w14:paraId="7166DBEF" w14:textId="77777777" w:rsidR="00A63343" w:rsidRDefault="00A63343" w:rsidP="00F22E15">
            <w:pPr>
              <w:jc w:val="both"/>
            </w:pPr>
          </w:p>
          <w:p w14:paraId="12105132" w14:textId="77777777" w:rsidR="00A63343" w:rsidRDefault="00A63343" w:rsidP="00F22E15">
            <w:pPr>
              <w:jc w:val="center"/>
            </w:pPr>
            <w:r>
              <w:t>10.938</w:t>
            </w:r>
          </w:p>
        </w:tc>
        <w:tc>
          <w:tcPr>
            <w:tcW w:w="604" w:type="dxa"/>
          </w:tcPr>
          <w:p w14:paraId="170797E6" w14:textId="77777777" w:rsidR="00A63343" w:rsidRDefault="00A63343" w:rsidP="00F22E15">
            <w:pPr>
              <w:jc w:val="center"/>
            </w:pPr>
          </w:p>
          <w:p w14:paraId="195B16E4" w14:textId="77777777" w:rsidR="00A63343" w:rsidRDefault="00A63343" w:rsidP="00F22E15">
            <w:pPr>
              <w:jc w:val="center"/>
            </w:pPr>
            <w:r>
              <w:t>61,5</w:t>
            </w:r>
          </w:p>
        </w:tc>
        <w:tc>
          <w:tcPr>
            <w:tcW w:w="830" w:type="dxa"/>
          </w:tcPr>
          <w:p w14:paraId="5689F57B" w14:textId="77777777" w:rsidR="00A63343" w:rsidRDefault="00A63343" w:rsidP="00F22E15"/>
          <w:p w14:paraId="059B428F" w14:textId="77777777" w:rsidR="00A63343" w:rsidRDefault="00A63343" w:rsidP="00F22E15">
            <w:pPr>
              <w:jc w:val="center"/>
            </w:pPr>
            <w:r>
              <w:t>43.609</w:t>
            </w:r>
          </w:p>
        </w:tc>
        <w:tc>
          <w:tcPr>
            <w:tcW w:w="604" w:type="dxa"/>
          </w:tcPr>
          <w:p w14:paraId="30551761" w14:textId="77777777" w:rsidR="00A63343" w:rsidRDefault="00A63343" w:rsidP="00F22E15"/>
          <w:p w14:paraId="4B6EBD41" w14:textId="77777777" w:rsidR="00A63343" w:rsidRDefault="00A63343" w:rsidP="00F22E15">
            <w:pPr>
              <w:jc w:val="center"/>
            </w:pPr>
            <w:r>
              <w:t>47,9</w:t>
            </w:r>
          </w:p>
        </w:tc>
        <w:tc>
          <w:tcPr>
            <w:tcW w:w="829" w:type="dxa"/>
          </w:tcPr>
          <w:p w14:paraId="725F385B" w14:textId="77777777" w:rsidR="00A63343" w:rsidRDefault="00A63343" w:rsidP="00F22E15">
            <w:pPr>
              <w:jc w:val="both"/>
            </w:pPr>
          </w:p>
          <w:p w14:paraId="4A0201C8" w14:textId="77777777" w:rsidR="00A63343" w:rsidRDefault="00A63343" w:rsidP="00F22E15">
            <w:pPr>
              <w:jc w:val="center"/>
            </w:pPr>
            <w:r>
              <w:t>11.734</w:t>
            </w:r>
          </w:p>
        </w:tc>
        <w:tc>
          <w:tcPr>
            <w:tcW w:w="604" w:type="dxa"/>
          </w:tcPr>
          <w:p w14:paraId="4A0B1FE9" w14:textId="77777777" w:rsidR="00A63343" w:rsidRDefault="00A63343" w:rsidP="00F22E15">
            <w:pPr>
              <w:jc w:val="center"/>
            </w:pPr>
          </w:p>
          <w:p w14:paraId="27D407B6" w14:textId="77777777" w:rsidR="00A63343" w:rsidRDefault="00A63343" w:rsidP="00F22E15">
            <w:pPr>
              <w:jc w:val="center"/>
            </w:pPr>
            <w:r>
              <w:t>63,2</w:t>
            </w:r>
          </w:p>
        </w:tc>
        <w:tc>
          <w:tcPr>
            <w:tcW w:w="830" w:type="dxa"/>
          </w:tcPr>
          <w:p w14:paraId="0C389156" w14:textId="77777777" w:rsidR="00A63343" w:rsidRDefault="00A63343" w:rsidP="00F22E15"/>
          <w:p w14:paraId="712C36E7" w14:textId="77777777" w:rsidR="00A63343" w:rsidRDefault="00A63343" w:rsidP="00F22E15">
            <w:pPr>
              <w:jc w:val="center"/>
            </w:pPr>
            <w:r>
              <w:t>46.348</w:t>
            </w:r>
          </w:p>
        </w:tc>
        <w:tc>
          <w:tcPr>
            <w:tcW w:w="604" w:type="dxa"/>
          </w:tcPr>
          <w:p w14:paraId="484331A1" w14:textId="77777777" w:rsidR="00A63343" w:rsidRDefault="00A63343" w:rsidP="00F22E15"/>
          <w:p w14:paraId="54D3D51D" w14:textId="77777777" w:rsidR="00A63343" w:rsidRDefault="00A63343" w:rsidP="00F22E15">
            <w:pPr>
              <w:jc w:val="center"/>
            </w:pPr>
            <w:r>
              <w:t>49,1</w:t>
            </w:r>
          </w:p>
        </w:tc>
        <w:tc>
          <w:tcPr>
            <w:tcW w:w="1036" w:type="dxa"/>
          </w:tcPr>
          <w:p w14:paraId="5DA39B64" w14:textId="77777777" w:rsidR="00A63343" w:rsidRDefault="00A63343" w:rsidP="00F22E15">
            <w:pPr>
              <w:jc w:val="center"/>
            </w:pPr>
          </w:p>
          <w:p w14:paraId="688D2DB5" w14:textId="77777777" w:rsidR="00A63343" w:rsidRDefault="00A63343" w:rsidP="00F22E15">
            <w:pPr>
              <w:jc w:val="center"/>
            </w:pPr>
            <w:r>
              <w:t>25,08</w:t>
            </w:r>
          </w:p>
        </w:tc>
        <w:tc>
          <w:tcPr>
            <w:tcW w:w="966" w:type="dxa"/>
          </w:tcPr>
          <w:p w14:paraId="0B1F658E" w14:textId="77777777" w:rsidR="00A63343" w:rsidRDefault="00A63343" w:rsidP="00F22E15">
            <w:pPr>
              <w:jc w:val="center"/>
            </w:pPr>
          </w:p>
          <w:p w14:paraId="4E87A22C" w14:textId="77777777" w:rsidR="00A63343" w:rsidRDefault="00A63343" w:rsidP="00F22E15">
            <w:pPr>
              <w:jc w:val="center"/>
            </w:pPr>
            <w:r>
              <w:t>25,32</w:t>
            </w:r>
          </w:p>
        </w:tc>
      </w:tr>
      <w:tr w:rsidR="007A2522" w14:paraId="70C11B71" w14:textId="77777777" w:rsidTr="00F22E15">
        <w:tc>
          <w:tcPr>
            <w:tcW w:w="1473" w:type="dxa"/>
          </w:tcPr>
          <w:p w14:paraId="7C03DBDE" w14:textId="77777777" w:rsidR="00A63343" w:rsidRDefault="00A63343" w:rsidP="00F22E15">
            <w:pPr>
              <w:jc w:val="both"/>
            </w:pPr>
            <w:r>
              <w:t>Ugostiteljstvo i turizam</w:t>
            </w:r>
          </w:p>
        </w:tc>
        <w:tc>
          <w:tcPr>
            <w:tcW w:w="829" w:type="dxa"/>
          </w:tcPr>
          <w:p w14:paraId="3B16BD26" w14:textId="77777777" w:rsidR="00A63343" w:rsidRDefault="00A63343" w:rsidP="00F22E15">
            <w:pPr>
              <w:jc w:val="both"/>
            </w:pPr>
          </w:p>
          <w:p w14:paraId="72632B0D" w14:textId="77777777" w:rsidR="00A63343" w:rsidRDefault="00A63343" w:rsidP="00F22E15">
            <w:pPr>
              <w:jc w:val="center"/>
            </w:pPr>
            <w:r>
              <w:t>989</w:t>
            </w:r>
          </w:p>
        </w:tc>
        <w:tc>
          <w:tcPr>
            <w:tcW w:w="604" w:type="dxa"/>
          </w:tcPr>
          <w:p w14:paraId="6177802A" w14:textId="77777777" w:rsidR="00A63343" w:rsidRDefault="00A63343" w:rsidP="00F22E15">
            <w:pPr>
              <w:jc w:val="center"/>
            </w:pPr>
          </w:p>
          <w:p w14:paraId="407CC192" w14:textId="77777777" w:rsidR="00A63343" w:rsidRDefault="00A63343" w:rsidP="00F22E15">
            <w:pPr>
              <w:jc w:val="center"/>
            </w:pPr>
            <w:r>
              <w:t>5,6</w:t>
            </w:r>
          </w:p>
        </w:tc>
        <w:tc>
          <w:tcPr>
            <w:tcW w:w="830" w:type="dxa"/>
          </w:tcPr>
          <w:p w14:paraId="0D1AD09D" w14:textId="77777777" w:rsidR="00A63343" w:rsidRDefault="00A63343" w:rsidP="00F22E15"/>
          <w:p w14:paraId="58C1D0F4" w14:textId="77777777" w:rsidR="00A63343" w:rsidRDefault="00A63343" w:rsidP="00F22E15">
            <w:pPr>
              <w:jc w:val="center"/>
            </w:pPr>
            <w:r>
              <w:t>11.558</w:t>
            </w:r>
          </w:p>
        </w:tc>
        <w:tc>
          <w:tcPr>
            <w:tcW w:w="604" w:type="dxa"/>
          </w:tcPr>
          <w:p w14:paraId="1E7A0A24" w14:textId="77777777" w:rsidR="00A63343" w:rsidRDefault="00A63343" w:rsidP="00F22E15"/>
          <w:p w14:paraId="4AE3D753" w14:textId="77777777" w:rsidR="00A63343" w:rsidRDefault="00A63343" w:rsidP="00F22E15">
            <w:pPr>
              <w:jc w:val="center"/>
            </w:pPr>
            <w:r>
              <w:t>12,7</w:t>
            </w:r>
          </w:p>
        </w:tc>
        <w:tc>
          <w:tcPr>
            <w:tcW w:w="829" w:type="dxa"/>
          </w:tcPr>
          <w:p w14:paraId="21C87999" w14:textId="77777777" w:rsidR="00A63343" w:rsidRDefault="00A63343" w:rsidP="00F22E15">
            <w:pPr>
              <w:jc w:val="both"/>
            </w:pPr>
          </w:p>
          <w:p w14:paraId="22EDB262" w14:textId="77777777" w:rsidR="00A63343" w:rsidRDefault="00A63343" w:rsidP="00F22E15">
            <w:pPr>
              <w:jc w:val="center"/>
            </w:pPr>
            <w:r>
              <w:t>977</w:t>
            </w:r>
          </w:p>
        </w:tc>
        <w:tc>
          <w:tcPr>
            <w:tcW w:w="604" w:type="dxa"/>
          </w:tcPr>
          <w:p w14:paraId="13E11E3D" w14:textId="77777777" w:rsidR="00A63343" w:rsidRDefault="00A63343" w:rsidP="00F22E15">
            <w:pPr>
              <w:jc w:val="both"/>
            </w:pPr>
          </w:p>
          <w:p w14:paraId="3E51CC53" w14:textId="77777777" w:rsidR="00A63343" w:rsidRDefault="00A63343" w:rsidP="00F22E15">
            <w:pPr>
              <w:jc w:val="center"/>
            </w:pPr>
            <w:r>
              <w:t>5,3</w:t>
            </w:r>
          </w:p>
        </w:tc>
        <w:tc>
          <w:tcPr>
            <w:tcW w:w="830" w:type="dxa"/>
          </w:tcPr>
          <w:p w14:paraId="63184E89" w14:textId="77777777" w:rsidR="00A63343" w:rsidRDefault="00A63343" w:rsidP="00F22E15"/>
          <w:p w14:paraId="3689DB6D" w14:textId="77777777" w:rsidR="00A63343" w:rsidRDefault="00A63343" w:rsidP="00F22E15">
            <w:pPr>
              <w:jc w:val="center"/>
            </w:pPr>
            <w:r>
              <w:t>11.582</w:t>
            </w:r>
          </w:p>
        </w:tc>
        <w:tc>
          <w:tcPr>
            <w:tcW w:w="604" w:type="dxa"/>
          </w:tcPr>
          <w:p w14:paraId="61B3AF86" w14:textId="77777777" w:rsidR="00A63343" w:rsidRDefault="00A63343" w:rsidP="00F22E15"/>
          <w:p w14:paraId="45619A18" w14:textId="77777777" w:rsidR="00A63343" w:rsidRDefault="00A63343" w:rsidP="00F22E15">
            <w:pPr>
              <w:jc w:val="center"/>
            </w:pPr>
            <w:r>
              <w:t>12,3</w:t>
            </w:r>
          </w:p>
        </w:tc>
        <w:tc>
          <w:tcPr>
            <w:tcW w:w="1036" w:type="dxa"/>
          </w:tcPr>
          <w:p w14:paraId="4C617292" w14:textId="77777777" w:rsidR="00A63343" w:rsidRDefault="00A63343" w:rsidP="00F22E15">
            <w:pPr>
              <w:jc w:val="center"/>
            </w:pPr>
          </w:p>
          <w:p w14:paraId="51751B70" w14:textId="77777777" w:rsidR="00A63343" w:rsidRDefault="00A63343" w:rsidP="00F22E15">
            <w:pPr>
              <w:jc w:val="center"/>
            </w:pPr>
            <w:r>
              <w:t>8,56</w:t>
            </w:r>
          </w:p>
        </w:tc>
        <w:tc>
          <w:tcPr>
            <w:tcW w:w="966" w:type="dxa"/>
          </w:tcPr>
          <w:p w14:paraId="14AA6DB5" w14:textId="77777777" w:rsidR="00A63343" w:rsidRDefault="00A63343" w:rsidP="00F22E15">
            <w:pPr>
              <w:jc w:val="center"/>
            </w:pPr>
          </w:p>
          <w:p w14:paraId="693F804F" w14:textId="77777777" w:rsidR="00A63343" w:rsidRDefault="00A63343" w:rsidP="00F22E15">
            <w:pPr>
              <w:jc w:val="center"/>
            </w:pPr>
            <w:r>
              <w:t>8,44</w:t>
            </w:r>
          </w:p>
        </w:tc>
      </w:tr>
      <w:tr w:rsidR="007A2522" w14:paraId="02204C51" w14:textId="77777777" w:rsidTr="00F22E15">
        <w:tc>
          <w:tcPr>
            <w:tcW w:w="1473" w:type="dxa"/>
          </w:tcPr>
          <w:p w14:paraId="2443F0E6" w14:textId="77777777" w:rsidR="00A63343" w:rsidRDefault="00A63343" w:rsidP="00F22E15">
            <w:pPr>
              <w:jc w:val="both"/>
            </w:pPr>
            <w:r>
              <w:t xml:space="preserve">Trgovina </w:t>
            </w:r>
          </w:p>
        </w:tc>
        <w:tc>
          <w:tcPr>
            <w:tcW w:w="829" w:type="dxa"/>
          </w:tcPr>
          <w:p w14:paraId="5D7D6718" w14:textId="77777777" w:rsidR="00A63343" w:rsidRDefault="00A63343" w:rsidP="00F22E15">
            <w:pPr>
              <w:jc w:val="center"/>
            </w:pPr>
            <w:r>
              <w:t>1.558</w:t>
            </w:r>
          </w:p>
        </w:tc>
        <w:tc>
          <w:tcPr>
            <w:tcW w:w="604" w:type="dxa"/>
          </w:tcPr>
          <w:p w14:paraId="2EE8DEC2" w14:textId="77777777" w:rsidR="00A63343" w:rsidRDefault="00A63343" w:rsidP="00F22E15">
            <w:pPr>
              <w:jc w:val="center"/>
            </w:pPr>
            <w:r>
              <w:t>8,8</w:t>
            </w:r>
          </w:p>
        </w:tc>
        <w:tc>
          <w:tcPr>
            <w:tcW w:w="830" w:type="dxa"/>
          </w:tcPr>
          <w:p w14:paraId="36B6868E" w14:textId="77777777" w:rsidR="00A63343" w:rsidRDefault="00A63343" w:rsidP="00F22E15">
            <w:pPr>
              <w:jc w:val="center"/>
            </w:pPr>
            <w:r>
              <w:t>9.053</w:t>
            </w:r>
          </w:p>
        </w:tc>
        <w:tc>
          <w:tcPr>
            <w:tcW w:w="604" w:type="dxa"/>
          </w:tcPr>
          <w:p w14:paraId="1354B368" w14:textId="77777777" w:rsidR="00A63343" w:rsidRDefault="00A63343" w:rsidP="00F22E15">
            <w:pPr>
              <w:jc w:val="center"/>
            </w:pPr>
            <w:r>
              <w:t>10</w:t>
            </w:r>
          </w:p>
        </w:tc>
        <w:tc>
          <w:tcPr>
            <w:tcW w:w="829" w:type="dxa"/>
          </w:tcPr>
          <w:p w14:paraId="33734AA3" w14:textId="77777777" w:rsidR="00A63343" w:rsidRDefault="00A63343" w:rsidP="00F22E15">
            <w:pPr>
              <w:jc w:val="center"/>
            </w:pPr>
            <w:r>
              <w:t>1.552</w:t>
            </w:r>
          </w:p>
        </w:tc>
        <w:tc>
          <w:tcPr>
            <w:tcW w:w="604" w:type="dxa"/>
          </w:tcPr>
          <w:p w14:paraId="69032F58" w14:textId="77777777" w:rsidR="00A63343" w:rsidRDefault="00A63343" w:rsidP="00F22E15">
            <w:pPr>
              <w:jc w:val="center"/>
            </w:pPr>
            <w:r>
              <w:t>8,4</w:t>
            </w:r>
          </w:p>
        </w:tc>
        <w:tc>
          <w:tcPr>
            <w:tcW w:w="830" w:type="dxa"/>
          </w:tcPr>
          <w:p w14:paraId="3A3C44E5" w14:textId="77777777" w:rsidR="00A63343" w:rsidRDefault="00A63343" w:rsidP="00F22E15">
            <w:pPr>
              <w:jc w:val="center"/>
            </w:pPr>
            <w:r>
              <w:t>9.157</w:t>
            </w:r>
          </w:p>
        </w:tc>
        <w:tc>
          <w:tcPr>
            <w:tcW w:w="604" w:type="dxa"/>
          </w:tcPr>
          <w:p w14:paraId="352BDDAF" w14:textId="77777777" w:rsidR="00A63343" w:rsidRDefault="00A63343" w:rsidP="00F22E15">
            <w:pPr>
              <w:jc w:val="center"/>
            </w:pPr>
            <w:r>
              <w:t>9,7</w:t>
            </w:r>
          </w:p>
        </w:tc>
        <w:tc>
          <w:tcPr>
            <w:tcW w:w="1036" w:type="dxa"/>
          </w:tcPr>
          <w:p w14:paraId="6EE449E7" w14:textId="77777777" w:rsidR="00A63343" w:rsidRDefault="00A63343" w:rsidP="00F22E15">
            <w:pPr>
              <w:jc w:val="center"/>
            </w:pPr>
            <w:r>
              <w:t>17,21</w:t>
            </w:r>
          </w:p>
        </w:tc>
        <w:tc>
          <w:tcPr>
            <w:tcW w:w="966" w:type="dxa"/>
          </w:tcPr>
          <w:p w14:paraId="46F42020" w14:textId="77777777" w:rsidR="00A63343" w:rsidRDefault="00A63343" w:rsidP="00F22E15">
            <w:pPr>
              <w:jc w:val="center"/>
            </w:pPr>
            <w:r>
              <w:t>16,95</w:t>
            </w:r>
          </w:p>
        </w:tc>
      </w:tr>
      <w:tr w:rsidR="007A2522" w14:paraId="6566005B" w14:textId="77777777" w:rsidTr="00F22E15">
        <w:tc>
          <w:tcPr>
            <w:tcW w:w="1473" w:type="dxa"/>
          </w:tcPr>
          <w:p w14:paraId="5D955775" w14:textId="77777777" w:rsidR="00A63343" w:rsidRDefault="00A63343" w:rsidP="00F22E15">
            <w:pPr>
              <w:jc w:val="both"/>
            </w:pPr>
            <w:r>
              <w:t>Prijevoz osoba i stvari</w:t>
            </w:r>
          </w:p>
        </w:tc>
        <w:tc>
          <w:tcPr>
            <w:tcW w:w="829" w:type="dxa"/>
          </w:tcPr>
          <w:p w14:paraId="454904FC" w14:textId="77777777" w:rsidR="00A63343" w:rsidRDefault="00A63343" w:rsidP="00F22E15">
            <w:pPr>
              <w:jc w:val="both"/>
            </w:pPr>
          </w:p>
          <w:p w14:paraId="1D511D74" w14:textId="77777777" w:rsidR="00A63343" w:rsidRDefault="00A63343" w:rsidP="00F22E15">
            <w:pPr>
              <w:jc w:val="center"/>
            </w:pPr>
            <w:r>
              <w:t>1.541</w:t>
            </w:r>
          </w:p>
        </w:tc>
        <w:tc>
          <w:tcPr>
            <w:tcW w:w="604" w:type="dxa"/>
          </w:tcPr>
          <w:p w14:paraId="4BE39FD1" w14:textId="77777777" w:rsidR="00A63343" w:rsidRDefault="00A63343" w:rsidP="00F22E15">
            <w:pPr>
              <w:jc w:val="both"/>
            </w:pPr>
          </w:p>
          <w:p w14:paraId="7676E300" w14:textId="77777777" w:rsidR="00A63343" w:rsidRDefault="00A63343" w:rsidP="00F22E15">
            <w:pPr>
              <w:jc w:val="center"/>
            </w:pPr>
            <w:r>
              <w:t>8,7</w:t>
            </w:r>
          </w:p>
        </w:tc>
        <w:tc>
          <w:tcPr>
            <w:tcW w:w="830" w:type="dxa"/>
          </w:tcPr>
          <w:p w14:paraId="49EF5B2E" w14:textId="77777777" w:rsidR="00A63343" w:rsidRDefault="00A63343" w:rsidP="00F22E15"/>
          <w:p w14:paraId="7E89C800" w14:textId="77777777" w:rsidR="00A63343" w:rsidRDefault="00A63343" w:rsidP="00F22E15">
            <w:pPr>
              <w:jc w:val="center"/>
            </w:pPr>
            <w:r>
              <w:t>7.986</w:t>
            </w:r>
          </w:p>
        </w:tc>
        <w:tc>
          <w:tcPr>
            <w:tcW w:w="604" w:type="dxa"/>
          </w:tcPr>
          <w:p w14:paraId="06CAB578" w14:textId="77777777" w:rsidR="00A63343" w:rsidRDefault="00A63343" w:rsidP="00F22E15"/>
          <w:p w14:paraId="29A06DAC" w14:textId="77777777" w:rsidR="00A63343" w:rsidRDefault="00A63343" w:rsidP="00F22E15">
            <w:pPr>
              <w:jc w:val="center"/>
            </w:pPr>
            <w:r>
              <w:t>8,8</w:t>
            </w:r>
          </w:p>
        </w:tc>
        <w:tc>
          <w:tcPr>
            <w:tcW w:w="829" w:type="dxa"/>
          </w:tcPr>
          <w:p w14:paraId="0A9C385A" w14:textId="77777777" w:rsidR="00A63343" w:rsidRDefault="00A63343" w:rsidP="00F22E15">
            <w:pPr>
              <w:jc w:val="center"/>
            </w:pPr>
          </w:p>
          <w:p w14:paraId="262A9882" w14:textId="77777777" w:rsidR="00A63343" w:rsidRDefault="00A63343" w:rsidP="00F22E15">
            <w:pPr>
              <w:jc w:val="center"/>
            </w:pPr>
            <w:r>
              <w:t>1.488</w:t>
            </w:r>
          </w:p>
        </w:tc>
        <w:tc>
          <w:tcPr>
            <w:tcW w:w="604" w:type="dxa"/>
          </w:tcPr>
          <w:p w14:paraId="4B297576" w14:textId="77777777" w:rsidR="00A63343" w:rsidRDefault="00A63343" w:rsidP="00F22E15">
            <w:pPr>
              <w:jc w:val="both"/>
            </w:pPr>
          </w:p>
          <w:p w14:paraId="108C1F97" w14:textId="77777777" w:rsidR="00A63343" w:rsidRDefault="00A63343" w:rsidP="00F22E15">
            <w:pPr>
              <w:jc w:val="center"/>
            </w:pPr>
            <w:r>
              <w:t>8,0</w:t>
            </w:r>
          </w:p>
        </w:tc>
        <w:tc>
          <w:tcPr>
            <w:tcW w:w="830" w:type="dxa"/>
          </w:tcPr>
          <w:p w14:paraId="6AA490A9" w14:textId="77777777" w:rsidR="00A63343" w:rsidRDefault="00A63343" w:rsidP="00F22E15"/>
          <w:p w14:paraId="464E9510" w14:textId="77777777" w:rsidR="00A63343" w:rsidRDefault="00A63343" w:rsidP="00F22E15">
            <w:pPr>
              <w:jc w:val="center"/>
            </w:pPr>
            <w:r>
              <w:t>8.040</w:t>
            </w:r>
          </w:p>
        </w:tc>
        <w:tc>
          <w:tcPr>
            <w:tcW w:w="604" w:type="dxa"/>
          </w:tcPr>
          <w:p w14:paraId="4FB94F58" w14:textId="77777777" w:rsidR="00A63343" w:rsidRDefault="00A63343" w:rsidP="00F22E15"/>
          <w:p w14:paraId="1325B638" w14:textId="77777777" w:rsidR="00A63343" w:rsidRDefault="00A63343" w:rsidP="00F22E15">
            <w:pPr>
              <w:jc w:val="center"/>
            </w:pPr>
            <w:r>
              <w:t>8,5</w:t>
            </w:r>
          </w:p>
        </w:tc>
        <w:tc>
          <w:tcPr>
            <w:tcW w:w="1036" w:type="dxa"/>
          </w:tcPr>
          <w:p w14:paraId="28CC2E41" w14:textId="77777777" w:rsidR="00A63343" w:rsidRDefault="00A63343" w:rsidP="00F22E15">
            <w:pPr>
              <w:jc w:val="center"/>
            </w:pPr>
          </w:p>
          <w:p w14:paraId="3C173806" w14:textId="77777777" w:rsidR="00A63343" w:rsidRDefault="00A63343" w:rsidP="00F22E15">
            <w:pPr>
              <w:jc w:val="center"/>
            </w:pPr>
            <w:r>
              <w:t>19,30</w:t>
            </w:r>
          </w:p>
        </w:tc>
        <w:tc>
          <w:tcPr>
            <w:tcW w:w="966" w:type="dxa"/>
          </w:tcPr>
          <w:p w14:paraId="61CD11CC" w14:textId="77777777" w:rsidR="00A63343" w:rsidRDefault="00A63343" w:rsidP="00F22E15">
            <w:pPr>
              <w:jc w:val="center"/>
            </w:pPr>
          </w:p>
          <w:p w14:paraId="1330B43A" w14:textId="77777777" w:rsidR="00A63343" w:rsidRDefault="00A63343" w:rsidP="00F22E15">
            <w:pPr>
              <w:jc w:val="center"/>
            </w:pPr>
            <w:r>
              <w:t>18,51</w:t>
            </w:r>
          </w:p>
        </w:tc>
      </w:tr>
      <w:tr w:rsidR="007A2522" w14:paraId="13DF5C47" w14:textId="77777777" w:rsidTr="00F22E15">
        <w:tc>
          <w:tcPr>
            <w:tcW w:w="1473" w:type="dxa"/>
          </w:tcPr>
          <w:p w14:paraId="70539ADE" w14:textId="77777777" w:rsidR="00A63343" w:rsidRDefault="00A63343" w:rsidP="00F22E15">
            <w:pPr>
              <w:jc w:val="both"/>
            </w:pPr>
            <w:r>
              <w:t>Ribarstvo, marikultura i poljodjelstvo</w:t>
            </w:r>
          </w:p>
        </w:tc>
        <w:tc>
          <w:tcPr>
            <w:tcW w:w="829" w:type="dxa"/>
          </w:tcPr>
          <w:p w14:paraId="52691A27" w14:textId="77777777" w:rsidR="00A63343" w:rsidRDefault="00A63343" w:rsidP="00F22E15">
            <w:pPr>
              <w:jc w:val="both"/>
            </w:pPr>
          </w:p>
          <w:p w14:paraId="251D2C67" w14:textId="77777777" w:rsidR="00A63343" w:rsidRDefault="00A63343" w:rsidP="00F22E15">
            <w:pPr>
              <w:jc w:val="center"/>
            </w:pPr>
            <w:r>
              <w:t>38</w:t>
            </w:r>
          </w:p>
        </w:tc>
        <w:tc>
          <w:tcPr>
            <w:tcW w:w="604" w:type="dxa"/>
          </w:tcPr>
          <w:p w14:paraId="6B3D23E9" w14:textId="77777777" w:rsidR="00A63343" w:rsidRDefault="00A63343" w:rsidP="00F22E15">
            <w:pPr>
              <w:jc w:val="both"/>
            </w:pPr>
          </w:p>
          <w:p w14:paraId="2397A033" w14:textId="77777777" w:rsidR="00A63343" w:rsidRDefault="00A63343" w:rsidP="00F22E15">
            <w:pPr>
              <w:jc w:val="center"/>
            </w:pPr>
            <w:r>
              <w:t>0,2</w:t>
            </w:r>
          </w:p>
        </w:tc>
        <w:tc>
          <w:tcPr>
            <w:tcW w:w="830" w:type="dxa"/>
          </w:tcPr>
          <w:p w14:paraId="0AE9966D" w14:textId="77777777" w:rsidR="00A63343" w:rsidRDefault="00A63343" w:rsidP="00F22E15"/>
          <w:p w14:paraId="3E3C9B87" w14:textId="77777777" w:rsidR="00A63343" w:rsidRDefault="00A63343" w:rsidP="00F22E15">
            <w:pPr>
              <w:jc w:val="center"/>
            </w:pPr>
            <w:r>
              <w:t>3.868</w:t>
            </w:r>
          </w:p>
        </w:tc>
        <w:tc>
          <w:tcPr>
            <w:tcW w:w="604" w:type="dxa"/>
          </w:tcPr>
          <w:p w14:paraId="36277245" w14:textId="77777777" w:rsidR="00A63343" w:rsidRDefault="00A63343" w:rsidP="00F22E15"/>
          <w:p w14:paraId="22578DF2" w14:textId="77777777" w:rsidR="00A63343" w:rsidRDefault="00A63343" w:rsidP="00F22E15">
            <w:pPr>
              <w:jc w:val="center"/>
            </w:pPr>
            <w:r>
              <w:t>4,3</w:t>
            </w:r>
          </w:p>
        </w:tc>
        <w:tc>
          <w:tcPr>
            <w:tcW w:w="829" w:type="dxa"/>
          </w:tcPr>
          <w:p w14:paraId="13ED3E54" w14:textId="77777777" w:rsidR="00A63343" w:rsidRDefault="00A63343" w:rsidP="00F22E15">
            <w:pPr>
              <w:jc w:val="center"/>
            </w:pPr>
          </w:p>
          <w:p w14:paraId="0F7CE5F3" w14:textId="77777777" w:rsidR="00A63343" w:rsidRDefault="00A63343" w:rsidP="00F22E15">
            <w:pPr>
              <w:jc w:val="center"/>
            </w:pPr>
            <w:r>
              <w:t>42</w:t>
            </w:r>
          </w:p>
        </w:tc>
        <w:tc>
          <w:tcPr>
            <w:tcW w:w="604" w:type="dxa"/>
          </w:tcPr>
          <w:p w14:paraId="458E4F0E" w14:textId="77777777" w:rsidR="00A63343" w:rsidRDefault="00A63343" w:rsidP="00F22E15">
            <w:pPr>
              <w:jc w:val="both"/>
            </w:pPr>
          </w:p>
          <w:p w14:paraId="7F7B9344" w14:textId="77777777" w:rsidR="00A63343" w:rsidRDefault="00A63343" w:rsidP="00F22E15">
            <w:pPr>
              <w:jc w:val="center"/>
            </w:pPr>
            <w:r>
              <w:t>0,2</w:t>
            </w:r>
          </w:p>
        </w:tc>
        <w:tc>
          <w:tcPr>
            <w:tcW w:w="830" w:type="dxa"/>
          </w:tcPr>
          <w:p w14:paraId="42CD86F9" w14:textId="77777777" w:rsidR="00A63343" w:rsidRDefault="00A63343" w:rsidP="00F22E15"/>
          <w:p w14:paraId="61BFCE41" w14:textId="77777777" w:rsidR="00A63343" w:rsidRDefault="00A63343" w:rsidP="00F22E15">
            <w:pPr>
              <w:jc w:val="center"/>
            </w:pPr>
            <w:r>
              <w:t>3.904</w:t>
            </w:r>
          </w:p>
        </w:tc>
        <w:tc>
          <w:tcPr>
            <w:tcW w:w="604" w:type="dxa"/>
          </w:tcPr>
          <w:p w14:paraId="16587E9D" w14:textId="77777777" w:rsidR="00A63343" w:rsidRDefault="00A63343" w:rsidP="00F22E15"/>
          <w:p w14:paraId="5BFE0F32" w14:textId="77777777" w:rsidR="00A63343" w:rsidRDefault="00A63343" w:rsidP="00F22E15">
            <w:pPr>
              <w:jc w:val="center"/>
            </w:pPr>
            <w:r>
              <w:t>4,1</w:t>
            </w:r>
          </w:p>
        </w:tc>
        <w:tc>
          <w:tcPr>
            <w:tcW w:w="1036" w:type="dxa"/>
          </w:tcPr>
          <w:p w14:paraId="3C99D9EA" w14:textId="77777777" w:rsidR="00A63343" w:rsidRDefault="00A63343" w:rsidP="00F22E15">
            <w:pPr>
              <w:jc w:val="center"/>
            </w:pPr>
          </w:p>
          <w:p w14:paraId="7549BD4C" w14:textId="77777777" w:rsidR="00A63343" w:rsidRDefault="00A63343" w:rsidP="00F22E15">
            <w:pPr>
              <w:jc w:val="center"/>
            </w:pPr>
            <w:r>
              <w:t>0,98</w:t>
            </w:r>
          </w:p>
        </w:tc>
        <w:tc>
          <w:tcPr>
            <w:tcW w:w="966" w:type="dxa"/>
          </w:tcPr>
          <w:p w14:paraId="28EFFDE7" w14:textId="77777777" w:rsidR="00A63343" w:rsidRDefault="00A63343" w:rsidP="00F22E15">
            <w:pPr>
              <w:jc w:val="center"/>
            </w:pPr>
          </w:p>
          <w:p w14:paraId="19EC52F9" w14:textId="77777777" w:rsidR="00A63343" w:rsidRDefault="00A63343" w:rsidP="00F22E15">
            <w:pPr>
              <w:jc w:val="center"/>
            </w:pPr>
            <w:r>
              <w:t>1,08</w:t>
            </w:r>
          </w:p>
        </w:tc>
      </w:tr>
      <w:tr w:rsidR="007A2522" w14:paraId="6E22A54A" w14:textId="77777777" w:rsidTr="00F22E15">
        <w:trPr>
          <w:trHeight w:val="90"/>
        </w:trPr>
        <w:tc>
          <w:tcPr>
            <w:tcW w:w="1473" w:type="dxa"/>
          </w:tcPr>
          <w:p w14:paraId="6BFDA34F" w14:textId="77777777" w:rsidR="00A63343" w:rsidRDefault="00A63343" w:rsidP="00F22E15">
            <w:pPr>
              <w:jc w:val="both"/>
            </w:pPr>
            <w:r>
              <w:t>Frizeri, kozmetičari, njega tijela i fitnes</w:t>
            </w:r>
          </w:p>
        </w:tc>
        <w:tc>
          <w:tcPr>
            <w:tcW w:w="829" w:type="dxa"/>
          </w:tcPr>
          <w:p w14:paraId="7C6F0A14" w14:textId="77777777" w:rsidR="00A63343" w:rsidRDefault="00A63343" w:rsidP="00F22E15">
            <w:pPr>
              <w:jc w:val="both"/>
            </w:pPr>
          </w:p>
          <w:p w14:paraId="4AE28F2F" w14:textId="77777777" w:rsidR="00A63343" w:rsidRDefault="00A63343" w:rsidP="00F22E15">
            <w:pPr>
              <w:jc w:val="center"/>
            </w:pPr>
            <w:r>
              <w:t>1.384</w:t>
            </w:r>
          </w:p>
          <w:p w14:paraId="709BE9E5" w14:textId="77777777" w:rsidR="00A63343" w:rsidRDefault="00A63343" w:rsidP="00F22E15">
            <w:pPr>
              <w:jc w:val="both"/>
            </w:pPr>
          </w:p>
        </w:tc>
        <w:tc>
          <w:tcPr>
            <w:tcW w:w="604" w:type="dxa"/>
          </w:tcPr>
          <w:p w14:paraId="2868DEA5" w14:textId="77777777" w:rsidR="00A63343" w:rsidRDefault="00A63343" w:rsidP="00F22E15">
            <w:pPr>
              <w:jc w:val="both"/>
            </w:pPr>
          </w:p>
          <w:p w14:paraId="5A321B82" w14:textId="77777777" w:rsidR="00A63343" w:rsidRDefault="00A63343" w:rsidP="00F22E15">
            <w:pPr>
              <w:jc w:val="center"/>
            </w:pPr>
            <w:r>
              <w:t>7,8</w:t>
            </w:r>
          </w:p>
        </w:tc>
        <w:tc>
          <w:tcPr>
            <w:tcW w:w="830" w:type="dxa"/>
          </w:tcPr>
          <w:p w14:paraId="4F563393" w14:textId="77777777" w:rsidR="00A63343" w:rsidRDefault="00A63343" w:rsidP="00F22E15"/>
          <w:p w14:paraId="39057714" w14:textId="77777777" w:rsidR="00A63343" w:rsidRDefault="00A63343" w:rsidP="00F22E15">
            <w:pPr>
              <w:jc w:val="center"/>
            </w:pPr>
            <w:r>
              <w:t>6.956</w:t>
            </w:r>
          </w:p>
        </w:tc>
        <w:tc>
          <w:tcPr>
            <w:tcW w:w="604" w:type="dxa"/>
          </w:tcPr>
          <w:p w14:paraId="21B60A97" w14:textId="77777777" w:rsidR="00A63343" w:rsidRDefault="00A63343" w:rsidP="00F22E15"/>
          <w:p w14:paraId="5FC111E7" w14:textId="77777777" w:rsidR="00A63343" w:rsidRDefault="00A63343" w:rsidP="00F22E15">
            <w:pPr>
              <w:jc w:val="center"/>
            </w:pPr>
            <w:r>
              <w:t>7,6</w:t>
            </w:r>
          </w:p>
        </w:tc>
        <w:tc>
          <w:tcPr>
            <w:tcW w:w="829" w:type="dxa"/>
          </w:tcPr>
          <w:p w14:paraId="0CD8BCF6" w14:textId="77777777" w:rsidR="00A63343" w:rsidRDefault="00A63343" w:rsidP="00F22E15">
            <w:pPr>
              <w:jc w:val="center"/>
            </w:pPr>
          </w:p>
          <w:p w14:paraId="71D5EE60" w14:textId="77777777" w:rsidR="00A63343" w:rsidRDefault="00A63343" w:rsidP="00F22E15">
            <w:pPr>
              <w:jc w:val="center"/>
            </w:pPr>
            <w:r>
              <w:t>1.408</w:t>
            </w:r>
          </w:p>
        </w:tc>
        <w:tc>
          <w:tcPr>
            <w:tcW w:w="604" w:type="dxa"/>
          </w:tcPr>
          <w:p w14:paraId="3726BDE1" w14:textId="77777777" w:rsidR="00A63343" w:rsidRDefault="00A63343" w:rsidP="00F22E15">
            <w:pPr>
              <w:jc w:val="both"/>
            </w:pPr>
          </w:p>
          <w:p w14:paraId="644F34E2" w14:textId="77777777" w:rsidR="00A63343" w:rsidRDefault="00A63343" w:rsidP="00F22E15">
            <w:pPr>
              <w:jc w:val="center"/>
            </w:pPr>
            <w:r>
              <w:t>7,6</w:t>
            </w:r>
          </w:p>
        </w:tc>
        <w:tc>
          <w:tcPr>
            <w:tcW w:w="830" w:type="dxa"/>
          </w:tcPr>
          <w:p w14:paraId="4DAC9B44" w14:textId="77777777" w:rsidR="00A63343" w:rsidRDefault="00A63343" w:rsidP="00F22E15"/>
          <w:p w14:paraId="71CD5F62" w14:textId="77777777" w:rsidR="00A63343" w:rsidRDefault="00A63343" w:rsidP="00F22E15">
            <w:pPr>
              <w:jc w:val="center"/>
            </w:pPr>
            <w:r>
              <w:t>7.157</w:t>
            </w:r>
          </w:p>
        </w:tc>
        <w:tc>
          <w:tcPr>
            <w:tcW w:w="604" w:type="dxa"/>
          </w:tcPr>
          <w:p w14:paraId="6ED13114" w14:textId="77777777" w:rsidR="00A63343" w:rsidRDefault="00A63343" w:rsidP="00F22E15"/>
          <w:p w14:paraId="6A54BD7B" w14:textId="77777777" w:rsidR="00A63343" w:rsidRDefault="00A63343" w:rsidP="00F22E15">
            <w:pPr>
              <w:jc w:val="center"/>
            </w:pPr>
            <w:r>
              <w:t>7,6</w:t>
            </w:r>
          </w:p>
        </w:tc>
        <w:tc>
          <w:tcPr>
            <w:tcW w:w="1036" w:type="dxa"/>
          </w:tcPr>
          <w:p w14:paraId="4FF60334" w14:textId="77777777" w:rsidR="00A63343" w:rsidRDefault="00A63343" w:rsidP="00F22E15">
            <w:pPr>
              <w:jc w:val="center"/>
            </w:pPr>
          </w:p>
          <w:p w14:paraId="2BE5D4D5" w14:textId="77777777" w:rsidR="00A63343" w:rsidRDefault="00A63343" w:rsidP="00F22E15">
            <w:pPr>
              <w:jc w:val="center"/>
            </w:pPr>
            <w:r>
              <w:t>19,90</w:t>
            </w:r>
          </w:p>
        </w:tc>
        <w:tc>
          <w:tcPr>
            <w:tcW w:w="966" w:type="dxa"/>
          </w:tcPr>
          <w:p w14:paraId="2B22BB48" w14:textId="77777777" w:rsidR="00A63343" w:rsidRDefault="00A63343" w:rsidP="00F22E15">
            <w:pPr>
              <w:jc w:val="center"/>
            </w:pPr>
          </w:p>
          <w:p w14:paraId="6E779311" w14:textId="77777777" w:rsidR="00A63343" w:rsidRDefault="00A63343" w:rsidP="00F22E15">
            <w:pPr>
              <w:jc w:val="center"/>
            </w:pPr>
            <w:r>
              <w:t>19,67</w:t>
            </w:r>
          </w:p>
        </w:tc>
      </w:tr>
      <w:tr w:rsidR="007A2522" w14:paraId="086B6C44" w14:textId="77777777" w:rsidTr="00F22E15">
        <w:trPr>
          <w:trHeight w:val="180"/>
        </w:trPr>
        <w:tc>
          <w:tcPr>
            <w:tcW w:w="1473" w:type="dxa"/>
          </w:tcPr>
          <w:p w14:paraId="6EC4A40D" w14:textId="77777777" w:rsidR="00A63343" w:rsidRDefault="00A63343" w:rsidP="00F22E15">
            <w:pPr>
              <w:jc w:val="both"/>
            </w:pPr>
            <w:r>
              <w:t>UKUPNO ATIVNI OBRTI</w:t>
            </w:r>
          </w:p>
        </w:tc>
        <w:tc>
          <w:tcPr>
            <w:tcW w:w="829" w:type="dxa"/>
          </w:tcPr>
          <w:p w14:paraId="08D682BC" w14:textId="77777777" w:rsidR="00A63343" w:rsidRDefault="00A63343" w:rsidP="00F22E15">
            <w:pPr>
              <w:jc w:val="center"/>
            </w:pPr>
          </w:p>
          <w:p w14:paraId="28620B17" w14:textId="77777777" w:rsidR="00A63343" w:rsidRPr="00A56E45" w:rsidRDefault="00A63343" w:rsidP="00F22E15">
            <w:pPr>
              <w:jc w:val="center"/>
              <w:rPr>
                <w:b/>
              </w:rPr>
            </w:pPr>
            <w:r w:rsidRPr="00A56E45">
              <w:rPr>
                <w:b/>
              </w:rPr>
              <w:t>17.772</w:t>
            </w:r>
          </w:p>
        </w:tc>
        <w:tc>
          <w:tcPr>
            <w:tcW w:w="604" w:type="dxa"/>
          </w:tcPr>
          <w:p w14:paraId="54502BF3" w14:textId="77777777" w:rsidR="00A63343" w:rsidRDefault="00A63343" w:rsidP="00F22E15">
            <w:pPr>
              <w:jc w:val="center"/>
            </w:pPr>
          </w:p>
          <w:p w14:paraId="22B2E4C4" w14:textId="77777777" w:rsidR="00A63343" w:rsidRDefault="00A63343" w:rsidP="00F22E15">
            <w:pPr>
              <w:jc w:val="center"/>
            </w:pPr>
            <w:r>
              <w:t>100</w:t>
            </w:r>
          </w:p>
        </w:tc>
        <w:tc>
          <w:tcPr>
            <w:tcW w:w="830" w:type="dxa"/>
          </w:tcPr>
          <w:p w14:paraId="43FF04BA" w14:textId="77777777" w:rsidR="00A63343" w:rsidRDefault="00A63343" w:rsidP="00F22E15"/>
          <w:p w14:paraId="29651F06" w14:textId="77777777" w:rsidR="00A63343" w:rsidRPr="00A56E45" w:rsidRDefault="00A63343" w:rsidP="00F22E15">
            <w:pPr>
              <w:jc w:val="center"/>
              <w:rPr>
                <w:b/>
              </w:rPr>
            </w:pPr>
            <w:r w:rsidRPr="00A56E45">
              <w:rPr>
                <w:b/>
              </w:rPr>
              <w:t>90.968</w:t>
            </w:r>
          </w:p>
        </w:tc>
        <w:tc>
          <w:tcPr>
            <w:tcW w:w="604" w:type="dxa"/>
          </w:tcPr>
          <w:p w14:paraId="2763FFA6" w14:textId="77777777" w:rsidR="00A63343" w:rsidRDefault="00A63343" w:rsidP="00F22E15"/>
          <w:p w14:paraId="42534E4F" w14:textId="77777777" w:rsidR="00A63343" w:rsidRDefault="00A63343" w:rsidP="00F22E15">
            <w:pPr>
              <w:jc w:val="center"/>
            </w:pPr>
            <w:r>
              <w:t>100</w:t>
            </w:r>
          </w:p>
        </w:tc>
        <w:tc>
          <w:tcPr>
            <w:tcW w:w="829" w:type="dxa"/>
          </w:tcPr>
          <w:p w14:paraId="10EFFFB9" w14:textId="77777777" w:rsidR="00A63343" w:rsidRDefault="00A63343" w:rsidP="00F22E15">
            <w:pPr>
              <w:jc w:val="center"/>
            </w:pPr>
          </w:p>
          <w:p w14:paraId="62321992" w14:textId="77777777" w:rsidR="00A63343" w:rsidRPr="00A56E45" w:rsidRDefault="00A63343" w:rsidP="00F22E15">
            <w:pPr>
              <w:jc w:val="center"/>
              <w:rPr>
                <w:b/>
              </w:rPr>
            </w:pPr>
            <w:r w:rsidRPr="00A56E45">
              <w:rPr>
                <w:b/>
              </w:rPr>
              <w:t>18.553</w:t>
            </w:r>
          </w:p>
        </w:tc>
        <w:tc>
          <w:tcPr>
            <w:tcW w:w="604" w:type="dxa"/>
          </w:tcPr>
          <w:p w14:paraId="370BED2D" w14:textId="77777777" w:rsidR="00A63343" w:rsidRDefault="00A63343" w:rsidP="00F22E15">
            <w:pPr>
              <w:jc w:val="center"/>
            </w:pPr>
          </w:p>
          <w:p w14:paraId="5F96A9D8" w14:textId="77777777" w:rsidR="00A63343" w:rsidRDefault="00A63343" w:rsidP="00F22E15">
            <w:pPr>
              <w:jc w:val="center"/>
            </w:pPr>
            <w:r>
              <w:t>100</w:t>
            </w:r>
          </w:p>
        </w:tc>
        <w:tc>
          <w:tcPr>
            <w:tcW w:w="830" w:type="dxa"/>
          </w:tcPr>
          <w:p w14:paraId="31FE9CC9" w14:textId="77777777" w:rsidR="00A63343" w:rsidRDefault="00A63343" w:rsidP="00F22E15"/>
          <w:p w14:paraId="0FD19248" w14:textId="77777777" w:rsidR="00A63343" w:rsidRPr="00A56E45" w:rsidRDefault="00A63343" w:rsidP="00F22E15">
            <w:pPr>
              <w:jc w:val="center"/>
              <w:rPr>
                <w:b/>
              </w:rPr>
            </w:pPr>
            <w:r w:rsidRPr="00A56E45">
              <w:rPr>
                <w:b/>
              </w:rPr>
              <w:t>94.317</w:t>
            </w:r>
          </w:p>
        </w:tc>
        <w:tc>
          <w:tcPr>
            <w:tcW w:w="604" w:type="dxa"/>
          </w:tcPr>
          <w:p w14:paraId="75E57DAA" w14:textId="77777777" w:rsidR="00A63343" w:rsidRDefault="00A63343" w:rsidP="00F22E15"/>
          <w:p w14:paraId="0012D4BA" w14:textId="77777777" w:rsidR="00A63343" w:rsidRDefault="00A63343" w:rsidP="00F22E15">
            <w:pPr>
              <w:jc w:val="center"/>
            </w:pPr>
            <w:r>
              <w:t>100</w:t>
            </w:r>
          </w:p>
        </w:tc>
        <w:tc>
          <w:tcPr>
            <w:tcW w:w="1036" w:type="dxa"/>
          </w:tcPr>
          <w:p w14:paraId="6D77A1AF" w14:textId="77777777" w:rsidR="00A63343" w:rsidRDefault="00A63343" w:rsidP="00F22E15">
            <w:pPr>
              <w:jc w:val="center"/>
            </w:pPr>
          </w:p>
          <w:p w14:paraId="2182A6AC" w14:textId="77777777" w:rsidR="00A63343" w:rsidRDefault="00A63343" w:rsidP="00F22E15">
            <w:pPr>
              <w:jc w:val="center"/>
            </w:pPr>
            <w:r>
              <w:t>107,71</w:t>
            </w:r>
          </w:p>
        </w:tc>
        <w:tc>
          <w:tcPr>
            <w:tcW w:w="966" w:type="dxa"/>
          </w:tcPr>
          <w:p w14:paraId="2C40CB8F" w14:textId="77777777" w:rsidR="00A63343" w:rsidRDefault="00A63343" w:rsidP="00F22E15">
            <w:pPr>
              <w:jc w:val="center"/>
            </w:pPr>
          </w:p>
          <w:p w14:paraId="4CCDF3D5" w14:textId="77777777" w:rsidR="00A63343" w:rsidRDefault="00A63343" w:rsidP="00F22E15">
            <w:pPr>
              <w:jc w:val="center"/>
            </w:pPr>
            <w:r>
              <w:t>106,60</w:t>
            </w:r>
          </w:p>
        </w:tc>
      </w:tr>
    </w:tbl>
    <w:p w14:paraId="45BA5D23" w14:textId="27F27F1C" w:rsidR="00A63343" w:rsidRDefault="00A63343" w:rsidP="00A63343">
      <w:pPr>
        <w:pStyle w:val="Tekstkomentara"/>
        <w:jc w:val="both"/>
      </w:pPr>
      <w:r>
        <w:t>Izvor: Hrvatska obrtnička komora, Obrtništvo u brojkama XII/2020., Statistički pregled, str. 11. i Statističke informacije, lipanj 2021., str. 11.</w:t>
      </w:r>
      <w:r w:rsidR="005F6147">
        <w:t xml:space="preserve"> </w:t>
      </w:r>
      <w:hyperlink r:id="rId17" w:history="1">
        <w:r w:rsidR="00BA606E" w:rsidRPr="00BA606E">
          <w:rPr>
            <w:rStyle w:val="Hiperveza"/>
          </w:rPr>
          <w:t>https://www.hok.hr/gospodarstvo-i-savjetovanje/statistika/obrtnistvo-u-brojkama</w:t>
        </w:r>
      </w:hyperlink>
      <w:r>
        <w:t>, obrada: RAZ</w:t>
      </w:r>
    </w:p>
    <w:p w14:paraId="1993EA40" w14:textId="77777777" w:rsidR="00A63343" w:rsidRPr="00852E9C" w:rsidRDefault="00A63343" w:rsidP="00A63343">
      <w:pPr>
        <w:tabs>
          <w:tab w:val="left" w:pos="-720"/>
        </w:tabs>
        <w:suppressAutoHyphens/>
        <w:spacing w:after="200" w:line="276" w:lineRule="auto"/>
        <w:ind w:right="-2"/>
        <w:jc w:val="both"/>
        <w:rPr>
          <w:rFonts w:ascii="Calibri" w:eastAsia="Calibri" w:hAnsi="Calibri" w:cs="Calibri"/>
          <w:bCs/>
        </w:rPr>
      </w:pPr>
      <w:r w:rsidRPr="00852E9C">
        <w:rPr>
          <w:rFonts w:ascii="Calibri" w:eastAsia="Calibri" w:hAnsi="Calibri" w:cs="Calibri"/>
          <w:bCs/>
        </w:rPr>
        <w:t>U odnosu na 20</w:t>
      </w:r>
      <w:r>
        <w:rPr>
          <w:rFonts w:ascii="Calibri" w:eastAsia="Calibri" w:hAnsi="Calibri" w:cs="Calibri"/>
          <w:bCs/>
        </w:rPr>
        <w:t>20</w:t>
      </w:r>
      <w:r w:rsidRPr="00852E9C">
        <w:rPr>
          <w:rFonts w:ascii="Calibri" w:eastAsia="Calibri" w:hAnsi="Calibri" w:cs="Calibri"/>
          <w:bCs/>
        </w:rPr>
        <w:t xml:space="preserve">. godinu </w:t>
      </w:r>
      <w:r>
        <w:rPr>
          <w:rFonts w:ascii="Calibri" w:eastAsia="Calibri" w:hAnsi="Calibri" w:cs="Calibri"/>
          <w:bCs/>
        </w:rPr>
        <w:t xml:space="preserve">nije </w:t>
      </w:r>
      <w:r w:rsidRPr="00852E9C">
        <w:rPr>
          <w:rFonts w:ascii="Calibri" w:eastAsia="Calibri" w:hAnsi="Calibri" w:cs="Calibri"/>
          <w:bCs/>
        </w:rPr>
        <w:t xml:space="preserve">došlo je do </w:t>
      </w:r>
      <w:r>
        <w:rPr>
          <w:rFonts w:ascii="Calibri" w:eastAsia="Calibri" w:hAnsi="Calibri" w:cs="Calibri"/>
          <w:bCs/>
        </w:rPr>
        <w:t xml:space="preserve">značajne </w:t>
      </w:r>
      <w:r w:rsidRPr="00852E9C">
        <w:rPr>
          <w:rFonts w:ascii="Calibri" w:eastAsia="Calibri" w:hAnsi="Calibri" w:cs="Calibri"/>
          <w:bCs/>
        </w:rPr>
        <w:t>promjene strukture obrta prema djelatnostima</w:t>
      </w:r>
      <w:r>
        <w:rPr>
          <w:rFonts w:ascii="Calibri" w:eastAsia="Calibri" w:hAnsi="Calibri" w:cs="Calibri"/>
          <w:bCs/>
        </w:rPr>
        <w:t xml:space="preserve"> ali se zato povećao broj obrta u pojedinim branšama</w:t>
      </w:r>
      <w:r w:rsidRPr="00852E9C">
        <w:rPr>
          <w:rFonts w:ascii="Calibri" w:eastAsia="Calibri" w:hAnsi="Calibri" w:cs="Calibri"/>
          <w:bCs/>
        </w:rPr>
        <w:t xml:space="preserve">. </w:t>
      </w:r>
      <w:r>
        <w:rPr>
          <w:rFonts w:ascii="Calibri" w:eastAsia="Calibri" w:hAnsi="Calibri" w:cs="Calibri"/>
          <w:bCs/>
        </w:rPr>
        <w:t>U</w:t>
      </w:r>
      <w:r w:rsidRPr="00852E9C">
        <w:rPr>
          <w:rFonts w:ascii="Calibri" w:eastAsia="Calibri" w:hAnsi="Calibri" w:cs="Calibri"/>
          <w:bCs/>
        </w:rPr>
        <w:t xml:space="preserve"> 20</w:t>
      </w:r>
      <w:r>
        <w:rPr>
          <w:rFonts w:ascii="Calibri" w:eastAsia="Calibri" w:hAnsi="Calibri" w:cs="Calibri"/>
          <w:bCs/>
        </w:rPr>
        <w:t>20</w:t>
      </w:r>
      <w:r w:rsidRPr="00852E9C">
        <w:rPr>
          <w:rFonts w:ascii="Calibri" w:eastAsia="Calibri" w:hAnsi="Calibri" w:cs="Calibri"/>
          <w:bCs/>
        </w:rPr>
        <w:t xml:space="preserve">. </w:t>
      </w:r>
      <w:r>
        <w:rPr>
          <w:rFonts w:ascii="Calibri" w:eastAsia="Calibri" w:hAnsi="Calibri" w:cs="Calibri"/>
          <w:bCs/>
        </w:rPr>
        <w:t xml:space="preserve">godini se u Republici Hrvatskoj </w:t>
      </w:r>
      <w:r w:rsidRPr="00852E9C">
        <w:rPr>
          <w:rFonts w:ascii="Calibri" w:eastAsia="Calibri" w:hAnsi="Calibri" w:cs="Calibri"/>
          <w:bCs/>
        </w:rPr>
        <w:t xml:space="preserve">najveći udio broja obrta </w:t>
      </w:r>
      <w:r>
        <w:rPr>
          <w:rFonts w:ascii="Calibri" w:eastAsia="Calibri" w:hAnsi="Calibri" w:cs="Calibri"/>
          <w:bCs/>
        </w:rPr>
        <w:t xml:space="preserve">odnosio se na uslužno zanatstvo (47,9%), zatim slijedi ugostiteljstvo i turizam (12,7%) te </w:t>
      </w:r>
      <w:r w:rsidRPr="00852E9C">
        <w:rPr>
          <w:rFonts w:ascii="Calibri" w:eastAsia="Calibri" w:hAnsi="Calibri" w:cs="Calibri"/>
          <w:bCs/>
        </w:rPr>
        <w:t>trgovina</w:t>
      </w:r>
      <w:r>
        <w:rPr>
          <w:rFonts w:ascii="Calibri" w:eastAsia="Calibri" w:hAnsi="Calibri" w:cs="Calibri"/>
          <w:bCs/>
        </w:rPr>
        <w:t xml:space="preserve"> (10%), a nakon toga proizvodno zanatstvo (8,7%) i prijevoz osoba i stvari (8,8%) te obrt koji obuhvaća frizere, kozmetičare, njegu tijela i fitnes (7,06%) i na kraju ribarstvo, manikura i poljodjelstvo (4,3%). Do kraja lipnja 2021. zabilježen je blagi pad obrtnih aktivnosti u Republici Hrvatskoj uz blago povećanje djelatnosti uslužnog zanatstva za 1,2%. Također se može vidjeti i blago povećanje u djelatnostima uslužnog zanatstva u strukturi obrta na razini Grada Zagreba za 1,7% a ujedno i povećanje aktivnih obrta u Gradu Zagrebu u odnosu na prosinac 2020. za 0,24 % . Ostale djelatnosti aktivnih obrta u Gradu Zagrebu su se do kraja lipnja 2021. blago smanjile u odnosu na prosinac 2020. </w:t>
      </w:r>
    </w:p>
    <w:p w14:paraId="77AA1CEA" w14:textId="108202E7" w:rsidR="00E87AC6" w:rsidRDefault="00A63343" w:rsidP="00E87AC6">
      <w:pPr>
        <w:tabs>
          <w:tab w:val="left" w:pos="-720"/>
        </w:tabs>
        <w:suppressAutoHyphens/>
        <w:spacing w:after="200" w:line="276" w:lineRule="auto"/>
        <w:ind w:right="-2"/>
        <w:jc w:val="both"/>
        <w:rPr>
          <w:rFonts w:ascii="Calibri" w:eastAsia="Calibri" w:hAnsi="Calibri" w:cs="Calibri"/>
          <w:bCs/>
        </w:rPr>
      </w:pPr>
      <w:r w:rsidRPr="00852E9C">
        <w:rPr>
          <w:rFonts w:ascii="Calibri" w:eastAsia="Calibri" w:hAnsi="Calibri" w:cs="Calibri"/>
          <w:bCs/>
        </w:rPr>
        <w:t>U 20</w:t>
      </w:r>
      <w:r>
        <w:rPr>
          <w:rFonts w:ascii="Calibri" w:eastAsia="Calibri" w:hAnsi="Calibri" w:cs="Calibri"/>
          <w:bCs/>
        </w:rPr>
        <w:t>20</w:t>
      </w:r>
      <w:r w:rsidRPr="00852E9C">
        <w:rPr>
          <w:rFonts w:ascii="Calibri" w:eastAsia="Calibri" w:hAnsi="Calibri" w:cs="Calibri"/>
          <w:bCs/>
        </w:rPr>
        <w:t xml:space="preserve">. godini u obrtu </w:t>
      </w:r>
      <w:r>
        <w:rPr>
          <w:rFonts w:ascii="Calibri" w:eastAsia="Calibri" w:hAnsi="Calibri" w:cs="Calibri"/>
          <w:bCs/>
        </w:rPr>
        <w:t>prema branšama</w:t>
      </w:r>
      <w:r w:rsidRPr="00852E9C">
        <w:rPr>
          <w:rFonts w:ascii="Calibri" w:eastAsia="Calibri" w:hAnsi="Calibri" w:cs="Calibri"/>
          <w:bCs/>
        </w:rPr>
        <w:t xml:space="preserve"> bilo je zaposleno </w:t>
      </w:r>
      <w:r>
        <w:rPr>
          <w:rFonts w:ascii="Calibri" w:eastAsia="Calibri" w:hAnsi="Calibri" w:cs="Calibri"/>
          <w:bCs/>
        </w:rPr>
        <w:t xml:space="preserve">31.974 ili 34,4% ženskih osoba i 60.970 ili 65,6% muških osoba, a do kraja lipnja 2021. ukupan broj zaposlenih žena je bio 33.372 ili 34,7% i 62.923 ili 65,3 % zaposlenih muških osoba. </w:t>
      </w:r>
      <w:r w:rsidR="00E87AC6" w:rsidRPr="00852E9C">
        <w:rPr>
          <w:rFonts w:ascii="Calibri" w:eastAsia="Calibri" w:hAnsi="Calibri" w:cs="Calibri"/>
          <w:bCs/>
        </w:rPr>
        <w:t xml:space="preserve">U </w:t>
      </w:r>
      <w:r w:rsidR="005E305B">
        <w:rPr>
          <w:rFonts w:ascii="Calibri" w:eastAsia="Calibri" w:hAnsi="Calibri" w:cs="Calibri"/>
          <w:bCs/>
        </w:rPr>
        <w:t xml:space="preserve"> 2021.</w:t>
      </w:r>
      <w:r w:rsidR="00E87AC6" w:rsidRPr="00852E9C">
        <w:rPr>
          <w:rFonts w:ascii="Calibri" w:eastAsia="Calibri" w:hAnsi="Calibri" w:cs="Calibri"/>
          <w:bCs/>
        </w:rPr>
        <w:t xml:space="preserve"> godini u obrtu i djelatnostima slobodnih profesija bilo je zaposleno 30.</w:t>
      </w:r>
      <w:r w:rsidR="005E305B">
        <w:rPr>
          <w:rFonts w:ascii="Calibri" w:eastAsia="Calibri" w:hAnsi="Calibri" w:cs="Calibri"/>
          <w:bCs/>
        </w:rPr>
        <w:t>782</w:t>
      </w:r>
      <w:r w:rsidR="00E87AC6" w:rsidRPr="00852E9C">
        <w:rPr>
          <w:rFonts w:ascii="Calibri" w:eastAsia="Calibri" w:hAnsi="Calibri" w:cs="Calibri"/>
          <w:bCs/>
        </w:rPr>
        <w:t>osoba što predstavlja udio od 7,</w:t>
      </w:r>
      <w:r w:rsidR="005E305B">
        <w:rPr>
          <w:rFonts w:ascii="Calibri" w:eastAsia="Calibri" w:hAnsi="Calibri" w:cs="Calibri"/>
          <w:bCs/>
        </w:rPr>
        <w:t>14</w:t>
      </w:r>
      <w:r w:rsidR="00E87AC6" w:rsidRPr="00852E9C">
        <w:rPr>
          <w:rFonts w:ascii="Calibri" w:eastAsia="Calibri" w:hAnsi="Calibri" w:cs="Calibri"/>
          <w:bCs/>
        </w:rPr>
        <w:t>% u ukupnom broju zaposlenih osoba u Gradu Zagrebu.</w:t>
      </w:r>
    </w:p>
    <w:p w14:paraId="4D524E1C" w14:textId="77777777" w:rsidR="005E305B" w:rsidRPr="005E305B" w:rsidRDefault="005E305B" w:rsidP="005E305B">
      <w:pPr>
        <w:tabs>
          <w:tab w:val="left" w:pos="-720"/>
        </w:tabs>
        <w:suppressAutoHyphens/>
        <w:spacing w:after="200" w:line="276" w:lineRule="auto"/>
        <w:ind w:right="-2"/>
        <w:jc w:val="both"/>
        <w:rPr>
          <w:rFonts w:ascii="Calibri" w:eastAsia="Calibri" w:hAnsi="Calibri" w:cs="Calibri"/>
          <w:bCs/>
        </w:rPr>
      </w:pPr>
      <w:r w:rsidRPr="005E305B">
        <w:rPr>
          <w:rFonts w:ascii="Calibri" w:eastAsia="Calibri" w:hAnsi="Calibri" w:cs="Calibri"/>
          <w:bCs/>
        </w:rPr>
        <w:t>Jedinstveni sustav organiziranosti obrta uz Hrvatsku obrtničku komoru uključuje i područne obrtničke komore i udruženja obrtnika. Konkretno za Grad Zagreb to su Obrtnička komora Zagreb te strukovna udruženja obrtnika u Zagrebu (obrtnika, trgovaca, ugostitelja, prijevoznika te autotaksi prijevoznika) i teritorijalno udruženje Sesvete.</w:t>
      </w:r>
    </w:p>
    <w:p w14:paraId="3E7B76FE" w14:textId="57F05804" w:rsidR="005E305B" w:rsidRPr="005E305B" w:rsidRDefault="005E305B" w:rsidP="005E305B">
      <w:pPr>
        <w:tabs>
          <w:tab w:val="left" w:pos="-720"/>
        </w:tabs>
        <w:suppressAutoHyphens/>
        <w:spacing w:after="200" w:line="276" w:lineRule="auto"/>
        <w:ind w:right="-2"/>
        <w:jc w:val="both"/>
        <w:rPr>
          <w:rFonts w:ascii="Calibri" w:eastAsia="Calibri" w:hAnsi="Calibri" w:cs="Calibri"/>
          <w:bCs/>
        </w:rPr>
      </w:pPr>
      <w:r w:rsidRPr="005E305B">
        <w:rPr>
          <w:rFonts w:ascii="Calibri" w:eastAsia="Calibri" w:hAnsi="Calibri" w:cs="Calibri"/>
          <w:bCs/>
        </w:rPr>
        <w:t>Hrvatska obrtnička komora i komorski sustav u užem smislu tj. Zakonom o unaprjeđenju poduzetničke infrastrukture nisu klasificirani kao poduzetničk</w:t>
      </w:r>
      <w:r w:rsidR="001879BA">
        <w:rPr>
          <w:rFonts w:ascii="Calibri" w:eastAsia="Calibri" w:hAnsi="Calibri" w:cs="Calibri"/>
          <w:bCs/>
        </w:rPr>
        <w:t>e</w:t>
      </w:r>
      <w:r w:rsidRPr="005E305B">
        <w:rPr>
          <w:rFonts w:ascii="Calibri" w:eastAsia="Calibri" w:hAnsi="Calibri" w:cs="Calibri"/>
          <w:bCs/>
        </w:rPr>
        <w:t xml:space="preserve"> potporne institucije, ali već dugi niz godina kontinuirano provode aktivnosti koje odgovaraju zadaćama poduzetničkih potpornih institucija kako su utvrđene </w:t>
      </w:r>
      <w:r w:rsidR="001879BA">
        <w:rPr>
          <w:rFonts w:ascii="Calibri" w:eastAsia="Calibri" w:hAnsi="Calibri" w:cs="Calibri"/>
          <w:bCs/>
        </w:rPr>
        <w:t>Z</w:t>
      </w:r>
      <w:r w:rsidRPr="005E305B">
        <w:rPr>
          <w:rFonts w:ascii="Calibri" w:eastAsia="Calibri" w:hAnsi="Calibri" w:cs="Calibri"/>
          <w:bCs/>
        </w:rPr>
        <w:t>akonom. Hrvatska obrtnička komora je samostalna stručno poslovna organizacija obrtnika koja je osnovana radi promicanja, usklađivanja i zastupanja zajedničkih interesa obrtništva. Hrvatska obrtnička komora je pravna osoba te obavlja javne ovlasti.</w:t>
      </w:r>
    </w:p>
    <w:p w14:paraId="2190BB4D" w14:textId="77777777" w:rsidR="005E305B" w:rsidRPr="005E305B" w:rsidRDefault="005E305B" w:rsidP="005E305B">
      <w:pPr>
        <w:tabs>
          <w:tab w:val="left" w:pos="-720"/>
        </w:tabs>
        <w:suppressAutoHyphens/>
        <w:spacing w:after="200" w:line="276" w:lineRule="auto"/>
        <w:ind w:right="-2"/>
        <w:jc w:val="both"/>
        <w:rPr>
          <w:rFonts w:ascii="Calibri" w:eastAsia="Calibri" w:hAnsi="Calibri" w:cs="Calibri"/>
          <w:bCs/>
        </w:rPr>
      </w:pPr>
      <w:r w:rsidRPr="005E305B">
        <w:rPr>
          <w:rFonts w:ascii="Calibri" w:eastAsia="Calibri" w:hAnsi="Calibri" w:cs="Calibri"/>
          <w:bCs/>
        </w:rPr>
        <w:t>Teritorijalni ustroj komorskog sustava:</w:t>
      </w:r>
    </w:p>
    <w:p w14:paraId="486E4852" w14:textId="77777777" w:rsidR="005E305B" w:rsidRPr="005E305B" w:rsidRDefault="005E305B" w:rsidP="005E305B">
      <w:pPr>
        <w:tabs>
          <w:tab w:val="left" w:pos="-720"/>
        </w:tabs>
        <w:suppressAutoHyphens/>
        <w:spacing w:after="200" w:line="276" w:lineRule="auto"/>
        <w:ind w:right="-2"/>
        <w:jc w:val="both"/>
        <w:rPr>
          <w:rFonts w:ascii="Calibri" w:eastAsia="Calibri" w:hAnsi="Calibri" w:cs="Calibri"/>
          <w:bCs/>
        </w:rPr>
      </w:pPr>
      <w:r w:rsidRPr="005E305B">
        <w:rPr>
          <w:rFonts w:ascii="Calibri" w:eastAsia="Calibri" w:hAnsi="Calibri" w:cs="Calibri"/>
          <w:bCs/>
        </w:rPr>
        <w:t>-</w:t>
      </w:r>
      <w:r w:rsidRPr="005E305B">
        <w:rPr>
          <w:rFonts w:ascii="Calibri" w:eastAsia="Calibri" w:hAnsi="Calibri" w:cs="Calibri"/>
          <w:bCs/>
        </w:rPr>
        <w:tab/>
        <w:t>Na razini Hrvatske djeluje Hrvatska obrtnička komora</w:t>
      </w:r>
    </w:p>
    <w:p w14:paraId="49D95957" w14:textId="77777777" w:rsidR="005E305B" w:rsidRPr="005E305B" w:rsidRDefault="005E305B" w:rsidP="005E305B">
      <w:pPr>
        <w:tabs>
          <w:tab w:val="left" w:pos="-720"/>
        </w:tabs>
        <w:suppressAutoHyphens/>
        <w:spacing w:after="200" w:line="276" w:lineRule="auto"/>
        <w:ind w:right="-2"/>
        <w:jc w:val="both"/>
        <w:rPr>
          <w:rFonts w:ascii="Calibri" w:eastAsia="Calibri" w:hAnsi="Calibri" w:cs="Calibri"/>
          <w:bCs/>
        </w:rPr>
      </w:pPr>
      <w:r w:rsidRPr="005E305B">
        <w:rPr>
          <w:rFonts w:ascii="Calibri" w:eastAsia="Calibri" w:hAnsi="Calibri" w:cs="Calibri"/>
          <w:bCs/>
        </w:rPr>
        <w:t>-</w:t>
      </w:r>
      <w:r w:rsidRPr="005E305B">
        <w:rPr>
          <w:rFonts w:ascii="Calibri" w:eastAsia="Calibri" w:hAnsi="Calibri" w:cs="Calibri"/>
          <w:bCs/>
        </w:rPr>
        <w:tab/>
        <w:t>Na razini županije djeluju područne obrtničke komore</w:t>
      </w:r>
    </w:p>
    <w:p w14:paraId="1D0F11DC" w14:textId="3758293B" w:rsidR="005E305B" w:rsidRDefault="005E305B" w:rsidP="005E305B">
      <w:pPr>
        <w:tabs>
          <w:tab w:val="left" w:pos="-720"/>
        </w:tabs>
        <w:suppressAutoHyphens/>
        <w:spacing w:after="200" w:line="276" w:lineRule="auto"/>
        <w:ind w:right="-2"/>
        <w:jc w:val="both"/>
        <w:rPr>
          <w:rFonts w:ascii="Calibri" w:eastAsia="Calibri" w:hAnsi="Calibri" w:cs="Calibri"/>
          <w:bCs/>
        </w:rPr>
      </w:pPr>
      <w:r w:rsidRPr="005E305B">
        <w:rPr>
          <w:rFonts w:ascii="Calibri" w:eastAsia="Calibri" w:hAnsi="Calibri" w:cs="Calibri"/>
          <w:bCs/>
        </w:rPr>
        <w:t>-</w:t>
      </w:r>
      <w:r w:rsidRPr="005E305B">
        <w:rPr>
          <w:rFonts w:ascii="Calibri" w:eastAsia="Calibri" w:hAnsi="Calibri" w:cs="Calibri"/>
          <w:bCs/>
        </w:rPr>
        <w:tab/>
        <w:t>Na razini grada djeluju udruženja obrtnika</w:t>
      </w:r>
    </w:p>
    <w:p w14:paraId="542436D7" w14:textId="034496DA" w:rsidR="00E87AC6" w:rsidRDefault="00E87AC6" w:rsidP="005A25A2">
      <w:pPr>
        <w:pStyle w:val="Stil2"/>
      </w:pPr>
      <w:bookmarkStart w:id="69" w:name="_Toc97123808"/>
      <w:r>
        <w:t>3.1.5. Poduzetnička infrastruktura</w:t>
      </w:r>
      <w:bookmarkStart w:id="70" w:name="_Hlk69293634"/>
      <w:bookmarkEnd w:id="69"/>
    </w:p>
    <w:p w14:paraId="0C58BD6F" w14:textId="77777777" w:rsidR="00E87AC6" w:rsidRDefault="00E87AC6" w:rsidP="00E87AC6">
      <w:pPr>
        <w:spacing w:after="0" w:line="240" w:lineRule="auto"/>
        <w:jc w:val="both"/>
        <w:rPr>
          <w:rFonts w:cs="Calibri"/>
        </w:rPr>
      </w:pPr>
      <w:r w:rsidRPr="00DA480C">
        <w:rPr>
          <w:rFonts w:cs="Calibri"/>
        </w:rPr>
        <w:t xml:space="preserve">Poduzetnička infrastruktura u </w:t>
      </w:r>
      <w:r>
        <w:rPr>
          <w:rFonts w:cs="Calibri"/>
        </w:rPr>
        <w:t xml:space="preserve">Zagrebu </w:t>
      </w:r>
      <w:r w:rsidRPr="00DA480C">
        <w:rPr>
          <w:rFonts w:cs="Calibri"/>
        </w:rPr>
        <w:t>prilično je razvijena</w:t>
      </w:r>
      <w:r>
        <w:rPr>
          <w:rFonts w:cs="Calibri"/>
        </w:rPr>
        <w:t xml:space="preserve">, ali potrebno ju je </w:t>
      </w:r>
      <w:r w:rsidRPr="00DA480C">
        <w:rPr>
          <w:rFonts w:cs="Calibri"/>
        </w:rPr>
        <w:t>nastaviti razvijati i nadopunjavati i u budućnosti</w:t>
      </w:r>
      <w:r>
        <w:rPr>
          <w:rFonts w:cs="Calibri"/>
        </w:rPr>
        <w:t xml:space="preserve"> jer i dalje p</w:t>
      </w:r>
      <w:r w:rsidRPr="006C70A6">
        <w:rPr>
          <w:rFonts w:cs="Calibri"/>
        </w:rPr>
        <w:t>ostoji potreba za proširenjem i unaprjeđenjem usluga za poduzetnike</w:t>
      </w:r>
      <w:r>
        <w:rPr>
          <w:rFonts w:cs="Calibri"/>
        </w:rPr>
        <w:t>.</w:t>
      </w:r>
      <w:r w:rsidRPr="006C70A6">
        <w:rPr>
          <w:rFonts w:cs="Calibri"/>
        </w:rPr>
        <w:t xml:space="preserve"> </w:t>
      </w:r>
      <w:r>
        <w:rPr>
          <w:rFonts w:cs="Calibri"/>
        </w:rPr>
        <w:t xml:space="preserve">Najvažnija </w:t>
      </w:r>
      <w:r w:rsidRPr="00D92682">
        <w:rPr>
          <w:rFonts w:cs="Calibri"/>
        </w:rPr>
        <w:t xml:space="preserve">poduzetnička potporna institucija Grada Zagreba </w:t>
      </w:r>
      <w:r>
        <w:rPr>
          <w:rFonts w:cs="Calibri"/>
        </w:rPr>
        <w:t xml:space="preserve">je Zagrebački inovacijski centar d.o.o. (ZICER) koji provodi aktivnosti podrške razvoja i unapređenja poduzetničkog okruženja, doprinosi jačanju poduzetničkih kompetencija i promociji poduzetništva, olakšava put izvorima financiranja te pruža podršku poduzetnicima prilikom transfera poduzetničke ideje u proizvod ili uslugu. </w:t>
      </w:r>
      <w:bookmarkStart w:id="71" w:name="_Hlk69467803"/>
      <w:r>
        <w:rPr>
          <w:rFonts w:cs="Calibri"/>
        </w:rPr>
        <w:t>U okviru ZICER-a djeluje Plavi ured, kao poduzetnički centar koji provodi programe edukacije za postojeće i buduće poduzetnike te pruža savjetodavne usluge uključujući i  pomoć kod prijave projekata za EU natječaje. U cilju poticanja, osnivanja i razvoja tehnološki utemeljenih malih tvrtki usmjerenih na područje visokih tehnologija, razvoj proizvoda i inovativnog poduzetništva, glavna aktivnost ZICER-a vezana je uz poduzetnički inkubator koji raspolaže sa više od 100 modularnih prostora, coworking prostorima te pametnom infrastrukturom – 6 vrhunski opremljenih tehnoloških centara: Centar za razvoj sučelja, Centar za 3D modeliranje, Centar za digitalnu forenziku, Centar za elektroniku, Centar za tehnologiju zaštite okoliša, Centar za drvnu industriju i Centar za Internet of Things (IoT). S ciljem osnaživanja ekosustava za razvoj startup poduzetništva u posljednjih pet godina ZICER provodi predakceleracijski program Startup Factory koji za zagrebačke startupove osigurava intenzivnu edukaciju, vrhunske mentore, ZICER-ovu infrastrukturu, promocijsku podršku i umrežavanje, a za najbolje timove i bespovratna novčana sredstva.</w:t>
      </w:r>
    </w:p>
    <w:p w14:paraId="4368114F" w14:textId="77777777" w:rsidR="00E87AC6" w:rsidRDefault="00E87AC6" w:rsidP="00E87AC6">
      <w:pPr>
        <w:spacing w:after="0" w:line="240" w:lineRule="auto"/>
        <w:jc w:val="both"/>
        <w:rPr>
          <w:rFonts w:cs="Calibri"/>
        </w:rPr>
      </w:pPr>
      <w:r>
        <w:rPr>
          <w:rFonts w:cs="Calibri"/>
        </w:rPr>
        <w:t>Uz bespovratnu financijsku podršku kroz Startup Factory program kao svojevrsnu pre seed investiciju, u 2019. godini Grad Zagreb je plasirao novi financijski instrument u vidu konvertibilnih zajmova. Ova mjera je namijenjena visokotehnološkim tvrtkama koje svoje projekte razvijaju unutar ZICER-a, a koje su prethodno zadovoljile kriterije procjene tržišnog potencijala. Na ovaj način, Grad Zagreb i ZICER stvaraju preduvjete za daljnji razvoj startupova te im daju dodatnu podršku potrebnu za komercijalizaciju njihovih proizvoda. Također, kroz različite projekte i aktivnosti ZICER potiče korištenje alternativnih izvora financiranja za starupove. Tako je upravo u tijeku EU projekt CE-Connector koji za cilj ima povezivanje startupova s poslovnim anđelima.</w:t>
      </w:r>
    </w:p>
    <w:p w14:paraId="0B7C1FD4" w14:textId="27234BA9" w:rsidR="00E87AC6" w:rsidRDefault="00E87AC6" w:rsidP="005A25A2">
      <w:pPr>
        <w:pStyle w:val="Stil2"/>
      </w:pPr>
      <w:bookmarkStart w:id="72" w:name="_Toc97123809"/>
      <w:bookmarkEnd w:id="70"/>
      <w:bookmarkEnd w:id="71"/>
      <w:r>
        <w:t xml:space="preserve">3.1.6. Poticajne mjere za razvoj malog i srednjeg poduzetništva i obrta </w:t>
      </w:r>
      <w:bookmarkEnd w:id="72"/>
    </w:p>
    <w:p w14:paraId="33DDBFB0" w14:textId="77777777" w:rsidR="00E87AC6" w:rsidRDefault="00E87AC6" w:rsidP="00E87AC6">
      <w:pPr>
        <w:spacing w:after="0" w:line="240" w:lineRule="auto"/>
        <w:jc w:val="both"/>
        <w:rPr>
          <w:rFonts w:cs="Calibri"/>
        </w:rPr>
      </w:pPr>
      <w:bookmarkStart w:id="73" w:name="_Hlk69467863"/>
      <w:r>
        <w:rPr>
          <w:color w:val="000000"/>
        </w:rPr>
        <w:t xml:space="preserve">Sukladno Programu poticanja razvoja obrta, malog i srednjeg poduzetništva u Gradu Zagrebu 2019.-2023. (Službeni glasnik Grada Zagreba 6/19) Grad Zagreb je tijekom 2019. godine provodio niz mjera i aktivnosti koje su bile usmjerene na stvaranje poticajnih uvjeta za daljnji rast i razvoj obrta, malog i srednjeg poduzetništva te rast zaposlenosti. </w:t>
      </w:r>
      <w:r>
        <w:rPr>
          <w:rFonts w:eastAsia="Times New Roman"/>
          <w:color w:val="000000"/>
          <w:lang w:eastAsia="hr-HR"/>
        </w:rPr>
        <w:t xml:space="preserve">Poticajne mjere i aktivnosti u Programu temelje se na identificiranim potrebama i interesima obrtnika i poduzetnika, a najvećim se dijelom odnose na dodjelu </w:t>
      </w:r>
      <w:r w:rsidRPr="00F71469">
        <w:rPr>
          <w:rFonts w:eastAsia="Times New Roman"/>
          <w:lang w:eastAsia="hr-HR"/>
        </w:rPr>
        <w:t>bespovratnih</w:t>
      </w:r>
      <w:r>
        <w:rPr>
          <w:rFonts w:eastAsia="Times New Roman"/>
          <w:color w:val="000000"/>
          <w:lang w:eastAsia="hr-HR"/>
        </w:rPr>
        <w:t xml:space="preserve"> </w:t>
      </w:r>
      <w:r>
        <w:rPr>
          <w:rFonts w:eastAsia="Times New Roman"/>
          <w:lang w:eastAsia="hr-HR"/>
        </w:rPr>
        <w:t>financijskih sredstava</w:t>
      </w:r>
      <w:r>
        <w:rPr>
          <w:rFonts w:eastAsia="Times New Roman"/>
          <w:color w:val="000000"/>
          <w:lang w:eastAsia="hr-HR"/>
        </w:rPr>
        <w:t xml:space="preserve">. Planirane mjere i aktivnosti u navedenom Programu u najvećem dijelu predstavljaju nastavak provedbe mjera i aktivnosti iz prethodnog programa. </w:t>
      </w:r>
      <w:r>
        <w:rPr>
          <w:rFonts w:cs="Calibri"/>
        </w:rPr>
        <w:t>Neke od značajnijih mjera koje se provode sukladno Programu su:</w:t>
      </w:r>
    </w:p>
    <w:bookmarkEnd w:id="73"/>
    <w:p w14:paraId="5D0F9B34" w14:textId="77777777" w:rsidR="00E87AC6" w:rsidRDefault="00E87AC6" w:rsidP="00E87AC6">
      <w:pPr>
        <w:tabs>
          <w:tab w:val="num" w:pos="0"/>
        </w:tabs>
        <w:spacing w:after="0" w:line="240" w:lineRule="auto"/>
        <w:jc w:val="both"/>
        <w:rPr>
          <w:rFonts w:cs="Calibri"/>
        </w:rPr>
      </w:pPr>
    </w:p>
    <w:p w14:paraId="3AC1F2AE" w14:textId="77777777" w:rsidR="00E87AC6" w:rsidRDefault="00E87AC6" w:rsidP="00E87AC6">
      <w:pPr>
        <w:spacing w:line="240" w:lineRule="auto"/>
        <w:jc w:val="both"/>
        <w:rPr>
          <w:rFonts w:cs="Calibri"/>
          <w:bCs/>
        </w:rPr>
      </w:pPr>
      <w:r>
        <w:rPr>
          <w:rFonts w:cs="Calibri"/>
          <w:b/>
          <w:i/>
          <w:iCs/>
        </w:rPr>
        <w:t>Dodjela poduzetničkih kredita uz subvencionirane kamate</w:t>
      </w:r>
      <w:r>
        <w:rPr>
          <w:rFonts w:cs="Calibri"/>
          <w:bCs/>
        </w:rPr>
        <w:t xml:space="preserve"> - </w:t>
      </w:r>
      <w:r>
        <w:rPr>
          <w:rFonts w:cs="Calibri"/>
          <w:b/>
        </w:rPr>
        <w:t xml:space="preserve"> </w:t>
      </w:r>
      <w:bookmarkStart w:id="74" w:name="_Hlk69467915"/>
      <w:r>
        <w:rPr>
          <w:rFonts w:cs="Calibri"/>
          <w:bCs/>
        </w:rPr>
        <w:t>Grad Zagreb uključen je u Program poboljšanog kreditiranja poduzetništva i obrta „Kreditom do uspjeha 2014.“, Mjera 1. „Kreditom do konkurentnosti“, kojeg je 2014. godine donijela Vlada RH. Sukladno programu krediti su se dodjeljivali obrtnicima i poduzetnicima po povoljnijim i prihvatljivijim uvjetima od komercijalnih uvjeta u poslovnim bankama uz subvenciju kamata Grada Zagreba i Ministarstva gospodarstva. Ovisno o programu kreditiranja ukupna subvencija kamate kretala se od 2-4%, a krediti su odobravani za kupnju, izgradnju, uređenje ili proširenje gospodarskih objekata, kupnju nove opreme te za obrtna sredstva. U 2018. zaprimljeno je i pozitivno ocijenjeno 76 investicijskih projekata ukupne vrijednosti 9.617.555,41 kuna, a ukupna visina traženih kredita poduzetnika iznosila je 7.472.700,00 kuna. Poduzetnici kojima je odobren kredit zapošljavaju  77 radnika, dok realizacijom investicijskih ulaganja planiraju zaposliti još  15 novih radnika. Odnos planiranog broja novozaposlenih i iznosa investicijskih ulaganja poduzetnika pokazuje da je investicijsko ulaganje po novozaposlenom, odnosno cijena novog radnog mjesta 641.170,36 kuna. U 2019. zaprimljena su i pozitivno ocjenjena dva investicijska projekta ukupne vrijednosti 3.426.391,18 kuna, ukupna visina traženih kredita poduzetnika je 1.555.000,00 kuna. Ti poduzetnici zapošljavaju 16 radnika, dok realizacijom investicijskih ulaganja planiraju zaposliti još 4 novih radnika. Odnos planiranog broja novozaposlenih i iznosa investicijskih ulaganja poduzetnika pokazuje da je investicijsko ulaganje po novozaposlenom, odnosno cijena novog radnog mjesta 856.597,80 kuna.</w:t>
      </w:r>
    </w:p>
    <w:p w14:paraId="3D87E06B" w14:textId="77777777" w:rsidR="00E87AC6" w:rsidRPr="00F71469" w:rsidRDefault="00E87AC6" w:rsidP="00E87AC6">
      <w:pPr>
        <w:pStyle w:val="StandardWeb"/>
        <w:jc w:val="both"/>
        <w:rPr>
          <w:rFonts w:ascii="Calibri" w:hAnsi="Calibri"/>
          <w:sz w:val="22"/>
          <w:szCs w:val="22"/>
        </w:rPr>
      </w:pPr>
      <w:bookmarkStart w:id="75" w:name="_Hlk69298561"/>
      <w:bookmarkEnd w:id="74"/>
      <w:r w:rsidRPr="00F71469">
        <w:rPr>
          <w:rFonts w:asciiTheme="minorHAnsi" w:hAnsiTheme="minorHAnsi" w:cstheme="minorHAnsi"/>
          <w:b/>
          <w:bCs/>
          <w:i/>
          <w:iCs/>
          <w:sz w:val="22"/>
          <w:szCs w:val="22"/>
        </w:rPr>
        <w:t>Dodjela potpora obrtnicima za očuvanje obrtničke djelatnosti</w:t>
      </w:r>
      <w:r w:rsidRPr="00F71469">
        <w:rPr>
          <w:b/>
          <w:bCs/>
        </w:rPr>
        <w:t xml:space="preserve"> </w:t>
      </w:r>
      <w:bookmarkEnd w:id="75"/>
      <w:r w:rsidRPr="00F71469">
        <w:rPr>
          <w:rFonts w:ascii="Calibri" w:hAnsi="Calibri"/>
          <w:sz w:val="22"/>
          <w:szCs w:val="22"/>
        </w:rPr>
        <w:t xml:space="preserve">- </w:t>
      </w:r>
      <w:bookmarkStart w:id="76" w:name="_Hlk69468188"/>
      <w:r w:rsidRPr="00F71469">
        <w:rPr>
          <w:rFonts w:ascii="Calibri" w:hAnsi="Calibri"/>
          <w:sz w:val="22"/>
          <w:szCs w:val="22"/>
        </w:rPr>
        <w:t>Kako bi se sačuvala tradicija obrtništva ali i pomoglo obrtnicima da se prilagode novim trendovima i tržišnim izazovima, Grad Zagreb provodi niz mjera i aktivnosti, a jedna od najznačajnijih odnosi se na dodjelu potpora obrtnicima koji obavljaju tradicijske, deficitarne i proizvodne djelatnosti te zapošljavaju osobe s invaliditetom. Potpore se dodjeljuju u iznosu od 10.000,00 kuna do 30.000,00 kuna. Sukladno natječaju u 2017. je  isplaćena 941 potpora u iznosu od 12.757.000,00 kuna, a u 2018. isplaćeno je 984 potpora u iznosu od 15.949.000,00 kuna.</w:t>
      </w:r>
    </w:p>
    <w:p w14:paraId="20B92F3B" w14:textId="77777777" w:rsidR="00E87AC6" w:rsidRDefault="00E87AC6" w:rsidP="00E87AC6">
      <w:pPr>
        <w:spacing w:line="240" w:lineRule="auto"/>
        <w:jc w:val="both"/>
      </w:pPr>
      <w:bookmarkStart w:id="77" w:name="_Hlk69298587"/>
      <w:bookmarkEnd w:id="76"/>
      <w:r>
        <w:rPr>
          <w:rFonts w:cs="Calibri"/>
          <w:b/>
          <w:i/>
          <w:iCs/>
        </w:rPr>
        <w:t>Dodjela potpora za razvoj društvenog poduzetništva</w:t>
      </w:r>
      <w:r>
        <w:t xml:space="preserve"> </w:t>
      </w:r>
      <w:bookmarkEnd w:id="77"/>
      <w:r>
        <w:t xml:space="preserve">- </w:t>
      </w:r>
      <w:bookmarkStart w:id="78" w:name="_Hlk69468327"/>
      <w:r>
        <w:t xml:space="preserve">kroz dodjelu potpora društvenim poduzetnicima omogućuje se promicanje i razvoj društvenih poduzetničkih inicijativa u cilju uključivanja u poduzetništvo i tržište rada marginaliziranih, socijalno osjetljivih skupina kao što su osobe s invaliditetom, osobe s umanjenom radnom sposobnošću, žrtve nasilja u obitelji, roditelji ili skrbnici djece s teškoćama u razvoju, pripadnici nacionalnih manjina i dr. </w:t>
      </w:r>
      <w:r w:rsidRPr="00F71469">
        <w:t>Najviši iznos potpore po pojedinom projektu može iznositi 350.000,00 kuna, a najniži 50.000,00 kuna godišnje</w:t>
      </w:r>
      <w:r>
        <w:t xml:space="preserve">. </w:t>
      </w:r>
      <w:r w:rsidRPr="00F71469">
        <w:t>U 2018. nije raspisivan natječaj za dodjelu potpora za društveno poduzetništvo</w:t>
      </w:r>
      <w:r>
        <w:t>,</w:t>
      </w:r>
      <w:r w:rsidRPr="00F71469">
        <w:t xml:space="preserve"> a u 2019. </w:t>
      </w:r>
      <w:r>
        <w:t xml:space="preserve">potpore u ukupnom iznosu od 1.135.010,04 kuna odobrene su za 4 projekta. Do sada je za poticanje društvenih poduzetničkih inicijativa dodijeljeno 5.763.829,62 kuna za 20 projekata. </w:t>
      </w:r>
      <w:bookmarkEnd w:id="78"/>
    </w:p>
    <w:p w14:paraId="7B55B369" w14:textId="77777777" w:rsidR="00E87AC6" w:rsidRDefault="00E87AC6" w:rsidP="00E87AC6">
      <w:pPr>
        <w:spacing w:line="240" w:lineRule="auto"/>
        <w:jc w:val="both"/>
      </w:pPr>
      <w:bookmarkStart w:id="79" w:name="_Hlk69298624"/>
      <w:r w:rsidRPr="00123EA0">
        <w:rPr>
          <w:rFonts w:cs="Calibri"/>
          <w:b/>
          <w:i/>
          <w:iCs/>
        </w:rPr>
        <w:t>Dodjela potpora inovatorima</w:t>
      </w:r>
      <w:r w:rsidRPr="00123EA0">
        <w:rPr>
          <w:rFonts w:cs="Calibri"/>
          <w:b/>
        </w:rPr>
        <w:t xml:space="preserve"> </w:t>
      </w:r>
      <w:bookmarkEnd w:id="79"/>
      <w:r>
        <w:t xml:space="preserve">- </w:t>
      </w:r>
      <w:bookmarkStart w:id="80" w:name="_Hlk69468457"/>
      <w:r>
        <w:t>potpore se odobravaju za stjecanje zaštite industrijskog vlasništva u zemlji i inozemstvu, razvoj i tehničko-tehnološku obradu inovacija, sufinanciranje promidžbenih aktivnosti i sufinanciranje analize tržišta. U 2018. isplaćeno je 488.785,00 kuna za 29 potpora a u 2019. isplaćeno je 500.000,00 kuna za 29 potpora.  Također,  cilju predstavljanja inovacija poslovnoj javnosti Grad Zagreb sufinancira troškove nastupa zagrebačkih inovatora na domaćim i međunarodnim izložbama i sajmovima inovacija u organizaciji Saveza inovatora Zagreba . Zagrebački inovatori su na tim izložbama i sajmovima inovacija osvojili mnogobrojne medalje, priznanja i posebne nagrade, a time su ostvarili i veću mogućnost komercijalizacije svojih inovacija. Za sufinanciranje troškova nastupa zagrebačkih inovatora na međunarodnim i domaćim izložbama i sajmovima u 2018. i 2019. isplaćeno je po 350.000,00 kuna a u 2020. isplaćeno je 70.000,00 kuna.</w:t>
      </w:r>
    </w:p>
    <w:p w14:paraId="21D0C034" w14:textId="77777777" w:rsidR="00E87AC6" w:rsidRDefault="00E87AC6" w:rsidP="00E87AC6">
      <w:pPr>
        <w:spacing w:line="240" w:lineRule="auto"/>
        <w:jc w:val="both"/>
      </w:pPr>
      <w:bookmarkStart w:id="81" w:name="_Hlk69466052"/>
      <w:bookmarkEnd w:id="80"/>
      <w:r>
        <w:rPr>
          <w:rFonts w:cs="Calibri"/>
          <w:b/>
          <w:i/>
          <w:iCs/>
        </w:rPr>
        <w:t xml:space="preserve">Dodjela potpora nezaposlenim osobama sa svrhom samozapošljavanja pokretanjem vlastitog posla -  </w:t>
      </w:r>
      <w:r>
        <w:rPr>
          <w:rFonts w:cs="Calibri"/>
          <w:bCs/>
        </w:rPr>
        <w:t xml:space="preserve">U 2015. i 2016. godini </w:t>
      </w:r>
      <w:r>
        <w:t xml:space="preserve">Grad Zagreb je kao partner u Lokalnom partnerstvu za zapošljavanje zajedno sa Hrvatskim zavodom za zapošljavanje, Područnim uredom Zagreb i Zagrebačkim inovacijskim centrom provodio mjeru „Tvoja inicijativa – tvoje radno mjesto“.  Nezaposlenim osobama koje su podnijele zahtjeve za samozapošljavanje Hrvatskom zavodu za zapošljavanje i dostavile prihvatljive poslovne planove omogućena je dodjela potpora u iznosu do 25.000,00 kuna za pokretanje vlastitog posla. Od 2017. godine Grad samostalno provodi </w:t>
      </w:r>
      <w:r w:rsidRPr="00A5003B">
        <w:t xml:space="preserve">dodjele potpora za samozapošljavanje pokretanjem vlastitog posla i to za Osnivanje obrta koji plaćaju porez na dohodak u paušalnom iznosu (projekt „RADI ČISTO-BUDI ZAPOSLEN“) i  Samozapošljavanje za proizvodne djelatnosti. U 2019. odobreno je 7 potpora u ukupnom iznosu od  523.963,06 kune a namijenjene su za nabavu opreme, troškove doprinosa te ostale troškove. </w:t>
      </w:r>
      <w:r>
        <w:t>Od 2014. od kada se provodi projekt samozapošljavanja do prosinca 2019. sveukupno su dodijeljene potpore u iznosu od 17.839.888,90 kuna za 643 novih tvrtki.</w:t>
      </w:r>
      <w:r>
        <w:rPr>
          <w:rStyle w:val="Referencafusnote"/>
        </w:rPr>
        <w:footnoteReference w:id="34"/>
      </w:r>
    </w:p>
    <w:p w14:paraId="606A4482" w14:textId="77777777" w:rsidR="00E87AC6" w:rsidRDefault="00E87AC6" w:rsidP="00E87AC6">
      <w:pPr>
        <w:jc w:val="both"/>
        <w:rPr>
          <w:rFonts w:eastAsia="Times New Roman" w:cstheme="minorHAnsi"/>
        </w:rPr>
      </w:pPr>
      <w:bookmarkStart w:id="82" w:name="_Hlk69466162"/>
      <w:bookmarkEnd w:id="81"/>
      <w:r w:rsidRPr="004D78F3">
        <w:rPr>
          <w:rFonts w:cstheme="minorHAnsi"/>
        </w:rPr>
        <w:t>Za poticanje razvoja obrta, malog i srednjeg poduzetništva</w:t>
      </w:r>
      <w:r>
        <w:rPr>
          <w:rFonts w:cstheme="minorHAnsi"/>
        </w:rPr>
        <w:t xml:space="preserve">, uključivši </w:t>
      </w:r>
      <w:r w:rsidRPr="00AA49F1">
        <w:rPr>
          <w:rFonts w:cstheme="minorHAnsi"/>
        </w:rPr>
        <w:t>sva „davanja“ vezana za poduzetnike</w:t>
      </w:r>
      <w:r>
        <w:rPr>
          <w:rFonts w:cstheme="minorHAnsi"/>
        </w:rPr>
        <w:t xml:space="preserve"> - </w:t>
      </w:r>
      <w:r w:rsidRPr="00AA49F1">
        <w:rPr>
          <w:rFonts w:cstheme="minorHAnsi"/>
        </w:rPr>
        <w:t>udruge, manifestacije, subvencija kamate, Zagrebački inovacijski centar</w:t>
      </w:r>
      <w:r>
        <w:rPr>
          <w:rFonts w:cstheme="minorHAnsi"/>
        </w:rPr>
        <w:t>;</w:t>
      </w:r>
      <w:r w:rsidRPr="00AA49F1">
        <w:rPr>
          <w:rFonts w:cstheme="minorHAnsi"/>
        </w:rPr>
        <w:t xml:space="preserve"> </w:t>
      </w:r>
      <w:r w:rsidRPr="004D78F3">
        <w:rPr>
          <w:rFonts w:cstheme="minorHAnsi"/>
        </w:rPr>
        <w:t xml:space="preserve"> od 2000. do danas je utrošeno više od 550 milijuna kuna, od čega je  u razdoblju od 2017. do 2020. utrošeno više od  170 milijuna kuna</w:t>
      </w:r>
      <w:r>
        <w:rPr>
          <w:rFonts w:cstheme="minorHAnsi"/>
        </w:rPr>
        <w:t xml:space="preserve">. U </w:t>
      </w:r>
      <w:r w:rsidRPr="004D78F3">
        <w:rPr>
          <w:rFonts w:eastAsia="Times New Roman" w:cstheme="minorHAnsi"/>
        </w:rPr>
        <w:t xml:space="preserve">2020. s obzirom na cjelokupnu situaciju </w:t>
      </w:r>
      <w:r>
        <w:rPr>
          <w:rFonts w:eastAsia="Times New Roman" w:cstheme="minorHAnsi"/>
        </w:rPr>
        <w:t xml:space="preserve">oko epidemije i potresa nisu raspisivani </w:t>
      </w:r>
      <w:r w:rsidRPr="004D78F3">
        <w:rPr>
          <w:rFonts w:eastAsia="Times New Roman" w:cstheme="minorHAnsi"/>
        </w:rPr>
        <w:t>natječaj</w:t>
      </w:r>
      <w:r>
        <w:rPr>
          <w:rFonts w:eastAsia="Times New Roman" w:cstheme="minorHAnsi"/>
        </w:rPr>
        <w:t>i</w:t>
      </w:r>
      <w:r w:rsidRPr="004D78F3">
        <w:rPr>
          <w:rFonts w:eastAsia="Times New Roman" w:cstheme="minorHAnsi"/>
        </w:rPr>
        <w:t xml:space="preserve"> za dodjelu potpora poduzetnicima već su samo isplaćivane subvencije kamata na temelju ranije odobrenih kredita</w:t>
      </w:r>
      <w:r>
        <w:rPr>
          <w:rFonts w:eastAsia="Times New Roman" w:cstheme="minorHAnsi"/>
        </w:rPr>
        <w:t>. S</w:t>
      </w:r>
      <w:r w:rsidRPr="004D78F3">
        <w:rPr>
          <w:rFonts w:eastAsia="Times New Roman" w:cstheme="minorHAnsi"/>
        </w:rPr>
        <w:t xml:space="preserve"> osnove subvencije dijela kamate poduzetnicima i obrtnicima, poslovnim bankama doznačeno je ukupno 2.849.676,78 kn, od čega od Grada 1.424.838,27 kn, a </w:t>
      </w:r>
      <w:r>
        <w:rPr>
          <w:rFonts w:eastAsia="Times New Roman" w:cstheme="minorHAnsi"/>
        </w:rPr>
        <w:t xml:space="preserve">ostatak </w:t>
      </w:r>
      <w:r w:rsidRPr="004D78F3">
        <w:rPr>
          <w:rFonts w:eastAsia="Times New Roman" w:cstheme="minorHAnsi"/>
        </w:rPr>
        <w:t>od Ministarstava gospodarstva.</w:t>
      </w:r>
    </w:p>
    <w:tbl>
      <w:tblPr>
        <w:tblW w:w="0" w:type="auto"/>
        <w:tblLook w:val="01E0" w:firstRow="1" w:lastRow="1" w:firstColumn="1" w:lastColumn="1" w:noHBand="0" w:noVBand="0"/>
      </w:tblPr>
      <w:tblGrid>
        <w:gridCol w:w="4532"/>
        <w:gridCol w:w="4540"/>
      </w:tblGrid>
      <w:tr w:rsidR="00E87AC6" w:rsidRPr="007D4130" w14:paraId="479B451D" w14:textId="77777777" w:rsidTr="004838D7">
        <w:tc>
          <w:tcPr>
            <w:tcW w:w="4532" w:type="dxa"/>
            <w:shd w:val="clear" w:color="auto" w:fill="CCCCCC"/>
          </w:tcPr>
          <w:p w14:paraId="67D32337" w14:textId="77777777" w:rsidR="00E87AC6" w:rsidRPr="007D4130" w:rsidRDefault="00E87AC6" w:rsidP="004838D7">
            <w:pPr>
              <w:spacing w:before="60" w:after="60" w:line="240" w:lineRule="auto"/>
              <w:jc w:val="both"/>
              <w:rPr>
                <w:rFonts w:ascii="Calibri" w:eastAsia="Times New Roman" w:hAnsi="Calibri" w:cs="Calibri"/>
                <w:b/>
                <w:sz w:val="18"/>
                <w:szCs w:val="18"/>
                <w:lang w:eastAsia="hr-HR"/>
              </w:rPr>
            </w:pPr>
            <w:r w:rsidRPr="007D4130">
              <w:rPr>
                <w:rFonts w:ascii="Calibri" w:eastAsia="Times New Roman" w:hAnsi="Calibri" w:cs="Calibri"/>
                <w:b/>
                <w:sz w:val="18"/>
                <w:szCs w:val="18"/>
                <w:lang w:eastAsia="hr-HR"/>
              </w:rPr>
              <w:t xml:space="preserve">RAZVOJNI PROBLEMI </w:t>
            </w:r>
          </w:p>
          <w:p w14:paraId="29FAD5B7" w14:textId="0C428CF0" w:rsidR="00E87AC6" w:rsidRPr="00D23306" w:rsidRDefault="008A6494" w:rsidP="00E87AC6">
            <w:pPr>
              <w:numPr>
                <w:ilvl w:val="0"/>
                <w:numId w:val="43"/>
              </w:numPr>
              <w:contextualSpacing/>
              <w:rPr>
                <w:rFonts w:ascii="Calibri" w:eastAsia="Times New Roman" w:hAnsi="Calibri" w:cs="Calibri"/>
                <w:bCs/>
                <w:sz w:val="18"/>
                <w:szCs w:val="18"/>
                <w:lang w:eastAsia="hr-HR"/>
              </w:rPr>
            </w:pPr>
            <w:r>
              <w:rPr>
                <w:rFonts w:ascii="Calibri" w:eastAsia="Times New Roman" w:hAnsi="Calibri" w:cs="Calibri"/>
                <w:bCs/>
                <w:sz w:val="18"/>
                <w:szCs w:val="18"/>
                <w:lang w:eastAsia="hr-HR"/>
              </w:rPr>
              <w:t>g</w:t>
            </w:r>
            <w:r w:rsidR="00E87AC6" w:rsidRPr="00D23306">
              <w:rPr>
                <w:rFonts w:ascii="Calibri" w:eastAsia="Times New Roman" w:hAnsi="Calibri" w:cs="Calibri"/>
                <w:bCs/>
                <w:sz w:val="18"/>
                <w:szCs w:val="18"/>
                <w:lang w:eastAsia="hr-HR"/>
              </w:rPr>
              <w:t>rad s dostignutim BDP‐om po stanovniku zaostaje za</w:t>
            </w:r>
            <w:r w:rsidR="00E87AC6">
              <w:rPr>
                <w:rFonts w:ascii="Calibri" w:eastAsia="Times New Roman" w:hAnsi="Calibri" w:cs="Calibri"/>
                <w:bCs/>
                <w:sz w:val="18"/>
                <w:szCs w:val="18"/>
                <w:lang w:eastAsia="hr-HR"/>
              </w:rPr>
              <w:t xml:space="preserve"> </w:t>
            </w:r>
            <w:r w:rsidR="00E87AC6" w:rsidRPr="00D23306">
              <w:rPr>
                <w:rFonts w:ascii="Calibri" w:eastAsia="Times New Roman" w:hAnsi="Calibri" w:cs="Calibri"/>
                <w:bCs/>
                <w:sz w:val="18"/>
                <w:szCs w:val="18"/>
                <w:lang w:eastAsia="hr-HR"/>
              </w:rPr>
              <w:t>razinom rasta sličnih gradova u EU</w:t>
            </w:r>
          </w:p>
          <w:p w14:paraId="16E59411"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 xml:space="preserve">pad gospodarskih aktivnosti uzrokovanih epidemijom COVID-19, posebice </w:t>
            </w:r>
          </w:p>
          <w:p w14:paraId="006E07B4"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negativan utjecaj epidemije COVID-19 na uslužne djelatnosti te kreativne i kulturne industrije</w:t>
            </w:r>
          </w:p>
          <w:p w14:paraId="182A285C"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negativan utjecaj gradskih fiskalnih i parafiskalnih davanja na troškove poslovanja poduzetnika</w:t>
            </w:r>
          </w:p>
          <w:p w14:paraId="245B0C18" w14:textId="77777777" w:rsidR="00E87AC6"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nedostatna ulaganja u istraživanje i razvoj, nove i zelene tehnologije, inovacije i eko inovacije</w:t>
            </w:r>
          </w:p>
          <w:p w14:paraId="53EBBC50"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51140F">
              <w:rPr>
                <w:rFonts w:ascii="Calibri" w:eastAsia="Times New Roman" w:hAnsi="Calibri" w:cs="Calibri"/>
                <w:bCs/>
                <w:sz w:val="18"/>
                <w:szCs w:val="18"/>
                <w:lang w:eastAsia="hr-HR"/>
              </w:rPr>
              <w:t xml:space="preserve">nedostatna svijest poduzetnika o važnosti zelenog održivog gospodarstva </w:t>
            </w:r>
            <w:r>
              <w:rPr>
                <w:rFonts w:ascii="Calibri" w:eastAsia="Times New Roman" w:hAnsi="Calibri" w:cs="Calibri"/>
                <w:bCs/>
                <w:sz w:val="18"/>
                <w:szCs w:val="18"/>
                <w:lang w:eastAsia="hr-HR"/>
              </w:rPr>
              <w:t xml:space="preserve">i </w:t>
            </w:r>
            <w:r w:rsidRPr="007D4130">
              <w:rPr>
                <w:rFonts w:ascii="Calibri" w:eastAsia="Times New Roman" w:hAnsi="Calibri" w:cs="Calibri"/>
                <w:bCs/>
                <w:sz w:val="18"/>
                <w:szCs w:val="18"/>
                <w:lang w:eastAsia="hr-HR"/>
              </w:rPr>
              <w:t>učinkovitije</w:t>
            </w:r>
            <w:r w:rsidRPr="0051140F">
              <w:rPr>
                <w:rFonts w:ascii="Calibri" w:eastAsia="Times New Roman" w:hAnsi="Calibri" w:cs="Calibri"/>
                <w:bCs/>
                <w:sz w:val="18"/>
                <w:szCs w:val="18"/>
                <w:lang w:eastAsia="hr-HR"/>
              </w:rPr>
              <w:t>g</w:t>
            </w:r>
            <w:r w:rsidRPr="007D4130">
              <w:rPr>
                <w:rFonts w:ascii="Calibri" w:eastAsia="Times New Roman" w:hAnsi="Calibri" w:cs="Calibri"/>
                <w:bCs/>
                <w:sz w:val="18"/>
                <w:szCs w:val="18"/>
                <w:lang w:eastAsia="hr-HR"/>
              </w:rPr>
              <w:t xml:space="preserve"> korištenj</w:t>
            </w:r>
            <w:r w:rsidRPr="0051140F">
              <w:rPr>
                <w:rFonts w:ascii="Calibri" w:eastAsia="Times New Roman" w:hAnsi="Calibri" w:cs="Calibri"/>
                <w:bCs/>
                <w:sz w:val="18"/>
                <w:szCs w:val="18"/>
                <w:lang w:eastAsia="hr-HR"/>
              </w:rPr>
              <w:t>a</w:t>
            </w:r>
            <w:r w:rsidRPr="007D4130">
              <w:rPr>
                <w:rFonts w:ascii="Calibri" w:eastAsia="Times New Roman" w:hAnsi="Calibri" w:cs="Calibri"/>
                <w:bCs/>
                <w:sz w:val="18"/>
                <w:szCs w:val="18"/>
                <w:lang w:eastAsia="hr-HR"/>
              </w:rPr>
              <w:t xml:space="preserve"> resursa</w:t>
            </w:r>
          </w:p>
          <w:p w14:paraId="15A4251D"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 xml:space="preserve">nedovoljna suradnja poduzetnika, posebice malih i srednjih, sa sveučilištima i znanstveno-istraživačkim institucijama </w:t>
            </w:r>
          </w:p>
          <w:p w14:paraId="553095D0"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nedovoljna razina digitalnih poduzetničkih kompetencija</w:t>
            </w:r>
          </w:p>
          <w:p w14:paraId="43F022F4"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nedostatan nivo digitalizacije javnih servisa za poduzetnike</w:t>
            </w:r>
          </w:p>
          <w:p w14:paraId="6E79D509"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nerazvijeni alternativni izvori financiranja, posebice za poduzetnike početnike</w:t>
            </w:r>
          </w:p>
          <w:p w14:paraId="52EEB7C6"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nedostatna ulaganja u visokokvalitetnu poduzetničku infrastrukturu (centri kompetencija, digitalno-inovacijski centri, centri za transfer tehnologije)</w:t>
            </w:r>
          </w:p>
          <w:p w14:paraId="2B0D0A5C"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nezainteresiranost mladih za obrtnička zanimanja</w:t>
            </w:r>
          </w:p>
          <w:p w14:paraId="2E5346B0"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manjak motiviranosti i samopouzdanja te nedostatak financijskih resursa za pokretanje vlastitog posla, posebice kod mladih</w:t>
            </w:r>
          </w:p>
          <w:p w14:paraId="4BCB8A8E"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 xml:space="preserve">nedovoljno razvijena svijest poduzetnika o važnosti cjeloživotnog učenja </w:t>
            </w:r>
          </w:p>
          <w:p w14:paraId="5A8F4167" w14:textId="77777777" w:rsidR="00E87AC6" w:rsidRPr="007D4130" w:rsidRDefault="00E87AC6" w:rsidP="00E87AC6">
            <w:pPr>
              <w:numPr>
                <w:ilvl w:val="0"/>
                <w:numId w:val="43"/>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nedostatna dodjela potpora za razvoj društvenog poduzetništva i inovacije</w:t>
            </w:r>
          </w:p>
          <w:p w14:paraId="44CCE1C3" w14:textId="77777777" w:rsidR="00E87AC6" w:rsidRPr="007D4130" w:rsidRDefault="00E87AC6" w:rsidP="004838D7">
            <w:pPr>
              <w:rPr>
                <w:lang w:eastAsia="hr-HR"/>
              </w:rPr>
            </w:pPr>
          </w:p>
        </w:tc>
        <w:tc>
          <w:tcPr>
            <w:tcW w:w="4540" w:type="dxa"/>
            <w:shd w:val="clear" w:color="auto" w:fill="99CCFF"/>
          </w:tcPr>
          <w:p w14:paraId="02FDCB69" w14:textId="77777777" w:rsidR="00E87AC6" w:rsidRPr="007D4130" w:rsidRDefault="00E87AC6" w:rsidP="004838D7">
            <w:pPr>
              <w:spacing w:before="60" w:after="60" w:line="240" w:lineRule="auto"/>
              <w:jc w:val="both"/>
              <w:rPr>
                <w:rFonts w:ascii="Calibri" w:eastAsia="Times New Roman" w:hAnsi="Calibri" w:cs="Calibri"/>
                <w:b/>
                <w:sz w:val="18"/>
                <w:szCs w:val="18"/>
                <w:lang w:eastAsia="hr-HR"/>
              </w:rPr>
            </w:pPr>
            <w:r w:rsidRPr="007D4130">
              <w:rPr>
                <w:rFonts w:ascii="Calibri" w:eastAsia="Times New Roman" w:hAnsi="Calibri" w:cs="Calibri"/>
                <w:b/>
                <w:sz w:val="18"/>
                <w:szCs w:val="18"/>
                <w:lang w:eastAsia="hr-HR"/>
              </w:rPr>
              <w:t xml:space="preserve"> RAZVOJNE POTREBE</w:t>
            </w:r>
          </w:p>
          <w:p w14:paraId="5D713F41" w14:textId="77777777" w:rsidR="00E87AC6" w:rsidRPr="00921FAC" w:rsidRDefault="00E87AC6" w:rsidP="00E87AC6">
            <w:pPr>
              <w:numPr>
                <w:ilvl w:val="0"/>
                <w:numId w:val="42"/>
              </w:numPr>
              <w:contextualSpacing/>
              <w:rPr>
                <w:rFonts w:ascii="Calibri" w:eastAsia="Times New Roman" w:hAnsi="Calibri" w:cs="Calibri"/>
                <w:bCs/>
                <w:sz w:val="18"/>
                <w:szCs w:val="18"/>
                <w:lang w:eastAsia="hr-HR"/>
              </w:rPr>
            </w:pPr>
            <w:r w:rsidRPr="00921FAC">
              <w:rPr>
                <w:rFonts w:ascii="Calibri" w:eastAsia="Times New Roman" w:hAnsi="Calibri" w:cs="Calibri"/>
                <w:bCs/>
                <w:sz w:val="18"/>
                <w:szCs w:val="18"/>
                <w:lang w:eastAsia="hr-HR"/>
              </w:rPr>
              <w:t>vrednovati i sustavno koristiti zagrebačke konkurentske</w:t>
            </w:r>
            <w:r>
              <w:rPr>
                <w:rFonts w:ascii="Calibri" w:eastAsia="Times New Roman" w:hAnsi="Calibri" w:cs="Calibri"/>
                <w:bCs/>
                <w:sz w:val="18"/>
                <w:szCs w:val="18"/>
                <w:lang w:eastAsia="hr-HR"/>
              </w:rPr>
              <w:t xml:space="preserve"> </w:t>
            </w:r>
            <w:r w:rsidRPr="00921FAC">
              <w:rPr>
                <w:rFonts w:ascii="Calibri" w:eastAsia="Times New Roman" w:hAnsi="Calibri" w:cs="Calibri"/>
                <w:bCs/>
                <w:sz w:val="18"/>
                <w:szCs w:val="18"/>
                <w:lang w:eastAsia="hr-HR"/>
              </w:rPr>
              <w:t>prednosti za ubrzaniji razvoj, osobito njegove djelatnosti</w:t>
            </w:r>
            <w:r>
              <w:rPr>
                <w:rFonts w:ascii="Calibri" w:eastAsia="Times New Roman" w:hAnsi="Calibri" w:cs="Calibri"/>
                <w:bCs/>
                <w:sz w:val="18"/>
                <w:szCs w:val="18"/>
                <w:lang w:eastAsia="hr-HR"/>
              </w:rPr>
              <w:t xml:space="preserve"> </w:t>
            </w:r>
            <w:r w:rsidRPr="00921FAC">
              <w:rPr>
                <w:rFonts w:ascii="Calibri" w:eastAsia="Times New Roman" w:hAnsi="Calibri" w:cs="Calibri"/>
                <w:bCs/>
                <w:sz w:val="18"/>
                <w:szCs w:val="18"/>
                <w:lang w:eastAsia="hr-HR"/>
              </w:rPr>
              <w:t>temeljenih na znanju, tehnologiji i inovacijama</w:t>
            </w:r>
          </w:p>
          <w:p w14:paraId="5C947EB9" w14:textId="58A228D2" w:rsidR="00E87AC6" w:rsidRPr="007D4130" w:rsidRDefault="00E87AC6" w:rsidP="00E87AC6">
            <w:pPr>
              <w:numPr>
                <w:ilvl w:val="0"/>
                <w:numId w:val="42"/>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potica</w:t>
            </w:r>
            <w:r w:rsidR="008A6494">
              <w:rPr>
                <w:rFonts w:ascii="Calibri" w:eastAsia="Times New Roman" w:hAnsi="Calibri" w:cs="Calibri"/>
                <w:bCs/>
                <w:sz w:val="18"/>
                <w:szCs w:val="18"/>
                <w:lang w:eastAsia="hr-HR"/>
              </w:rPr>
              <w:t>ti</w:t>
            </w:r>
            <w:r w:rsidRPr="007D4130">
              <w:rPr>
                <w:rFonts w:ascii="Calibri" w:eastAsia="Times New Roman" w:hAnsi="Calibri" w:cs="Calibri"/>
                <w:bCs/>
                <w:sz w:val="18"/>
                <w:szCs w:val="18"/>
                <w:lang w:eastAsia="hr-HR"/>
              </w:rPr>
              <w:t xml:space="preserve"> uspješnije prilagodbe novonastalim okolnostima (epidemija COVID-19) kako bi se sačuvala gospodarska aktivnost</w:t>
            </w:r>
          </w:p>
          <w:p w14:paraId="47CE7572" w14:textId="59E66276" w:rsidR="00E87AC6" w:rsidRPr="007D4130" w:rsidRDefault="00E87AC6" w:rsidP="00E87AC6">
            <w:pPr>
              <w:numPr>
                <w:ilvl w:val="0"/>
                <w:numId w:val="42"/>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p</w:t>
            </w:r>
            <w:r w:rsidR="008A6494">
              <w:rPr>
                <w:rFonts w:ascii="Calibri" w:eastAsia="Times New Roman" w:hAnsi="Calibri" w:cs="Calibri"/>
                <w:bCs/>
                <w:sz w:val="18"/>
                <w:szCs w:val="18"/>
                <w:lang w:eastAsia="hr-HR"/>
              </w:rPr>
              <w:t>održati</w:t>
            </w:r>
            <w:r w:rsidRPr="007D4130">
              <w:rPr>
                <w:rFonts w:ascii="Calibri" w:eastAsia="Times New Roman" w:hAnsi="Calibri" w:cs="Calibri"/>
                <w:bCs/>
                <w:sz w:val="18"/>
                <w:szCs w:val="18"/>
                <w:lang w:eastAsia="hr-HR"/>
              </w:rPr>
              <w:t xml:space="preserve"> djelovanj</w:t>
            </w:r>
            <w:r w:rsidR="008A6494">
              <w:rPr>
                <w:rFonts w:ascii="Calibri" w:eastAsia="Times New Roman" w:hAnsi="Calibri" w:cs="Calibri"/>
                <w:bCs/>
                <w:sz w:val="18"/>
                <w:szCs w:val="18"/>
                <w:lang w:eastAsia="hr-HR"/>
              </w:rPr>
              <w:t>e</w:t>
            </w:r>
            <w:r w:rsidRPr="007D4130">
              <w:rPr>
                <w:rFonts w:ascii="Calibri" w:eastAsia="Times New Roman" w:hAnsi="Calibri" w:cs="Calibri"/>
                <w:bCs/>
                <w:sz w:val="18"/>
                <w:szCs w:val="18"/>
                <w:lang w:eastAsia="hr-HR"/>
              </w:rPr>
              <w:t xml:space="preserve"> i promocij</w:t>
            </w:r>
            <w:r w:rsidR="008A6494">
              <w:rPr>
                <w:rFonts w:ascii="Calibri" w:eastAsia="Times New Roman" w:hAnsi="Calibri" w:cs="Calibri"/>
                <w:bCs/>
                <w:sz w:val="18"/>
                <w:szCs w:val="18"/>
                <w:lang w:eastAsia="hr-HR"/>
              </w:rPr>
              <w:t>u</w:t>
            </w:r>
            <w:r w:rsidRPr="007D4130">
              <w:rPr>
                <w:rFonts w:ascii="Calibri" w:eastAsia="Times New Roman" w:hAnsi="Calibri" w:cs="Calibri"/>
                <w:bCs/>
                <w:sz w:val="18"/>
                <w:szCs w:val="18"/>
                <w:lang w:eastAsia="hr-HR"/>
              </w:rPr>
              <w:t xml:space="preserve"> kreativnih i kulturnih industrija</w:t>
            </w:r>
          </w:p>
          <w:p w14:paraId="567C6204" w14:textId="62F2FD87" w:rsidR="00E87AC6" w:rsidRPr="007D4130" w:rsidRDefault="00E87AC6" w:rsidP="00E87AC6">
            <w:pPr>
              <w:numPr>
                <w:ilvl w:val="0"/>
                <w:numId w:val="42"/>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smanjiva</w:t>
            </w:r>
            <w:r w:rsidR="008A6494">
              <w:rPr>
                <w:rFonts w:ascii="Calibri" w:eastAsia="Times New Roman" w:hAnsi="Calibri" w:cs="Calibri"/>
                <w:bCs/>
                <w:sz w:val="18"/>
                <w:szCs w:val="18"/>
                <w:lang w:eastAsia="hr-HR"/>
              </w:rPr>
              <w:t>ti</w:t>
            </w:r>
            <w:r w:rsidRPr="007D4130">
              <w:rPr>
                <w:rFonts w:ascii="Calibri" w:eastAsia="Times New Roman" w:hAnsi="Calibri" w:cs="Calibri"/>
                <w:bCs/>
                <w:sz w:val="18"/>
                <w:szCs w:val="18"/>
                <w:lang w:eastAsia="hr-HR"/>
              </w:rPr>
              <w:t xml:space="preserve"> gradsk</w:t>
            </w:r>
            <w:r w:rsidR="008A6494">
              <w:rPr>
                <w:rFonts w:ascii="Calibri" w:eastAsia="Times New Roman" w:hAnsi="Calibri" w:cs="Calibri"/>
                <w:bCs/>
                <w:sz w:val="18"/>
                <w:szCs w:val="18"/>
                <w:lang w:eastAsia="hr-HR"/>
              </w:rPr>
              <w:t>a</w:t>
            </w:r>
            <w:r w:rsidRPr="007D4130">
              <w:rPr>
                <w:rFonts w:ascii="Calibri" w:eastAsia="Times New Roman" w:hAnsi="Calibri" w:cs="Calibri"/>
                <w:bCs/>
                <w:sz w:val="18"/>
                <w:szCs w:val="18"/>
                <w:lang w:eastAsia="hr-HR"/>
              </w:rPr>
              <w:t xml:space="preserve"> fiskaln</w:t>
            </w:r>
            <w:r w:rsidR="008A6494">
              <w:rPr>
                <w:rFonts w:ascii="Calibri" w:eastAsia="Times New Roman" w:hAnsi="Calibri" w:cs="Calibri"/>
                <w:bCs/>
                <w:sz w:val="18"/>
                <w:szCs w:val="18"/>
                <w:lang w:eastAsia="hr-HR"/>
              </w:rPr>
              <w:t>a</w:t>
            </w:r>
            <w:r w:rsidRPr="007D4130">
              <w:rPr>
                <w:rFonts w:ascii="Calibri" w:eastAsia="Times New Roman" w:hAnsi="Calibri" w:cs="Calibri"/>
                <w:bCs/>
                <w:sz w:val="18"/>
                <w:szCs w:val="18"/>
                <w:lang w:eastAsia="hr-HR"/>
              </w:rPr>
              <w:t xml:space="preserve"> i parafiskaln</w:t>
            </w:r>
            <w:r w:rsidR="008A6494">
              <w:rPr>
                <w:rFonts w:ascii="Calibri" w:eastAsia="Times New Roman" w:hAnsi="Calibri" w:cs="Calibri"/>
                <w:bCs/>
                <w:sz w:val="18"/>
                <w:szCs w:val="18"/>
                <w:lang w:eastAsia="hr-HR"/>
              </w:rPr>
              <w:t>a</w:t>
            </w:r>
            <w:r w:rsidRPr="007D4130">
              <w:rPr>
                <w:rFonts w:ascii="Calibri" w:eastAsia="Times New Roman" w:hAnsi="Calibri" w:cs="Calibri"/>
                <w:bCs/>
                <w:sz w:val="18"/>
                <w:szCs w:val="18"/>
                <w:lang w:eastAsia="hr-HR"/>
              </w:rPr>
              <w:t xml:space="preserve"> davanja na troškove poslovanja poduzetnika i</w:t>
            </w:r>
          </w:p>
          <w:p w14:paraId="7CC917DB" w14:textId="200F56D0" w:rsidR="00E87AC6" w:rsidRPr="007D4130" w:rsidRDefault="00E87AC6" w:rsidP="004838D7">
            <w:pPr>
              <w:ind w:left="720"/>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potic</w:t>
            </w:r>
            <w:r w:rsidR="008A6494">
              <w:rPr>
                <w:rFonts w:ascii="Calibri" w:eastAsia="Times New Roman" w:hAnsi="Calibri" w:cs="Calibri"/>
                <w:bCs/>
                <w:sz w:val="18"/>
                <w:szCs w:val="18"/>
                <w:lang w:eastAsia="hr-HR"/>
              </w:rPr>
              <w:t>ti</w:t>
            </w:r>
            <w:r w:rsidRPr="007D4130">
              <w:rPr>
                <w:rFonts w:ascii="Calibri" w:eastAsia="Times New Roman" w:hAnsi="Calibri" w:cs="Calibri"/>
                <w:bCs/>
                <w:sz w:val="18"/>
                <w:szCs w:val="18"/>
                <w:lang w:eastAsia="hr-HR"/>
              </w:rPr>
              <w:t xml:space="preserve"> mjer</w:t>
            </w:r>
            <w:r w:rsidR="008A6494">
              <w:rPr>
                <w:rFonts w:ascii="Calibri" w:eastAsia="Times New Roman" w:hAnsi="Calibri" w:cs="Calibri"/>
                <w:bCs/>
                <w:sz w:val="18"/>
                <w:szCs w:val="18"/>
                <w:lang w:eastAsia="hr-HR"/>
              </w:rPr>
              <w:t>e</w:t>
            </w:r>
            <w:r w:rsidRPr="007D4130">
              <w:rPr>
                <w:rFonts w:ascii="Calibri" w:eastAsia="Times New Roman" w:hAnsi="Calibri" w:cs="Calibri"/>
                <w:bCs/>
                <w:sz w:val="18"/>
                <w:szCs w:val="18"/>
                <w:lang w:eastAsia="hr-HR"/>
              </w:rPr>
              <w:t xml:space="preserve"> za smanjenje koruptivnih rizika kod javnih nabava </w:t>
            </w:r>
          </w:p>
          <w:p w14:paraId="49A515AF" w14:textId="68B7BDD2" w:rsidR="00E87AC6" w:rsidRPr="007D4130" w:rsidRDefault="00E87AC6" w:rsidP="00E87AC6">
            <w:pPr>
              <w:numPr>
                <w:ilvl w:val="0"/>
                <w:numId w:val="42"/>
              </w:numPr>
              <w:spacing w:before="60" w:after="60" w:line="240" w:lineRule="auto"/>
              <w:contextualSpacing/>
              <w:jc w:val="both"/>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jača</w:t>
            </w:r>
            <w:r w:rsidR="008A6494">
              <w:rPr>
                <w:rFonts w:ascii="Calibri" w:eastAsia="Times New Roman" w:hAnsi="Calibri" w:cs="Calibri"/>
                <w:bCs/>
                <w:sz w:val="18"/>
                <w:szCs w:val="18"/>
                <w:lang w:eastAsia="hr-HR"/>
              </w:rPr>
              <w:t>ti</w:t>
            </w:r>
            <w:r w:rsidRPr="007D4130">
              <w:rPr>
                <w:rFonts w:ascii="Calibri" w:eastAsia="Times New Roman" w:hAnsi="Calibri" w:cs="Calibri"/>
                <w:bCs/>
                <w:sz w:val="18"/>
                <w:szCs w:val="18"/>
                <w:lang w:eastAsia="hr-HR"/>
              </w:rPr>
              <w:t xml:space="preserve"> sustava poticajnih mjera za ulaganje u nove i zelene tehnologije, istraživanje i razvoj, inovacije i eko inovacije</w:t>
            </w:r>
          </w:p>
          <w:p w14:paraId="5D3DAE6B" w14:textId="17A7AE8E" w:rsidR="00E87AC6" w:rsidRPr="007D4130" w:rsidRDefault="00E87AC6" w:rsidP="00E87AC6">
            <w:pPr>
              <w:numPr>
                <w:ilvl w:val="0"/>
                <w:numId w:val="42"/>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usposta</w:t>
            </w:r>
            <w:r w:rsidR="008A6494">
              <w:rPr>
                <w:rFonts w:ascii="Calibri" w:eastAsia="Times New Roman" w:hAnsi="Calibri" w:cs="Calibri"/>
                <w:bCs/>
                <w:sz w:val="18"/>
                <w:szCs w:val="18"/>
                <w:lang w:eastAsia="hr-HR"/>
              </w:rPr>
              <w:t>viti</w:t>
            </w:r>
            <w:r w:rsidRPr="007D4130">
              <w:rPr>
                <w:rFonts w:ascii="Calibri" w:eastAsia="Times New Roman" w:hAnsi="Calibri" w:cs="Calibri"/>
                <w:bCs/>
                <w:sz w:val="18"/>
                <w:szCs w:val="18"/>
                <w:lang w:eastAsia="hr-HR"/>
              </w:rPr>
              <w:t xml:space="preserve"> sustav</w:t>
            </w:r>
            <w:r w:rsidR="008A6494">
              <w:rPr>
                <w:rFonts w:ascii="Calibri" w:eastAsia="Times New Roman" w:hAnsi="Calibri" w:cs="Calibri"/>
                <w:bCs/>
                <w:sz w:val="18"/>
                <w:szCs w:val="18"/>
                <w:lang w:eastAsia="hr-HR"/>
              </w:rPr>
              <w:t>e</w:t>
            </w:r>
            <w:r w:rsidRPr="007D4130">
              <w:rPr>
                <w:rFonts w:ascii="Calibri" w:eastAsia="Times New Roman" w:hAnsi="Calibri" w:cs="Calibri"/>
                <w:bCs/>
                <w:sz w:val="18"/>
                <w:szCs w:val="18"/>
                <w:lang w:eastAsia="hr-HR"/>
              </w:rPr>
              <w:t xml:space="preserve"> potpora poduzetnicima vezano za učinkovitije korištenje resursa i energetsku učinkovitost </w:t>
            </w:r>
          </w:p>
          <w:p w14:paraId="22592287" w14:textId="6FCE984B" w:rsidR="00E87AC6" w:rsidRPr="007D4130" w:rsidRDefault="00E87AC6" w:rsidP="00E87AC6">
            <w:pPr>
              <w:numPr>
                <w:ilvl w:val="0"/>
                <w:numId w:val="42"/>
              </w:numPr>
              <w:spacing w:before="60" w:after="60" w:line="240" w:lineRule="auto"/>
              <w:contextualSpacing/>
              <w:jc w:val="both"/>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potica</w:t>
            </w:r>
            <w:r w:rsidR="008A6494">
              <w:rPr>
                <w:rFonts w:ascii="Calibri" w:eastAsia="Times New Roman" w:hAnsi="Calibri" w:cs="Calibri"/>
                <w:bCs/>
                <w:sz w:val="18"/>
                <w:szCs w:val="18"/>
                <w:lang w:eastAsia="hr-HR"/>
              </w:rPr>
              <w:t xml:space="preserve">ti </w:t>
            </w:r>
            <w:r w:rsidRPr="007D4130">
              <w:rPr>
                <w:rFonts w:ascii="Calibri" w:eastAsia="Times New Roman" w:hAnsi="Calibri" w:cs="Calibri"/>
                <w:bCs/>
                <w:sz w:val="18"/>
                <w:szCs w:val="18"/>
                <w:lang w:eastAsia="hr-HR"/>
              </w:rPr>
              <w:t>suradnj</w:t>
            </w:r>
            <w:r w:rsidR="008A6494">
              <w:rPr>
                <w:rFonts w:ascii="Calibri" w:eastAsia="Times New Roman" w:hAnsi="Calibri" w:cs="Calibri"/>
                <w:bCs/>
                <w:sz w:val="18"/>
                <w:szCs w:val="18"/>
                <w:lang w:eastAsia="hr-HR"/>
              </w:rPr>
              <w:t>u</w:t>
            </w:r>
            <w:r w:rsidRPr="007D4130">
              <w:rPr>
                <w:rFonts w:ascii="Calibri" w:eastAsia="Times New Roman" w:hAnsi="Calibri" w:cs="Calibri"/>
                <w:bCs/>
                <w:sz w:val="18"/>
                <w:szCs w:val="18"/>
                <w:lang w:eastAsia="hr-HR"/>
              </w:rPr>
              <w:t xml:space="preserve"> poduzetnika sa</w:t>
            </w:r>
          </w:p>
          <w:p w14:paraId="508E5ED9" w14:textId="77777777" w:rsidR="00E87AC6" w:rsidRPr="007D4130" w:rsidRDefault="00E87AC6" w:rsidP="004838D7">
            <w:pPr>
              <w:spacing w:before="60" w:after="60" w:line="240" w:lineRule="auto"/>
              <w:ind w:left="720"/>
              <w:contextualSpacing/>
              <w:jc w:val="both"/>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znanstvenoistraživačkim institucijama s ciljem transfera tehnologije i znanja</w:t>
            </w:r>
          </w:p>
          <w:p w14:paraId="00D98174" w14:textId="576A37FF" w:rsidR="00E87AC6" w:rsidRPr="007D4130" w:rsidRDefault="008A6494" w:rsidP="00E87AC6">
            <w:pPr>
              <w:numPr>
                <w:ilvl w:val="0"/>
                <w:numId w:val="42"/>
              </w:numPr>
              <w:contextualSpacing/>
              <w:rPr>
                <w:rFonts w:ascii="Calibri" w:eastAsia="Times New Roman" w:hAnsi="Calibri" w:cs="Calibri"/>
                <w:bCs/>
                <w:sz w:val="18"/>
                <w:szCs w:val="18"/>
                <w:lang w:eastAsia="hr-HR"/>
              </w:rPr>
            </w:pPr>
            <w:r>
              <w:rPr>
                <w:rFonts w:ascii="Calibri" w:eastAsia="Times New Roman" w:hAnsi="Calibri" w:cs="Calibri"/>
                <w:bCs/>
                <w:sz w:val="18"/>
                <w:szCs w:val="18"/>
                <w:lang w:eastAsia="hr-HR"/>
              </w:rPr>
              <w:t xml:space="preserve">pružiti </w:t>
            </w:r>
            <w:r w:rsidR="00E87AC6" w:rsidRPr="007D4130">
              <w:rPr>
                <w:rFonts w:ascii="Calibri" w:eastAsia="Times New Roman" w:hAnsi="Calibri" w:cs="Calibri"/>
                <w:bCs/>
                <w:sz w:val="18"/>
                <w:szCs w:val="18"/>
                <w:lang w:eastAsia="hr-HR"/>
              </w:rPr>
              <w:t>potpo</w:t>
            </w:r>
            <w:r>
              <w:rPr>
                <w:rFonts w:ascii="Calibri" w:eastAsia="Times New Roman" w:hAnsi="Calibri" w:cs="Calibri"/>
                <w:bCs/>
                <w:sz w:val="18"/>
                <w:szCs w:val="18"/>
                <w:lang w:eastAsia="hr-HR"/>
              </w:rPr>
              <w:t>ru</w:t>
            </w:r>
            <w:r w:rsidR="00E87AC6" w:rsidRPr="007D4130">
              <w:rPr>
                <w:rFonts w:ascii="Calibri" w:eastAsia="Times New Roman" w:hAnsi="Calibri" w:cs="Calibri"/>
                <w:bCs/>
                <w:sz w:val="18"/>
                <w:szCs w:val="18"/>
                <w:lang w:eastAsia="hr-HR"/>
              </w:rPr>
              <w:t xml:space="preserve"> boljoj integraciji digitalne tehnologije u mala i srednja poduzeća te nadogradnj</w:t>
            </w:r>
            <w:r>
              <w:rPr>
                <w:rFonts w:ascii="Calibri" w:eastAsia="Times New Roman" w:hAnsi="Calibri" w:cs="Calibri"/>
                <w:bCs/>
                <w:sz w:val="18"/>
                <w:szCs w:val="18"/>
                <w:lang w:eastAsia="hr-HR"/>
              </w:rPr>
              <w:t>u</w:t>
            </w:r>
            <w:r w:rsidR="00E87AC6" w:rsidRPr="007D4130">
              <w:rPr>
                <w:rFonts w:ascii="Calibri" w:eastAsia="Times New Roman" w:hAnsi="Calibri" w:cs="Calibri"/>
                <w:bCs/>
                <w:sz w:val="18"/>
                <w:szCs w:val="18"/>
                <w:lang w:eastAsia="hr-HR"/>
              </w:rPr>
              <w:t xml:space="preserve"> i ubrzavanje digitalnih javnih gradskih servisa za pružanje podataka i usluga poduzetnicima</w:t>
            </w:r>
          </w:p>
          <w:p w14:paraId="3347F1B8" w14:textId="6E0E17A9" w:rsidR="00E87AC6" w:rsidRPr="007D4130" w:rsidRDefault="00E87AC6" w:rsidP="00E87AC6">
            <w:pPr>
              <w:numPr>
                <w:ilvl w:val="0"/>
                <w:numId w:val="42"/>
              </w:numPr>
              <w:spacing w:before="60" w:after="60" w:line="240" w:lineRule="auto"/>
              <w:contextualSpacing/>
              <w:jc w:val="both"/>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razv</w:t>
            </w:r>
            <w:r w:rsidR="008A6494">
              <w:rPr>
                <w:rFonts w:ascii="Calibri" w:eastAsia="Times New Roman" w:hAnsi="Calibri" w:cs="Calibri"/>
                <w:bCs/>
                <w:sz w:val="18"/>
                <w:szCs w:val="18"/>
                <w:lang w:eastAsia="hr-HR"/>
              </w:rPr>
              <w:t>iti</w:t>
            </w:r>
            <w:r w:rsidRPr="007D4130">
              <w:rPr>
                <w:rFonts w:ascii="Calibri" w:eastAsia="Times New Roman" w:hAnsi="Calibri" w:cs="Calibri"/>
                <w:bCs/>
                <w:sz w:val="18"/>
                <w:szCs w:val="18"/>
                <w:lang w:eastAsia="hr-HR"/>
              </w:rPr>
              <w:t xml:space="preserve"> i omoguć</w:t>
            </w:r>
            <w:r w:rsidR="008A6494">
              <w:rPr>
                <w:rFonts w:ascii="Calibri" w:eastAsia="Times New Roman" w:hAnsi="Calibri" w:cs="Calibri"/>
                <w:bCs/>
                <w:sz w:val="18"/>
                <w:szCs w:val="18"/>
                <w:lang w:eastAsia="hr-HR"/>
              </w:rPr>
              <w:t>iti</w:t>
            </w:r>
            <w:r w:rsidRPr="007D4130">
              <w:rPr>
                <w:rFonts w:ascii="Calibri" w:eastAsia="Times New Roman" w:hAnsi="Calibri" w:cs="Calibri"/>
                <w:bCs/>
                <w:sz w:val="18"/>
                <w:szCs w:val="18"/>
                <w:lang w:eastAsia="hr-HR"/>
              </w:rPr>
              <w:t xml:space="preserve"> pristup alternativnim izvorima financiranja </w:t>
            </w:r>
          </w:p>
          <w:p w14:paraId="6A10EA9F" w14:textId="4AAA1812" w:rsidR="00E87AC6" w:rsidRPr="007D4130" w:rsidRDefault="00E87AC6" w:rsidP="00E87AC6">
            <w:pPr>
              <w:numPr>
                <w:ilvl w:val="0"/>
                <w:numId w:val="42"/>
              </w:numPr>
              <w:spacing w:before="60" w:after="60" w:line="240" w:lineRule="auto"/>
              <w:contextualSpacing/>
              <w:jc w:val="both"/>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jač</w:t>
            </w:r>
            <w:r w:rsidR="008A6494">
              <w:rPr>
                <w:rFonts w:ascii="Calibri" w:eastAsia="Times New Roman" w:hAnsi="Calibri" w:cs="Calibri"/>
                <w:bCs/>
                <w:sz w:val="18"/>
                <w:szCs w:val="18"/>
                <w:lang w:eastAsia="hr-HR"/>
              </w:rPr>
              <w:t>ati</w:t>
            </w:r>
            <w:r w:rsidRPr="007D4130">
              <w:rPr>
                <w:rFonts w:ascii="Calibri" w:eastAsia="Times New Roman" w:hAnsi="Calibri" w:cs="Calibri"/>
                <w:bCs/>
                <w:sz w:val="18"/>
                <w:szCs w:val="18"/>
                <w:lang w:eastAsia="hr-HR"/>
              </w:rPr>
              <w:t xml:space="preserve"> uslug</w:t>
            </w:r>
            <w:r w:rsidR="008A6494">
              <w:rPr>
                <w:rFonts w:ascii="Calibri" w:eastAsia="Times New Roman" w:hAnsi="Calibri" w:cs="Calibri"/>
                <w:bCs/>
                <w:sz w:val="18"/>
                <w:szCs w:val="18"/>
                <w:lang w:eastAsia="hr-HR"/>
              </w:rPr>
              <w:t>e</w:t>
            </w:r>
            <w:r w:rsidRPr="007D4130">
              <w:rPr>
                <w:rFonts w:ascii="Calibri" w:eastAsia="Times New Roman" w:hAnsi="Calibri" w:cs="Calibri"/>
                <w:bCs/>
                <w:sz w:val="18"/>
                <w:szCs w:val="18"/>
                <w:lang w:eastAsia="hr-HR"/>
              </w:rPr>
              <w:t xml:space="preserve"> informiranja i savjetovanja o dostupnim izvorima financiranja i poboljš</w:t>
            </w:r>
            <w:r w:rsidR="008A6494">
              <w:rPr>
                <w:rFonts w:ascii="Calibri" w:eastAsia="Times New Roman" w:hAnsi="Calibri" w:cs="Calibri"/>
                <w:bCs/>
                <w:sz w:val="18"/>
                <w:szCs w:val="18"/>
                <w:lang w:eastAsia="hr-HR"/>
              </w:rPr>
              <w:t>ati</w:t>
            </w:r>
            <w:r w:rsidRPr="007D4130">
              <w:rPr>
                <w:rFonts w:ascii="Calibri" w:eastAsia="Times New Roman" w:hAnsi="Calibri" w:cs="Calibri"/>
                <w:bCs/>
                <w:sz w:val="18"/>
                <w:szCs w:val="18"/>
                <w:lang w:eastAsia="hr-HR"/>
              </w:rPr>
              <w:t xml:space="preserve"> financijsk</w:t>
            </w:r>
            <w:r w:rsidR="008A6494">
              <w:rPr>
                <w:rFonts w:ascii="Calibri" w:eastAsia="Times New Roman" w:hAnsi="Calibri" w:cs="Calibri"/>
                <w:bCs/>
                <w:sz w:val="18"/>
                <w:szCs w:val="18"/>
                <w:lang w:eastAsia="hr-HR"/>
              </w:rPr>
              <w:t>u</w:t>
            </w:r>
            <w:r w:rsidRPr="007D4130">
              <w:rPr>
                <w:rFonts w:ascii="Calibri" w:eastAsia="Times New Roman" w:hAnsi="Calibri" w:cs="Calibri"/>
                <w:bCs/>
                <w:sz w:val="18"/>
                <w:szCs w:val="18"/>
                <w:lang w:eastAsia="hr-HR"/>
              </w:rPr>
              <w:t xml:space="preserve"> pismenosti poduzetnika i obrtnika</w:t>
            </w:r>
          </w:p>
          <w:p w14:paraId="2605C5BE" w14:textId="443DD060" w:rsidR="00E87AC6" w:rsidRPr="007D4130" w:rsidRDefault="008A6494" w:rsidP="00E87AC6">
            <w:pPr>
              <w:numPr>
                <w:ilvl w:val="0"/>
                <w:numId w:val="42"/>
              </w:numPr>
              <w:spacing w:before="60" w:after="60" w:line="240" w:lineRule="auto"/>
              <w:contextualSpacing/>
              <w:jc w:val="both"/>
              <w:rPr>
                <w:rFonts w:ascii="Calibri" w:eastAsia="Times New Roman" w:hAnsi="Calibri" w:cs="Calibri"/>
                <w:bCs/>
                <w:sz w:val="18"/>
                <w:szCs w:val="18"/>
                <w:lang w:eastAsia="hr-HR"/>
              </w:rPr>
            </w:pPr>
            <w:r>
              <w:rPr>
                <w:rFonts w:ascii="Calibri" w:eastAsia="Times New Roman" w:hAnsi="Calibri" w:cs="Calibri"/>
                <w:bCs/>
                <w:sz w:val="18"/>
                <w:szCs w:val="18"/>
                <w:lang w:eastAsia="hr-HR"/>
              </w:rPr>
              <w:t>razvijati</w:t>
            </w:r>
            <w:r w:rsidR="00E87AC6" w:rsidRPr="007D4130">
              <w:rPr>
                <w:rFonts w:ascii="Calibri" w:eastAsia="Times New Roman" w:hAnsi="Calibri" w:cs="Calibri"/>
                <w:bCs/>
                <w:sz w:val="18"/>
                <w:szCs w:val="18"/>
                <w:lang w:eastAsia="hr-HR"/>
              </w:rPr>
              <w:t xml:space="preserve"> visoko kvalitetne poduzetničko poslovne infrastrukture  </w:t>
            </w:r>
          </w:p>
          <w:p w14:paraId="467FE270" w14:textId="721BE8DE" w:rsidR="00E87AC6" w:rsidRPr="007D4130" w:rsidRDefault="008A6494" w:rsidP="00E87AC6">
            <w:pPr>
              <w:numPr>
                <w:ilvl w:val="0"/>
                <w:numId w:val="42"/>
              </w:numPr>
              <w:spacing w:before="60" w:after="60" w:line="240" w:lineRule="auto"/>
              <w:contextualSpacing/>
              <w:jc w:val="both"/>
              <w:rPr>
                <w:rFonts w:ascii="Calibri" w:eastAsia="Times New Roman" w:hAnsi="Calibri" w:cs="Calibri"/>
                <w:bCs/>
                <w:sz w:val="18"/>
                <w:szCs w:val="18"/>
                <w:lang w:eastAsia="hr-HR"/>
              </w:rPr>
            </w:pPr>
            <w:r>
              <w:rPr>
                <w:rFonts w:ascii="Calibri" w:eastAsia="Times New Roman" w:hAnsi="Calibri" w:cs="Calibri"/>
                <w:bCs/>
                <w:sz w:val="18"/>
                <w:szCs w:val="18"/>
                <w:lang w:eastAsia="hr-HR"/>
              </w:rPr>
              <w:t xml:space="preserve">prižiti </w:t>
            </w:r>
            <w:r w:rsidR="00E87AC6" w:rsidRPr="007D4130">
              <w:rPr>
                <w:rFonts w:ascii="Calibri" w:eastAsia="Times New Roman" w:hAnsi="Calibri" w:cs="Calibri"/>
                <w:bCs/>
                <w:sz w:val="18"/>
                <w:szCs w:val="18"/>
                <w:lang w:eastAsia="hr-HR"/>
              </w:rPr>
              <w:t>tehničk</w:t>
            </w:r>
            <w:r>
              <w:rPr>
                <w:rFonts w:ascii="Calibri" w:eastAsia="Times New Roman" w:hAnsi="Calibri" w:cs="Calibri"/>
                <w:bCs/>
                <w:sz w:val="18"/>
                <w:szCs w:val="18"/>
                <w:lang w:eastAsia="hr-HR"/>
              </w:rPr>
              <w:t>u</w:t>
            </w:r>
            <w:r w:rsidR="00E87AC6" w:rsidRPr="007D4130">
              <w:rPr>
                <w:rFonts w:ascii="Calibri" w:eastAsia="Times New Roman" w:hAnsi="Calibri" w:cs="Calibri"/>
                <w:bCs/>
                <w:sz w:val="18"/>
                <w:szCs w:val="18"/>
                <w:lang w:eastAsia="hr-HR"/>
              </w:rPr>
              <w:t xml:space="preserve"> potpor</w:t>
            </w:r>
            <w:r>
              <w:rPr>
                <w:rFonts w:ascii="Calibri" w:eastAsia="Times New Roman" w:hAnsi="Calibri" w:cs="Calibri"/>
                <w:bCs/>
                <w:sz w:val="18"/>
                <w:szCs w:val="18"/>
                <w:lang w:eastAsia="hr-HR"/>
              </w:rPr>
              <w:t>u</w:t>
            </w:r>
            <w:r w:rsidR="00E87AC6" w:rsidRPr="007D4130">
              <w:rPr>
                <w:rFonts w:ascii="Calibri" w:eastAsia="Times New Roman" w:hAnsi="Calibri" w:cs="Calibri"/>
                <w:bCs/>
                <w:sz w:val="18"/>
                <w:szCs w:val="18"/>
                <w:lang w:eastAsia="hr-HR"/>
              </w:rPr>
              <w:t xml:space="preserve"> i savjetovanje poduzetnika i obrtnika pri apliciranju projekata na EU natječaje </w:t>
            </w:r>
          </w:p>
          <w:p w14:paraId="331EC96A" w14:textId="1EBF5A60" w:rsidR="00E87AC6" w:rsidRPr="007D4130" w:rsidRDefault="00E87AC6" w:rsidP="00E87AC6">
            <w:pPr>
              <w:numPr>
                <w:ilvl w:val="0"/>
                <w:numId w:val="42"/>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promovira</w:t>
            </w:r>
            <w:r w:rsidR="008A6494">
              <w:rPr>
                <w:rFonts w:ascii="Calibri" w:eastAsia="Times New Roman" w:hAnsi="Calibri" w:cs="Calibri"/>
                <w:bCs/>
                <w:sz w:val="18"/>
                <w:szCs w:val="18"/>
                <w:lang w:eastAsia="hr-HR"/>
              </w:rPr>
              <w:t>ti</w:t>
            </w:r>
            <w:r w:rsidRPr="007D4130">
              <w:rPr>
                <w:rFonts w:ascii="Calibri" w:eastAsia="Times New Roman" w:hAnsi="Calibri" w:cs="Calibri"/>
                <w:bCs/>
                <w:sz w:val="18"/>
                <w:szCs w:val="18"/>
                <w:lang w:eastAsia="hr-HR"/>
              </w:rPr>
              <w:t xml:space="preserve"> obrtničk</w:t>
            </w:r>
            <w:r w:rsidR="008A6494">
              <w:rPr>
                <w:rFonts w:ascii="Calibri" w:eastAsia="Times New Roman" w:hAnsi="Calibri" w:cs="Calibri"/>
                <w:bCs/>
                <w:sz w:val="18"/>
                <w:szCs w:val="18"/>
                <w:lang w:eastAsia="hr-HR"/>
              </w:rPr>
              <w:t>a</w:t>
            </w:r>
            <w:r w:rsidRPr="007D4130">
              <w:rPr>
                <w:rFonts w:ascii="Calibri" w:eastAsia="Times New Roman" w:hAnsi="Calibri" w:cs="Calibri"/>
                <w:bCs/>
                <w:sz w:val="18"/>
                <w:szCs w:val="18"/>
                <w:lang w:eastAsia="hr-HR"/>
              </w:rPr>
              <w:t xml:space="preserve"> zanimanja i poduzetništv</w:t>
            </w:r>
            <w:r w:rsidR="008A6494">
              <w:rPr>
                <w:rFonts w:ascii="Calibri" w:eastAsia="Times New Roman" w:hAnsi="Calibri" w:cs="Calibri"/>
                <w:bCs/>
                <w:sz w:val="18"/>
                <w:szCs w:val="18"/>
                <w:lang w:eastAsia="hr-HR"/>
              </w:rPr>
              <w:t>o</w:t>
            </w:r>
            <w:r w:rsidRPr="007D4130">
              <w:rPr>
                <w:rFonts w:ascii="Calibri" w:eastAsia="Times New Roman" w:hAnsi="Calibri" w:cs="Calibri"/>
                <w:bCs/>
                <w:sz w:val="18"/>
                <w:szCs w:val="18"/>
                <w:lang w:eastAsia="hr-HR"/>
              </w:rPr>
              <w:t xml:space="preserve"> u školama i fakultetima</w:t>
            </w:r>
            <w:r w:rsidR="00F01006">
              <w:rPr>
                <w:rFonts w:ascii="Calibri" w:eastAsia="Times New Roman" w:hAnsi="Calibri" w:cs="Calibri"/>
                <w:bCs/>
                <w:sz w:val="18"/>
                <w:szCs w:val="18"/>
                <w:lang w:eastAsia="hr-HR"/>
              </w:rPr>
              <w:t xml:space="preserve"> </w:t>
            </w:r>
            <w:r w:rsidR="00F01006" w:rsidRPr="00F01006">
              <w:rPr>
                <w:rFonts w:ascii="Calibri" w:eastAsia="Times New Roman" w:hAnsi="Calibri" w:cs="Calibri"/>
                <w:bCs/>
                <w:sz w:val="18"/>
                <w:szCs w:val="18"/>
                <w:lang w:eastAsia="hr-HR"/>
              </w:rPr>
              <w:t xml:space="preserve"> u suradnji sa gospodarskim sektorom</w:t>
            </w:r>
          </w:p>
          <w:p w14:paraId="3F21C279" w14:textId="77777777" w:rsidR="00E87AC6" w:rsidRPr="007D4130" w:rsidRDefault="00E87AC6" w:rsidP="00E87AC6">
            <w:pPr>
              <w:numPr>
                <w:ilvl w:val="0"/>
                <w:numId w:val="42"/>
              </w:numPr>
              <w:contextualSpacing/>
              <w:rPr>
                <w:rFonts w:ascii="Calibri" w:eastAsia="Times New Roman" w:hAnsi="Calibri" w:cs="Calibri"/>
                <w:bCs/>
                <w:sz w:val="18"/>
                <w:szCs w:val="18"/>
                <w:lang w:eastAsia="hr-HR"/>
              </w:rPr>
            </w:pPr>
            <w:r w:rsidRPr="007D4130">
              <w:rPr>
                <w:rFonts w:ascii="Calibri" w:eastAsia="Times New Roman" w:hAnsi="Calibri" w:cs="Calibri"/>
                <w:bCs/>
                <w:sz w:val="18"/>
                <w:szCs w:val="18"/>
                <w:lang w:eastAsia="hr-HR"/>
              </w:rPr>
              <w:t>povećati potpore za društveno poduzetništvo i inovacije</w:t>
            </w:r>
          </w:p>
          <w:p w14:paraId="0D2E6311" w14:textId="77777777" w:rsidR="00E87AC6" w:rsidRPr="007D4130" w:rsidRDefault="00E87AC6" w:rsidP="004838D7">
            <w:pPr>
              <w:ind w:left="720"/>
              <w:contextualSpacing/>
              <w:rPr>
                <w:lang w:eastAsia="hr-HR"/>
              </w:rPr>
            </w:pPr>
          </w:p>
        </w:tc>
      </w:tr>
    </w:tbl>
    <w:p w14:paraId="52BA95E4" w14:textId="4DDA9DC9" w:rsidR="00E87AC6" w:rsidRPr="005474A2" w:rsidRDefault="00E87AC6" w:rsidP="005A25A2">
      <w:pPr>
        <w:pStyle w:val="Stil2"/>
      </w:pPr>
      <w:r w:rsidRPr="004D78F3">
        <w:t xml:space="preserve"> </w:t>
      </w:r>
      <w:bookmarkStart w:id="83" w:name="_Toc97123810"/>
      <w:bookmarkEnd w:id="82"/>
      <w:r w:rsidRPr="00DE02D4">
        <w:t>3.1.7. Investicije - ulaganja u fiksni kapital</w:t>
      </w:r>
      <w:bookmarkEnd w:id="83"/>
    </w:p>
    <w:p w14:paraId="5B153BFF" w14:textId="77777777" w:rsidR="00E87AC6" w:rsidRDefault="00E87AC6" w:rsidP="00E87AC6">
      <w:pPr>
        <w:spacing w:after="200" w:line="240" w:lineRule="auto"/>
        <w:jc w:val="both"/>
        <w:rPr>
          <w:rFonts w:ascii="Calibri" w:eastAsia="Calibri" w:hAnsi="Calibri" w:cs="Calibri"/>
        </w:rPr>
      </w:pPr>
      <w:r w:rsidRPr="00E30154">
        <w:rPr>
          <w:rFonts w:ascii="Calibri" w:eastAsia="Calibri" w:hAnsi="Calibri" w:cs="Calibri"/>
        </w:rPr>
        <w:t>Sljedeći podaci pokazuju dinamiku ostvarenih bruto investicija na području Zagreba isključivo u novu dugotrajnu imovinu iz vlastitih i sličnih izvora</w:t>
      </w:r>
      <w:r w:rsidRPr="00E30154">
        <w:rPr>
          <w:rFonts w:ascii="Calibri" w:eastAsia="Calibri" w:hAnsi="Calibri" w:cs="Calibri"/>
          <w:vertAlign w:val="superscript"/>
        </w:rPr>
        <w:footnoteReference w:id="35"/>
      </w:r>
      <w:r w:rsidRPr="00E30154">
        <w:rPr>
          <w:rFonts w:ascii="Calibri" w:eastAsia="Calibri" w:hAnsi="Calibri" w:cs="Calibri"/>
        </w:rPr>
        <w:t xml:space="preserve">, njihov udio u RH te iste investicije prema karakteru gradnje i tehničkoj strukturi, prema posljednjim raspoloživim podacima. </w:t>
      </w:r>
    </w:p>
    <w:p w14:paraId="19C61B85" w14:textId="36C288A7" w:rsidR="00E87AC6" w:rsidRDefault="00E87AC6" w:rsidP="00E2286C">
      <w:pPr>
        <w:pStyle w:val="Opisslike"/>
        <w:rPr>
          <w:rFonts w:eastAsia="Calibri"/>
        </w:rPr>
      </w:pPr>
    </w:p>
    <w:p w14:paraId="01C54F3D" w14:textId="49643245" w:rsidR="00415EDE" w:rsidRDefault="00782E62"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15</w:t>
      </w:r>
      <w:r w:rsidR="00751C19">
        <w:rPr>
          <w:noProof/>
        </w:rPr>
        <w:fldChar w:fldCharType="end"/>
      </w:r>
      <w:r>
        <w:t xml:space="preserve">. </w:t>
      </w:r>
      <w:r w:rsidRPr="005E122F">
        <w:t>Vrijednost ostvarenih investicija u novu dugotrajnu imovinu u GZ i RH 2011.-2020.</w:t>
      </w:r>
      <w:r w:rsidR="00415EDE" w:rsidRPr="00D74154">
        <w:rPr>
          <w:rFonts w:eastAsia="Calibri"/>
        </w:rPr>
        <w:t xml:space="preserve">                                                                                                                                                                             </w:t>
      </w:r>
      <w:r w:rsidR="00415EDE" w:rsidRPr="00782E62">
        <w:t xml:space="preserve">u tisućama kuna </w:t>
      </w:r>
    </w:p>
    <w:p w14:paraId="4B63296F" w14:textId="77777777" w:rsidR="00782E62" w:rsidRPr="00782E62" w:rsidRDefault="00782E62" w:rsidP="00782E62"/>
    <w:tbl>
      <w:tblPr>
        <w:tblW w:w="8953" w:type="dxa"/>
        <w:tblInd w:w="108" w:type="dxa"/>
        <w:tblCellMar>
          <w:top w:w="53" w:type="dxa"/>
          <w:left w:w="113" w:type="dxa"/>
          <w:right w:w="68" w:type="dxa"/>
        </w:tblCellMar>
        <w:tblLook w:val="04A0" w:firstRow="1" w:lastRow="0" w:firstColumn="1" w:lastColumn="0" w:noHBand="0" w:noVBand="1"/>
      </w:tblPr>
      <w:tblGrid>
        <w:gridCol w:w="978"/>
        <w:gridCol w:w="1736"/>
        <w:gridCol w:w="850"/>
        <w:gridCol w:w="978"/>
        <w:gridCol w:w="1736"/>
        <w:gridCol w:w="892"/>
        <w:gridCol w:w="977"/>
        <w:gridCol w:w="806"/>
      </w:tblGrid>
      <w:tr w:rsidR="007A2522" w:rsidRPr="00B66BE0" w14:paraId="72A68380" w14:textId="77777777" w:rsidTr="00F22E15">
        <w:trPr>
          <w:trHeight w:val="332"/>
        </w:trPr>
        <w:tc>
          <w:tcPr>
            <w:tcW w:w="978" w:type="dxa"/>
            <w:vMerge w:val="restart"/>
            <w:tcBorders>
              <w:top w:val="single" w:sz="8" w:space="0" w:color="000000"/>
              <w:left w:val="single" w:sz="8" w:space="0" w:color="000000"/>
              <w:bottom w:val="single" w:sz="8" w:space="0" w:color="000000"/>
              <w:right w:val="single" w:sz="8" w:space="0" w:color="000000"/>
            </w:tcBorders>
            <w:shd w:val="clear" w:color="auto" w:fill="C5E0B3"/>
            <w:vAlign w:val="center"/>
            <w:hideMark/>
          </w:tcPr>
          <w:p w14:paraId="097D8E9C" w14:textId="77777777" w:rsidR="00415EDE" w:rsidRPr="00D74154" w:rsidRDefault="00415EDE" w:rsidP="00F22E15">
            <w:pPr>
              <w:spacing w:after="0" w:line="256" w:lineRule="auto"/>
              <w:ind w:right="49"/>
              <w:jc w:val="center"/>
              <w:rPr>
                <w:rFonts w:eastAsia="Times New Roman" w:cstheme="minorHAnsi"/>
                <w:color w:val="000000"/>
                <w:sz w:val="20"/>
                <w:szCs w:val="20"/>
                <w:lang w:val="en-US"/>
              </w:rPr>
            </w:pPr>
            <w:r w:rsidRPr="00D74154">
              <w:rPr>
                <w:rFonts w:eastAsia="Times New Roman" w:cstheme="minorHAnsi"/>
                <w:color w:val="000000"/>
                <w:sz w:val="20"/>
                <w:szCs w:val="20"/>
                <w:lang w:val="en-US"/>
              </w:rPr>
              <w:t xml:space="preserve">Godine </w:t>
            </w:r>
          </w:p>
        </w:tc>
        <w:tc>
          <w:tcPr>
            <w:tcW w:w="3564" w:type="dxa"/>
            <w:gridSpan w:val="3"/>
            <w:tcBorders>
              <w:top w:val="single" w:sz="8" w:space="0" w:color="000000"/>
              <w:left w:val="single" w:sz="8" w:space="0" w:color="000000"/>
              <w:bottom w:val="single" w:sz="8" w:space="0" w:color="000000"/>
              <w:right w:val="single" w:sz="8" w:space="0" w:color="000000"/>
            </w:tcBorders>
            <w:shd w:val="clear" w:color="auto" w:fill="C5E0B3"/>
            <w:hideMark/>
          </w:tcPr>
          <w:p w14:paraId="30D4BA09" w14:textId="77777777" w:rsidR="00415EDE" w:rsidRPr="00D74154" w:rsidRDefault="00415EDE" w:rsidP="00F22E15">
            <w:pPr>
              <w:spacing w:after="0" w:line="256" w:lineRule="auto"/>
              <w:ind w:right="43"/>
              <w:jc w:val="center"/>
              <w:rPr>
                <w:rFonts w:eastAsia="Times New Roman" w:cstheme="minorHAnsi"/>
                <w:color w:val="000000"/>
                <w:sz w:val="20"/>
                <w:szCs w:val="20"/>
                <w:lang w:val="en-US"/>
              </w:rPr>
            </w:pPr>
            <w:r w:rsidRPr="00D74154">
              <w:rPr>
                <w:rFonts w:eastAsia="Times New Roman" w:cstheme="minorHAnsi"/>
                <w:color w:val="000000"/>
                <w:sz w:val="20"/>
                <w:szCs w:val="20"/>
                <w:lang w:val="en-US"/>
              </w:rPr>
              <w:t xml:space="preserve">Grad Zagreb </w:t>
            </w:r>
          </w:p>
        </w:tc>
        <w:tc>
          <w:tcPr>
            <w:tcW w:w="3605" w:type="dxa"/>
            <w:gridSpan w:val="3"/>
            <w:tcBorders>
              <w:top w:val="single" w:sz="8" w:space="0" w:color="000000"/>
              <w:left w:val="single" w:sz="8" w:space="0" w:color="000000"/>
              <w:bottom w:val="single" w:sz="8" w:space="0" w:color="000000"/>
              <w:right w:val="single" w:sz="8" w:space="0" w:color="000000"/>
            </w:tcBorders>
            <w:shd w:val="clear" w:color="auto" w:fill="C5E0B3"/>
            <w:hideMark/>
          </w:tcPr>
          <w:p w14:paraId="6BF1C10D" w14:textId="77777777" w:rsidR="00415EDE" w:rsidRPr="00D74154" w:rsidRDefault="00415EDE" w:rsidP="00F22E15">
            <w:pPr>
              <w:spacing w:after="0" w:line="256" w:lineRule="auto"/>
              <w:ind w:right="47"/>
              <w:jc w:val="center"/>
              <w:rPr>
                <w:rFonts w:eastAsia="Times New Roman" w:cstheme="minorHAnsi"/>
                <w:color w:val="000000"/>
                <w:sz w:val="20"/>
                <w:szCs w:val="20"/>
                <w:lang w:val="en-US"/>
              </w:rPr>
            </w:pPr>
            <w:r w:rsidRPr="00D74154">
              <w:rPr>
                <w:rFonts w:eastAsia="Times New Roman" w:cstheme="minorHAnsi"/>
                <w:color w:val="000000"/>
                <w:sz w:val="20"/>
                <w:szCs w:val="20"/>
                <w:lang w:val="en-US"/>
              </w:rPr>
              <w:t xml:space="preserve">Republika Hrvatska </w:t>
            </w:r>
          </w:p>
        </w:tc>
        <w:tc>
          <w:tcPr>
            <w:tcW w:w="806"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14:paraId="3487FFDB" w14:textId="77777777" w:rsidR="00415EDE" w:rsidRPr="00D74154" w:rsidRDefault="00415EDE" w:rsidP="00F22E15">
            <w:pPr>
              <w:spacing w:after="0" w:line="256" w:lineRule="auto"/>
              <w:ind w:right="43"/>
              <w:jc w:val="center"/>
              <w:rPr>
                <w:rFonts w:eastAsia="Times New Roman" w:cstheme="minorHAnsi"/>
                <w:color w:val="000000"/>
                <w:sz w:val="20"/>
                <w:szCs w:val="20"/>
                <w:lang w:val="de-DE"/>
              </w:rPr>
            </w:pPr>
            <w:r w:rsidRPr="00D74154">
              <w:rPr>
                <w:rFonts w:eastAsia="Times New Roman" w:cstheme="minorHAnsi"/>
                <w:color w:val="000000"/>
                <w:sz w:val="20"/>
                <w:szCs w:val="20"/>
                <w:lang w:val="de-DE"/>
              </w:rPr>
              <w:t xml:space="preserve">Grad </w:t>
            </w:r>
          </w:p>
          <w:p w14:paraId="606F349F" w14:textId="77777777" w:rsidR="00415EDE" w:rsidRPr="00D74154" w:rsidRDefault="00415EDE" w:rsidP="00F22E15">
            <w:pPr>
              <w:spacing w:after="0" w:line="256" w:lineRule="auto"/>
              <w:ind w:left="12"/>
              <w:rPr>
                <w:rFonts w:eastAsia="Times New Roman" w:cstheme="minorHAnsi"/>
                <w:color w:val="000000"/>
                <w:sz w:val="20"/>
                <w:szCs w:val="20"/>
                <w:lang w:val="de-DE"/>
              </w:rPr>
            </w:pPr>
            <w:r w:rsidRPr="00D74154">
              <w:rPr>
                <w:rFonts w:eastAsia="Times New Roman" w:cstheme="minorHAnsi"/>
                <w:color w:val="000000"/>
                <w:sz w:val="20"/>
                <w:szCs w:val="20"/>
                <w:lang w:val="de-DE"/>
              </w:rPr>
              <w:t xml:space="preserve">Zagreb </w:t>
            </w:r>
          </w:p>
          <w:p w14:paraId="25429D37" w14:textId="77777777" w:rsidR="00415EDE" w:rsidRPr="00D74154" w:rsidRDefault="00415EDE" w:rsidP="00F22E15">
            <w:pPr>
              <w:spacing w:after="0" w:line="256" w:lineRule="auto"/>
              <w:ind w:left="79" w:hanging="79"/>
              <w:jc w:val="both"/>
              <w:rPr>
                <w:rFonts w:eastAsia="Times New Roman" w:cstheme="minorHAnsi"/>
                <w:color w:val="000000"/>
                <w:sz w:val="20"/>
                <w:szCs w:val="20"/>
                <w:lang w:val="de-DE"/>
              </w:rPr>
            </w:pPr>
            <w:r w:rsidRPr="00D74154">
              <w:rPr>
                <w:rFonts w:eastAsia="Times New Roman" w:cstheme="minorHAnsi"/>
                <w:color w:val="000000"/>
                <w:sz w:val="20"/>
                <w:szCs w:val="20"/>
                <w:lang w:val="de-DE"/>
              </w:rPr>
              <w:t xml:space="preserve">Udio u RH % </w:t>
            </w:r>
          </w:p>
        </w:tc>
      </w:tr>
      <w:tr w:rsidR="007A2522" w:rsidRPr="00B66BE0" w14:paraId="0107DB43" w14:textId="77777777" w:rsidTr="00F22E15">
        <w:trPr>
          <w:trHeight w:val="33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1FADD8" w14:textId="77777777" w:rsidR="00415EDE" w:rsidRPr="00E93A23" w:rsidRDefault="00415EDE" w:rsidP="00F22E15">
            <w:pPr>
              <w:spacing w:after="0" w:line="240" w:lineRule="auto"/>
              <w:rPr>
                <w:rFonts w:eastAsia="Times New Roman" w:cstheme="minorHAnsi"/>
                <w:color w:val="000000"/>
                <w:sz w:val="20"/>
                <w:szCs w:val="20"/>
                <w:lang w:val="en-US"/>
              </w:rPr>
            </w:pPr>
          </w:p>
        </w:tc>
        <w:tc>
          <w:tcPr>
            <w:tcW w:w="1736"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14:paraId="4B5CF309" w14:textId="77777777" w:rsidR="00415EDE" w:rsidRPr="00E93A23" w:rsidRDefault="00415EDE" w:rsidP="00F22E15">
            <w:pPr>
              <w:spacing w:after="0" w:line="256" w:lineRule="auto"/>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vrijednost investicija </w:t>
            </w:r>
          </w:p>
        </w:tc>
        <w:tc>
          <w:tcPr>
            <w:tcW w:w="1828" w:type="dxa"/>
            <w:gridSpan w:val="2"/>
            <w:tcBorders>
              <w:top w:val="single" w:sz="8" w:space="0" w:color="000000"/>
              <w:left w:val="single" w:sz="8" w:space="0" w:color="000000"/>
              <w:bottom w:val="single" w:sz="8" w:space="0" w:color="000000"/>
              <w:right w:val="single" w:sz="8" w:space="0" w:color="000000"/>
            </w:tcBorders>
            <w:shd w:val="clear" w:color="auto" w:fill="C5E0B3"/>
            <w:hideMark/>
          </w:tcPr>
          <w:p w14:paraId="47E4899E" w14:textId="77777777" w:rsidR="00415EDE" w:rsidRPr="00E93A23" w:rsidRDefault="00415EDE" w:rsidP="00F22E15">
            <w:pPr>
              <w:spacing w:after="0" w:line="256" w:lineRule="auto"/>
              <w:ind w:right="46"/>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indeksi </w:t>
            </w:r>
          </w:p>
        </w:tc>
        <w:tc>
          <w:tcPr>
            <w:tcW w:w="1736" w:type="dxa"/>
            <w:vMerge w:val="restart"/>
            <w:tcBorders>
              <w:top w:val="single" w:sz="8" w:space="0" w:color="000000"/>
              <w:left w:val="single" w:sz="8" w:space="0" w:color="000000"/>
              <w:bottom w:val="single" w:sz="8" w:space="0" w:color="000000"/>
              <w:right w:val="single" w:sz="8" w:space="0" w:color="000000"/>
            </w:tcBorders>
            <w:shd w:val="clear" w:color="auto" w:fill="C5E0B3"/>
            <w:hideMark/>
          </w:tcPr>
          <w:p w14:paraId="25805B13" w14:textId="77777777" w:rsidR="00415EDE" w:rsidRPr="00E93A23" w:rsidRDefault="00415EDE" w:rsidP="00F22E15">
            <w:pPr>
              <w:spacing w:after="0" w:line="256" w:lineRule="auto"/>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vrijednost investicija </w:t>
            </w:r>
          </w:p>
        </w:tc>
        <w:tc>
          <w:tcPr>
            <w:tcW w:w="1869" w:type="dxa"/>
            <w:gridSpan w:val="2"/>
            <w:tcBorders>
              <w:top w:val="single" w:sz="8" w:space="0" w:color="000000"/>
              <w:left w:val="single" w:sz="8" w:space="0" w:color="000000"/>
              <w:bottom w:val="single" w:sz="8" w:space="0" w:color="000000"/>
              <w:right w:val="single" w:sz="8" w:space="0" w:color="000000"/>
            </w:tcBorders>
            <w:shd w:val="clear" w:color="auto" w:fill="C5E0B3"/>
            <w:hideMark/>
          </w:tcPr>
          <w:p w14:paraId="4832B83A" w14:textId="77777777" w:rsidR="00415EDE" w:rsidRPr="00E93A23" w:rsidRDefault="00415EDE" w:rsidP="00F22E15">
            <w:pPr>
              <w:spacing w:after="0" w:line="256" w:lineRule="auto"/>
              <w:ind w:right="44"/>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indeksi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D2581E" w14:textId="77777777" w:rsidR="00415EDE" w:rsidRPr="00E93A23" w:rsidRDefault="00415EDE" w:rsidP="00F22E15">
            <w:pPr>
              <w:spacing w:after="0" w:line="240" w:lineRule="auto"/>
              <w:rPr>
                <w:rFonts w:eastAsia="Times New Roman" w:cstheme="minorHAnsi"/>
                <w:color w:val="000000"/>
                <w:sz w:val="20"/>
                <w:szCs w:val="20"/>
                <w:lang w:val="de-DE"/>
              </w:rPr>
            </w:pPr>
          </w:p>
        </w:tc>
      </w:tr>
      <w:tr w:rsidR="007A2522" w:rsidRPr="00B66BE0" w14:paraId="48EBBE12" w14:textId="77777777" w:rsidTr="00F22E15">
        <w:trPr>
          <w:trHeight w:val="33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45AA8F" w14:textId="77777777" w:rsidR="00415EDE" w:rsidRPr="00E93A23" w:rsidRDefault="00415EDE" w:rsidP="00F22E15">
            <w:pPr>
              <w:spacing w:after="0" w:line="240" w:lineRule="auto"/>
              <w:rPr>
                <w:rFonts w:eastAsia="Times New Roman" w:cstheme="minorHAnsi"/>
                <w:color w:val="000000"/>
                <w:sz w:val="20"/>
                <w:szCs w:val="20"/>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AD14F5" w14:textId="77777777" w:rsidR="00415EDE" w:rsidRPr="00E93A23" w:rsidRDefault="00415EDE" w:rsidP="00F22E15">
            <w:pPr>
              <w:spacing w:after="0" w:line="240" w:lineRule="auto"/>
              <w:rPr>
                <w:rFonts w:eastAsia="Times New Roman" w:cstheme="minorHAnsi"/>
                <w:color w:val="000000"/>
                <w:sz w:val="20"/>
                <w:szCs w:val="20"/>
                <w:lang w:val="en-US"/>
              </w:rPr>
            </w:pPr>
          </w:p>
        </w:tc>
        <w:tc>
          <w:tcPr>
            <w:tcW w:w="850" w:type="dxa"/>
            <w:tcBorders>
              <w:top w:val="single" w:sz="8" w:space="0" w:color="000000"/>
              <w:left w:val="single" w:sz="8" w:space="0" w:color="000000"/>
              <w:bottom w:val="single" w:sz="8" w:space="0" w:color="000000"/>
              <w:right w:val="single" w:sz="8" w:space="0" w:color="000000"/>
            </w:tcBorders>
            <w:shd w:val="clear" w:color="auto" w:fill="C5E0B3"/>
            <w:hideMark/>
          </w:tcPr>
          <w:p w14:paraId="7D09A8C8" w14:textId="77777777" w:rsidR="00415EDE" w:rsidRPr="00E93A23" w:rsidRDefault="00415EDE" w:rsidP="00F22E15">
            <w:pPr>
              <w:spacing w:after="0" w:line="256" w:lineRule="auto"/>
              <w:ind w:right="42"/>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bazni </w:t>
            </w:r>
          </w:p>
        </w:tc>
        <w:tc>
          <w:tcPr>
            <w:tcW w:w="978" w:type="dxa"/>
            <w:tcBorders>
              <w:top w:val="single" w:sz="8" w:space="0" w:color="000000"/>
              <w:left w:val="single" w:sz="8" w:space="0" w:color="000000"/>
              <w:bottom w:val="single" w:sz="8" w:space="0" w:color="000000"/>
              <w:right w:val="single" w:sz="8" w:space="0" w:color="000000"/>
            </w:tcBorders>
            <w:shd w:val="clear" w:color="auto" w:fill="C5E0B3"/>
            <w:hideMark/>
          </w:tcPr>
          <w:p w14:paraId="769D002E" w14:textId="77777777" w:rsidR="00415EDE" w:rsidRPr="00E93A23" w:rsidRDefault="00415EDE" w:rsidP="00F22E15">
            <w:pPr>
              <w:spacing w:after="0" w:line="256" w:lineRule="auto"/>
              <w:ind w:right="45"/>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verižni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1CEAE9" w14:textId="77777777" w:rsidR="00415EDE" w:rsidRPr="00E93A23" w:rsidRDefault="00415EDE" w:rsidP="00F22E15">
            <w:pPr>
              <w:spacing w:after="0" w:line="240" w:lineRule="auto"/>
              <w:rPr>
                <w:rFonts w:eastAsia="Times New Roman" w:cstheme="minorHAnsi"/>
                <w:color w:val="000000"/>
                <w:sz w:val="20"/>
                <w:szCs w:val="20"/>
                <w:lang w:val="en-US"/>
              </w:rPr>
            </w:pPr>
          </w:p>
        </w:tc>
        <w:tc>
          <w:tcPr>
            <w:tcW w:w="892" w:type="dxa"/>
            <w:tcBorders>
              <w:top w:val="single" w:sz="8" w:space="0" w:color="000000"/>
              <w:left w:val="single" w:sz="8" w:space="0" w:color="000000"/>
              <w:bottom w:val="single" w:sz="8" w:space="0" w:color="000000"/>
              <w:right w:val="single" w:sz="8" w:space="0" w:color="000000"/>
            </w:tcBorders>
            <w:shd w:val="clear" w:color="auto" w:fill="C5E0B3"/>
            <w:hideMark/>
          </w:tcPr>
          <w:p w14:paraId="706CAC68" w14:textId="77777777" w:rsidR="00415EDE" w:rsidRPr="00E93A23" w:rsidRDefault="00415EDE" w:rsidP="00F22E15">
            <w:pPr>
              <w:spacing w:after="0" w:line="256" w:lineRule="auto"/>
              <w:ind w:right="41"/>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bazni </w:t>
            </w:r>
          </w:p>
        </w:tc>
        <w:tc>
          <w:tcPr>
            <w:tcW w:w="977" w:type="dxa"/>
            <w:tcBorders>
              <w:top w:val="single" w:sz="8" w:space="0" w:color="000000"/>
              <w:left w:val="single" w:sz="8" w:space="0" w:color="000000"/>
              <w:bottom w:val="single" w:sz="8" w:space="0" w:color="000000"/>
              <w:right w:val="single" w:sz="8" w:space="0" w:color="000000"/>
            </w:tcBorders>
            <w:shd w:val="clear" w:color="auto" w:fill="C5E0B3"/>
            <w:hideMark/>
          </w:tcPr>
          <w:p w14:paraId="141F01BB" w14:textId="77777777" w:rsidR="00415EDE" w:rsidRPr="00E93A23" w:rsidRDefault="00415EDE" w:rsidP="00F22E15">
            <w:pPr>
              <w:spacing w:after="0" w:line="256" w:lineRule="auto"/>
              <w:ind w:right="47"/>
              <w:jc w:val="center"/>
              <w:rPr>
                <w:rFonts w:eastAsia="Times New Roman" w:cstheme="minorHAnsi"/>
                <w:color w:val="000000"/>
                <w:sz w:val="20"/>
                <w:szCs w:val="20"/>
                <w:lang w:val="en-US"/>
              </w:rPr>
            </w:pPr>
            <w:r w:rsidRPr="00E93A23">
              <w:rPr>
                <w:rFonts w:eastAsia="Times New Roman" w:cstheme="minorHAnsi"/>
                <w:color w:val="000000"/>
                <w:sz w:val="20"/>
                <w:szCs w:val="20"/>
                <w:lang w:val="en-US"/>
              </w:rPr>
              <w:t xml:space="preserve">verižni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920CAC" w14:textId="77777777" w:rsidR="00415EDE" w:rsidRPr="00E93A23" w:rsidRDefault="00415EDE" w:rsidP="00F22E15">
            <w:pPr>
              <w:spacing w:after="0" w:line="240" w:lineRule="auto"/>
              <w:rPr>
                <w:rFonts w:eastAsia="Times New Roman" w:cstheme="minorHAnsi"/>
                <w:color w:val="000000"/>
                <w:sz w:val="20"/>
                <w:szCs w:val="20"/>
                <w:lang w:val="de-DE"/>
              </w:rPr>
            </w:pPr>
          </w:p>
        </w:tc>
      </w:tr>
      <w:tr w:rsidR="007A2522" w:rsidRPr="00B66BE0" w14:paraId="62470B62" w14:textId="77777777" w:rsidTr="00F22E15">
        <w:trPr>
          <w:trHeight w:val="338"/>
        </w:trPr>
        <w:tc>
          <w:tcPr>
            <w:tcW w:w="978" w:type="dxa"/>
            <w:tcBorders>
              <w:top w:val="single" w:sz="8" w:space="0" w:color="000000"/>
              <w:left w:val="single" w:sz="8" w:space="0" w:color="000000"/>
              <w:bottom w:val="single" w:sz="8" w:space="0" w:color="000000"/>
              <w:right w:val="single" w:sz="8" w:space="0" w:color="000000"/>
            </w:tcBorders>
            <w:hideMark/>
          </w:tcPr>
          <w:p w14:paraId="0CA8E488"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2011. </w:t>
            </w:r>
          </w:p>
        </w:tc>
        <w:tc>
          <w:tcPr>
            <w:tcW w:w="1736" w:type="dxa"/>
            <w:tcBorders>
              <w:top w:val="single" w:sz="8" w:space="0" w:color="000000"/>
              <w:left w:val="single" w:sz="8" w:space="0" w:color="000000"/>
              <w:bottom w:val="single" w:sz="8" w:space="0" w:color="000000"/>
              <w:right w:val="single" w:sz="8" w:space="0" w:color="000000"/>
            </w:tcBorders>
            <w:hideMark/>
          </w:tcPr>
          <w:p w14:paraId="4653F95E"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13.876.433 </w:t>
            </w:r>
          </w:p>
        </w:tc>
        <w:tc>
          <w:tcPr>
            <w:tcW w:w="850" w:type="dxa"/>
            <w:tcBorders>
              <w:top w:val="single" w:sz="8" w:space="0" w:color="000000"/>
              <w:left w:val="single" w:sz="8" w:space="0" w:color="000000"/>
              <w:bottom w:val="single" w:sz="8" w:space="0" w:color="000000"/>
              <w:right w:val="single" w:sz="8" w:space="0" w:color="000000"/>
            </w:tcBorders>
            <w:hideMark/>
          </w:tcPr>
          <w:p w14:paraId="1E925B53" w14:textId="77777777" w:rsidR="00415EDE" w:rsidRPr="005907A3" w:rsidRDefault="00415EDE" w:rsidP="00F22E15">
            <w:pPr>
              <w:spacing w:after="0" w:line="256" w:lineRule="auto"/>
              <w:ind w:right="46"/>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100 </w:t>
            </w:r>
          </w:p>
        </w:tc>
        <w:tc>
          <w:tcPr>
            <w:tcW w:w="978" w:type="dxa"/>
            <w:tcBorders>
              <w:top w:val="single" w:sz="8" w:space="0" w:color="000000"/>
              <w:left w:val="single" w:sz="8" w:space="0" w:color="000000"/>
              <w:bottom w:val="single" w:sz="8" w:space="0" w:color="000000"/>
              <w:right w:val="single" w:sz="8" w:space="0" w:color="000000"/>
            </w:tcBorders>
            <w:hideMark/>
          </w:tcPr>
          <w:p w14:paraId="6FC64043" w14:textId="77777777" w:rsidR="00415EDE" w:rsidRPr="005907A3" w:rsidRDefault="00415EDE" w:rsidP="00F22E15">
            <w:pPr>
              <w:spacing w:after="0" w:line="256" w:lineRule="auto"/>
              <w:ind w:right="46"/>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 </w:t>
            </w:r>
          </w:p>
        </w:tc>
        <w:tc>
          <w:tcPr>
            <w:tcW w:w="1736" w:type="dxa"/>
            <w:tcBorders>
              <w:top w:val="single" w:sz="8" w:space="0" w:color="000000"/>
              <w:left w:val="single" w:sz="8" w:space="0" w:color="000000"/>
              <w:bottom w:val="single" w:sz="8" w:space="0" w:color="000000"/>
              <w:right w:val="single" w:sz="8" w:space="0" w:color="000000"/>
            </w:tcBorders>
            <w:hideMark/>
          </w:tcPr>
          <w:p w14:paraId="239C44A0"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41.747.610 </w:t>
            </w:r>
          </w:p>
        </w:tc>
        <w:tc>
          <w:tcPr>
            <w:tcW w:w="892" w:type="dxa"/>
            <w:tcBorders>
              <w:top w:val="single" w:sz="8" w:space="0" w:color="000000"/>
              <w:left w:val="single" w:sz="8" w:space="0" w:color="000000"/>
              <w:bottom w:val="single" w:sz="8" w:space="0" w:color="000000"/>
              <w:right w:val="single" w:sz="8" w:space="0" w:color="000000"/>
            </w:tcBorders>
            <w:hideMark/>
          </w:tcPr>
          <w:p w14:paraId="3D017263"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100 </w:t>
            </w:r>
          </w:p>
        </w:tc>
        <w:tc>
          <w:tcPr>
            <w:tcW w:w="977" w:type="dxa"/>
            <w:tcBorders>
              <w:top w:val="single" w:sz="8" w:space="0" w:color="000000"/>
              <w:left w:val="single" w:sz="8" w:space="0" w:color="000000"/>
              <w:bottom w:val="single" w:sz="8" w:space="0" w:color="000000"/>
              <w:right w:val="single" w:sz="8" w:space="0" w:color="000000"/>
            </w:tcBorders>
            <w:hideMark/>
          </w:tcPr>
          <w:p w14:paraId="7B8E05A5"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 </w:t>
            </w:r>
          </w:p>
        </w:tc>
        <w:tc>
          <w:tcPr>
            <w:tcW w:w="806" w:type="dxa"/>
            <w:tcBorders>
              <w:top w:val="single" w:sz="8" w:space="0" w:color="000000"/>
              <w:left w:val="single" w:sz="8" w:space="0" w:color="000000"/>
              <w:bottom w:val="single" w:sz="8" w:space="0" w:color="000000"/>
              <w:right w:val="single" w:sz="8" w:space="0" w:color="000000"/>
            </w:tcBorders>
            <w:hideMark/>
          </w:tcPr>
          <w:p w14:paraId="127B884D"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33,2 </w:t>
            </w:r>
          </w:p>
        </w:tc>
      </w:tr>
      <w:tr w:rsidR="007A2522" w:rsidRPr="00B66BE0" w14:paraId="4E2E5090" w14:textId="77777777" w:rsidTr="00F22E15">
        <w:trPr>
          <w:trHeight w:val="334"/>
        </w:trPr>
        <w:tc>
          <w:tcPr>
            <w:tcW w:w="978" w:type="dxa"/>
            <w:tcBorders>
              <w:top w:val="single" w:sz="8" w:space="0" w:color="000000"/>
              <w:left w:val="single" w:sz="8" w:space="0" w:color="000000"/>
              <w:bottom w:val="single" w:sz="8" w:space="0" w:color="000000"/>
              <w:right w:val="single" w:sz="8" w:space="0" w:color="000000"/>
            </w:tcBorders>
            <w:hideMark/>
          </w:tcPr>
          <w:p w14:paraId="39B945F3"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2012. </w:t>
            </w:r>
          </w:p>
        </w:tc>
        <w:tc>
          <w:tcPr>
            <w:tcW w:w="1736" w:type="dxa"/>
            <w:tcBorders>
              <w:top w:val="single" w:sz="8" w:space="0" w:color="000000"/>
              <w:left w:val="single" w:sz="8" w:space="0" w:color="000000"/>
              <w:bottom w:val="single" w:sz="8" w:space="0" w:color="000000"/>
              <w:right w:val="single" w:sz="8" w:space="0" w:color="000000"/>
            </w:tcBorders>
            <w:hideMark/>
          </w:tcPr>
          <w:p w14:paraId="13BD5D83"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13.239.278 </w:t>
            </w:r>
          </w:p>
        </w:tc>
        <w:tc>
          <w:tcPr>
            <w:tcW w:w="850" w:type="dxa"/>
            <w:tcBorders>
              <w:top w:val="single" w:sz="8" w:space="0" w:color="000000"/>
              <w:left w:val="single" w:sz="8" w:space="0" w:color="000000"/>
              <w:bottom w:val="single" w:sz="8" w:space="0" w:color="000000"/>
              <w:right w:val="single" w:sz="8" w:space="0" w:color="000000"/>
            </w:tcBorders>
            <w:hideMark/>
          </w:tcPr>
          <w:p w14:paraId="62B92316"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95,4 </w:t>
            </w:r>
          </w:p>
        </w:tc>
        <w:tc>
          <w:tcPr>
            <w:tcW w:w="978" w:type="dxa"/>
            <w:tcBorders>
              <w:top w:val="single" w:sz="8" w:space="0" w:color="000000"/>
              <w:left w:val="single" w:sz="8" w:space="0" w:color="000000"/>
              <w:bottom w:val="single" w:sz="8" w:space="0" w:color="000000"/>
              <w:right w:val="single" w:sz="8" w:space="0" w:color="000000"/>
            </w:tcBorders>
            <w:hideMark/>
          </w:tcPr>
          <w:p w14:paraId="7383DB2E"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95,4 </w:t>
            </w:r>
          </w:p>
        </w:tc>
        <w:tc>
          <w:tcPr>
            <w:tcW w:w="1736" w:type="dxa"/>
            <w:tcBorders>
              <w:top w:val="single" w:sz="8" w:space="0" w:color="000000"/>
              <w:left w:val="single" w:sz="8" w:space="0" w:color="000000"/>
              <w:bottom w:val="single" w:sz="8" w:space="0" w:color="000000"/>
              <w:right w:val="single" w:sz="8" w:space="0" w:color="000000"/>
            </w:tcBorders>
            <w:hideMark/>
          </w:tcPr>
          <w:p w14:paraId="247C6BE6"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39.374.494 </w:t>
            </w:r>
          </w:p>
        </w:tc>
        <w:tc>
          <w:tcPr>
            <w:tcW w:w="892" w:type="dxa"/>
            <w:tcBorders>
              <w:top w:val="single" w:sz="8" w:space="0" w:color="000000"/>
              <w:left w:val="single" w:sz="8" w:space="0" w:color="000000"/>
              <w:bottom w:val="single" w:sz="8" w:space="0" w:color="000000"/>
              <w:right w:val="single" w:sz="8" w:space="0" w:color="000000"/>
            </w:tcBorders>
            <w:hideMark/>
          </w:tcPr>
          <w:p w14:paraId="54441784" w14:textId="77777777" w:rsidR="00415EDE" w:rsidRPr="005907A3" w:rsidRDefault="00415EDE" w:rsidP="00F22E15">
            <w:pPr>
              <w:spacing w:after="0" w:line="256" w:lineRule="auto"/>
              <w:ind w:right="43"/>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94,3 </w:t>
            </w:r>
          </w:p>
        </w:tc>
        <w:tc>
          <w:tcPr>
            <w:tcW w:w="977" w:type="dxa"/>
            <w:tcBorders>
              <w:top w:val="single" w:sz="8" w:space="0" w:color="000000"/>
              <w:left w:val="single" w:sz="8" w:space="0" w:color="000000"/>
              <w:bottom w:val="single" w:sz="8" w:space="0" w:color="000000"/>
              <w:right w:val="single" w:sz="8" w:space="0" w:color="000000"/>
            </w:tcBorders>
            <w:hideMark/>
          </w:tcPr>
          <w:p w14:paraId="53470F4C" w14:textId="77777777" w:rsidR="00415EDE" w:rsidRPr="005907A3" w:rsidRDefault="00415EDE" w:rsidP="00F22E15">
            <w:pPr>
              <w:spacing w:after="0" w:line="256" w:lineRule="auto"/>
              <w:ind w:right="49"/>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94,3 </w:t>
            </w:r>
          </w:p>
        </w:tc>
        <w:tc>
          <w:tcPr>
            <w:tcW w:w="806" w:type="dxa"/>
            <w:tcBorders>
              <w:top w:val="single" w:sz="8" w:space="0" w:color="000000"/>
              <w:left w:val="single" w:sz="8" w:space="0" w:color="000000"/>
              <w:bottom w:val="single" w:sz="8" w:space="0" w:color="000000"/>
              <w:right w:val="single" w:sz="8" w:space="0" w:color="000000"/>
            </w:tcBorders>
            <w:hideMark/>
          </w:tcPr>
          <w:p w14:paraId="6822C979"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33,6 </w:t>
            </w:r>
          </w:p>
        </w:tc>
      </w:tr>
      <w:tr w:rsidR="007A2522" w:rsidRPr="00B66BE0" w14:paraId="4ADB6BC3" w14:textId="77777777" w:rsidTr="00F22E15">
        <w:trPr>
          <w:trHeight w:val="336"/>
        </w:trPr>
        <w:tc>
          <w:tcPr>
            <w:tcW w:w="978" w:type="dxa"/>
            <w:tcBorders>
              <w:top w:val="single" w:sz="8" w:space="0" w:color="000000"/>
              <w:left w:val="single" w:sz="8" w:space="0" w:color="000000"/>
              <w:bottom w:val="single" w:sz="8" w:space="0" w:color="000000"/>
              <w:right w:val="single" w:sz="8" w:space="0" w:color="000000"/>
            </w:tcBorders>
            <w:hideMark/>
          </w:tcPr>
          <w:p w14:paraId="7A0125A5"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2013. </w:t>
            </w:r>
          </w:p>
        </w:tc>
        <w:tc>
          <w:tcPr>
            <w:tcW w:w="1736" w:type="dxa"/>
            <w:tcBorders>
              <w:top w:val="single" w:sz="8" w:space="0" w:color="000000"/>
              <w:left w:val="single" w:sz="8" w:space="0" w:color="000000"/>
              <w:bottom w:val="single" w:sz="8" w:space="0" w:color="000000"/>
              <w:right w:val="single" w:sz="8" w:space="0" w:color="000000"/>
            </w:tcBorders>
            <w:hideMark/>
          </w:tcPr>
          <w:p w14:paraId="190E2993"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12.350.029 </w:t>
            </w:r>
          </w:p>
        </w:tc>
        <w:tc>
          <w:tcPr>
            <w:tcW w:w="850" w:type="dxa"/>
            <w:tcBorders>
              <w:top w:val="single" w:sz="8" w:space="0" w:color="000000"/>
              <w:left w:val="single" w:sz="8" w:space="0" w:color="000000"/>
              <w:bottom w:val="single" w:sz="8" w:space="0" w:color="000000"/>
              <w:right w:val="single" w:sz="8" w:space="0" w:color="000000"/>
            </w:tcBorders>
            <w:hideMark/>
          </w:tcPr>
          <w:p w14:paraId="4F5D9EFA"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89,0 </w:t>
            </w:r>
          </w:p>
        </w:tc>
        <w:tc>
          <w:tcPr>
            <w:tcW w:w="978" w:type="dxa"/>
            <w:tcBorders>
              <w:top w:val="single" w:sz="8" w:space="0" w:color="000000"/>
              <w:left w:val="single" w:sz="8" w:space="0" w:color="000000"/>
              <w:bottom w:val="single" w:sz="8" w:space="0" w:color="000000"/>
              <w:right w:val="single" w:sz="8" w:space="0" w:color="000000"/>
            </w:tcBorders>
            <w:hideMark/>
          </w:tcPr>
          <w:p w14:paraId="55A8CDF6"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93,3 </w:t>
            </w:r>
          </w:p>
        </w:tc>
        <w:tc>
          <w:tcPr>
            <w:tcW w:w="1736" w:type="dxa"/>
            <w:tcBorders>
              <w:top w:val="single" w:sz="8" w:space="0" w:color="000000"/>
              <w:left w:val="single" w:sz="8" w:space="0" w:color="000000"/>
              <w:bottom w:val="single" w:sz="8" w:space="0" w:color="000000"/>
              <w:right w:val="single" w:sz="8" w:space="0" w:color="000000"/>
            </w:tcBorders>
            <w:hideMark/>
          </w:tcPr>
          <w:p w14:paraId="47F23AD9"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40.322.624 </w:t>
            </w:r>
          </w:p>
        </w:tc>
        <w:tc>
          <w:tcPr>
            <w:tcW w:w="892" w:type="dxa"/>
            <w:tcBorders>
              <w:top w:val="single" w:sz="8" w:space="0" w:color="000000"/>
              <w:left w:val="single" w:sz="8" w:space="0" w:color="000000"/>
              <w:bottom w:val="single" w:sz="8" w:space="0" w:color="000000"/>
              <w:right w:val="single" w:sz="8" w:space="0" w:color="000000"/>
            </w:tcBorders>
            <w:hideMark/>
          </w:tcPr>
          <w:p w14:paraId="32C86090" w14:textId="77777777" w:rsidR="00415EDE" w:rsidRPr="005907A3" w:rsidRDefault="00415EDE" w:rsidP="00F22E15">
            <w:pPr>
              <w:spacing w:after="0" w:line="256" w:lineRule="auto"/>
              <w:ind w:right="43"/>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96,6 </w:t>
            </w:r>
          </w:p>
        </w:tc>
        <w:tc>
          <w:tcPr>
            <w:tcW w:w="977" w:type="dxa"/>
            <w:tcBorders>
              <w:top w:val="single" w:sz="8" w:space="0" w:color="000000"/>
              <w:left w:val="single" w:sz="8" w:space="0" w:color="000000"/>
              <w:bottom w:val="single" w:sz="8" w:space="0" w:color="000000"/>
              <w:right w:val="single" w:sz="8" w:space="0" w:color="000000"/>
            </w:tcBorders>
            <w:hideMark/>
          </w:tcPr>
          <w:p w14:paraId="4C2D43F6" w14:textId="77777777" w:rsidR="00415EDE" w:rsidRPr="005907A3" w:rsidRDefault="00415EDE" w:rsidP="00F22E15">
            <w:pPr>
              <w:spacing w:after="0" w:line="256" w:lineRule="auto"/>
              <w:ind w:right="49"/>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102,4 </w:t>
            </w:r>
          </w:p>
        </w:tc>
        <w:tc>
          <w:tcPr>
            <w:tcW w:w="806" w:type="dxa"/>
            <w:tcBorders>
              <w:top w:val="single" w:sz="8" w:space="0" w:color="000000"/>
              <w:left w:val="single" w:sz="8" w:space="0" w:color="000000"/>
              <w:bottom w:val="single" w:sz="8" w:space="0" w:color="000000"/>
              <w:right w:val="single" w:sz="8" w:space="0" w:color="000000"/>
            </w:tcBorders>
            <w:hideMark/>
          </w:tcPr>
          <w:p w14:paraId="7F95116D"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30,6 </w:t>
            </w:r>
          </w:p>
        </w:tc>
      </w:tr>
      <w:tr w:rsidR="007A2522" w:rsidRPr="00B66BE0" w14:paraId="2CEB59A0" w14:textId="77777777" w:rsidTr="00F22E15">
        <w:trPr>
          <w:trHeight w:val="336"/>
        </w:trPr>
        <w:tc>
          <w:tcPr>
            <w:tcW w:w="978" w:type="dxa"/>
            <w:tcBorders>
              <w:top w:val="single" w:sz="8" w:space="0" w:color="000000"/>
              <w:left w:val="single" w:sz="8" w:space="0" w:color="000000"/>
              <w:bottom w:val="single" w:sz="8" w:space="0" w:color="000000"/>
              <w:right w:val="single" w:sz="8" w:space="0" w:color="000000"/>
            </w:tcBorders>
            <w:hideMark/>
          </w:tcPr>
          <w:p w14:paraId="35B89EDD"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2014. </w:t>
            </w:r>
          </w:p>
        </w:tc>
        <w:tc>
          <w:tcPr>
            <w:tcW w:w="1736" w:type="dxa"/>
            <w:tcBorders>
              <w:top w:val="single" w:sz="8" w:space="0" w:color="000000"/>
              <w:left w:val="single" w:sz="8" w:space="0" w:color="000000"/>
              <w:bottom w:val="single" w:sz="8" w:space="0" w:color="000000"/>
              <w:right w:val="single" w:sz="8" w:space="0" w:color="000000"/>
            </w:tcBorders>
            <w:hideMark/>
          </w:tcPr>
          <w:p w14:paraId="06B3433B"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12.427.856 </w:t>
            </w:r>
          </w:p>
        </w:tc>
        <w:tc>
          <w:tcPr>
            <w:tcW w:w="850" w:type="dxa"/>
            <w:tcBorders>
              <w:top w:val="single" w:sz="8" w:space="0" w:color="000000"/>
              <w:left w:val="single" w:sz="8" w:space="0" w:color="000000"/>
              <w:bottom w:val="single" w:sz="8" w:space="0" w:color="000000"/>
              <w:right w:val="single" w:sz="8" w:space="0" w:color="000000"/>
            </w:tcBorders>
            <w:hideMark/>
          </w:tcPr>
          <w:p w14:paraId="2626D1BA"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89,6 </w:t>
            </w:r>
          </w:p>
        </w:tc>
        <w:tc>
          <w:tcPr>
            <w:tcW w:w="978" w:type="dxa"/>
            <w:tcBorders>
              <w:top w:val="single" w:sz="8" w:space="0" w:color="000000"/>
              <w:left w:val="single" w:sz="8" w:space="0" w:color="000000"/>
              <w:bottom w:val="single" w:sz="8" w:space="0" w:color="000000"/>
              <w:right w:val="single" w:sz="8" w:space="0" w:color="000000"/>
            </w:tcBorders>
            <w:hideMark/>
          </w:tcPr>
          <w:p w14:paraId="3A489540"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100,6 </w:t>
            </w:r>
          </w:p>
        </w:tc>
        <w:tc>
          <w:tcPr>
            <w:tcW w:w="1736" w:type="dxa"/>
            <w:tcBorders>
              <w:top w:val="single" w:sz="8" w:space="0" w:color="000000"/>
              <w:left w:val="single" w:sz="8" w:space="0" w:color="000000"/>
              <w:bottom w:val="single" w:sz="8" w:space="0" w:color="000000"/>
              <w:right w:val="single" w:sz="8" w:space="0" w:color="000000"/>
            </w:tcBorders>
            <w:hideMark/>
          </w:tcPr>
          <w:p w14:paraId="0D92996F"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41.116.785 </w:t>
            </w:r>
          </w:p>
        </w:tc>
        <w:tc>
          <w:tcPr>
            <w:tcW w:w="892" w:type="dxa"/>
            <w:tcBorders>
              <w:top w:val="single" w:sz="8" w:space="0" w:color="000000"/>
              <w:left w:val="single" w:sz="8" w:space="0" w:color="000000"/>
              <w:bottom w:val="single" w:sz="8" w:space="0" w:color="000000"/>
              <w:right w:val="single" w:sz="8" w:space="0" w:color="000000"/>
            </w:tcBorders>
            <w:hideMark/>
          </w:tcPr>
          <w:p w14:paraId="4C15015A"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98,5 </w:t>
            </w:r>
          </w:p>
        </w:tc>
        <w:tc>
          <w:tcPr>
            <w:tcW w:w="977" w:type="dxa"/>
            <w:tcBorders>
              <w:top w:val="single" w:sz="8" w:space="0" w:color="000000"/>
              <w:left w:val="single" w:sz="8" w:space="0" w:color="000000"/>
              <w:bottom w:val="single" w:sz="8" w:space="0" w:color="000000"/>
              <w:right w:val="single" w:sz="8" w:space="0" w:color="000000"/>
            </w:tcBorders>
            <w:hideMark/>
          </w:tcPr>
          <w:p w14:paraId="5CE1C537" w14:textId="77777777" w:rsidR="00415EDE" w:rsidRPr="005907A3" w:rsidRDefault="00415EDE" w:rsidP="00F22E15">
            <w:pPr>
              <w:spacing w:after="0" w:line="256" w:lineRule="auto"/>
              <w:ind w:right="49"/>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102,0 </w:t>
            </w:r>
          </w:p>
        </w:tc>
        <w:tc>
          <w:tcPr>
            <w:tcW w:w="806" w:type="dxa"/>
            <w:tcBorders>
              <w:top w:val="single" w:sz="8" w:space="0" w:color="000000"/>
              <w:left w:val="single" w:sz="8" w:space="0" w:color="000000"/>
              <w:bottom w:val="single" w:sz="8" w:space="0" w:color="000000"/>
              <w:right w:val="single" w:sz="8" w:space="0" w:color="000000"/>
            </w:tcBorders>
            <w:hideMark/>
          </w:tcPr>
          <w:p w14:paraId="5C57C1EB"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30,2 </w:t>
            </w:r>
          </w:p>
        </w:tc>
      </w:tr>
      <w:tr w:rsidR="007A2522" w:rsidRPr="00B66BE0" w14:paraId="3F28E8F5" w14:textId="77777777" w:rsidTr="00F22E15">
        <w:trPr>
          <w:trHeight w:val="334"/>
        </w:trPr>
        <w:tc>
          <w:tcPr>
            <w:tcW w:w="978" w:type="dxa"/>
            <w:tcBorders>
              <w:top w:val="single" w:sz="8" w:space="0" w:color="000000"/>
              <w:left w:val="single" w:sz="8" w:space="0" w:color="000000"/>
              <w:bottom w:val="single" w:sz="8" w:space="0" w:color="000000"/>
              <w:right w:val="single" w:sz="8" w:space="0" w:color="000000"/>
            </w:tcBorders>
            <w:hideMark/>
          </w:tcPr>
          <w:p w14:paraId="6B1DB520"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2015. </w:t>
            </w:r>
          </w:p>
        </w:tc>
        <w:tc>
          <w:tcPr>
            <w:tcW w:w="1736" w:type="dxa"/>
            <w:tcBorders>
              <w:top w:val="single" w:sz="8" w:space="0" w:color="000000"/>
              <w:left w:val="single" w:sz="8" w:space="0" w:color="000000"/>
              <w:bottom w:val="single" w:sz="8" w:space="0" w:color="000000"/>
              <w:right w:val="single" w:sz="8" w:space="0" w:color="000000"/>
            </w:tcBorders>
            <w:hideMark/>
          </w:tcPr>
          <w:p w14:paraId="6DBA8BA0"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12.039.745 </w:t>
            </w:r>
          </w:p>
        </w:tc>
        <w:tc>
          <w:tcPr>
            <w:tcW w:w="850" w:type="dxa"/>
            <w:tcBorders>
              <w:top w:val="single" w:sz="8" w:space="0" w:color="000000"/>
              <w:left w:val="single" w:sz="8" w:space="0" w:color="000000"/>
              <w:bottom w:val="single" w:sz="8" w:space="0" w:color="000000"/>
              <w:right w:val="single" w:sz="8" w:space="0" w:color="000000"/>
            </w:tcBorders>
            <w:hideMark/>
          </w:tcPr>
          <w:p w14:paraId="288B74D5"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86,8 </w:t>
            </w:r>
          </w:p>
        </w:tc>
        <w:tc>
          <w:tcPr>
            <w:tcW w:w="978" w:type="dxa"/>
            <w:tcBorders>
              <w:top w:val="single" w:sz="8" w:space="0" w:color="000000"/>
              <w:left w:val="single" w:sz="8" w:space="0" w:color="000000"/>
              <w:bottom w:val="single" w:sz="8" w:space="0" w:color="000000"/>
              <w:right w:val="single" w:sz="8" w:space="0" w:color="000000"/>
            </w:tcBorders>
            <w:hideMark/>
          </w:tcPr>
          <w:p w14:paraId="090DE507"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96,9 </w:t>
            </w:r>
          </w:p>
        </w:tc>
        <w:tc>
          <w:tcPr>
            <w:tcW w:w="1736" w:type="dxa"/>
            <w:tcBorders>
              <w:top w:val="single" w:sz="8" w:space="0" w:color="000000"/>
              <w:left w:val="single" w:sz="8" w:space="0" w:color="000000"/>
              <w:bottom w:val="single" w:sz="8" w:space="0" w:color="000000"/>
              <w:right w:val="single" w:sz="8" w:space="0" w:color="000000"/>
            </w:tcBorders>
            <w:hideMark/>
          </w:tcPr>
          <w:p w14:paraId="7517E241"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41.819.927 </w:t>
            </w:r>
          </w:p>
        </w:tc>
        <w:tc>
          <w:tcPr>
            <w:tcW w:w="892" w:type="dxa"/>
            <w:tcBorders>
              <w:top w:val="single" w:sz="8" w:space="0" w:color="000000"/>
              <w:left w:val="single" w:sz="8" w:space="0" w:color="000000"/>
              <w:bottom w:val="single" w:sz="8" w:space="0" w:color="000000"/>
              <w:right w:val="single" w:sz="8" w:space="0" w:color="000000"/>
            </w:tcBorders>
            <w:hideMark/>
          </w:tcPr>
          <w:p w14:paraId="304FD7F7" w14:textId="77777777" w:rsidR="00415EDE" w:rsidRPr="005907A3" w:rsidRDefault="00415EDE" w:rsidP="00F22E15">
            <w:pPr>
              <w:spacing w:after="0" w:line="256" w:lineRule="auto"/>
              <w:ind w:right="41"/>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100,2 </w:t>
            </w:r>
          </w:p>
        </w:tc>
        <w:tc>
          <w:tcPr>
            <w:tcW w:w="977" w:type="dxa"/>
            <w:tcBorders>
              <w:top w:val="single" w:sz="8" w:space="0" w:color="000000"/>
              <w:left w:val="single" w:sz="8" w:space="0" w:color="000000"/>
              <w:bottom w:val="single" w:sz="8" w:space="0" w:color="000000"/>
              <w:right w:val="single" w:sz="8" w:space="0" w:color="000000"/>
            </w:tcBorders>
            <w:hideMark/>
          </w:tcPr>
          <w:p w14:paraId="021CFE6B" w14:textId="77777777" w:rsidR="00415EDE" w:rsidRPr="005907A3" w:rsidRDefault="00415EDE" w:rsidP="00F22E15">
            <w:pPr>
              <w:spacing w:after="0" w:line="256" w:lineRule="auto"/>
              <w:ind w:right="49"/>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101,7 </w:t>
            </w:r>
          </w:p>
        </w:tc>
        <w:tc>
          <w:tcPr>
            <w:tcW w:w="806" w:type="dxa"/>
            <w:tcBorders>
              <w:top w:val="single" w:sz="8" w:space="0" w:color="000000"/>
              <w:left w:val="single" w:sz="8" w:space="0" w:color="000000"/>
              <w:bottom w:val="single" w:sz="8" w:space="0" w:color="000000"/>
              <w:right w:val="single" w:sz="8" w:space="0" w:color="000000"/>
            </w:tcBorders>
            <w:hideMark/>
          </w:tcPr>
          <w:p w14:paraId="2D5900A0"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28,8 </w:t>
            </w:r>
          </w:p>
        </w:tc>
      </w:tr>
      <w:tr w:rsidR="007A2522" w:rsidRPr="00B66BE0" w14:paraId="55F23B63" w14:textId="77777777" w:rsidTr="00F22E15">
        <w:trPr>
          <w:trHeight w:val="331"/>
        </w:trPr>
        <w:tc>
          <w:tcPr>
            <w:tcW w:w="978" w:type="dxa"/>
            <w:tcBorders>
              <w:top w:val="single" w:sz="8" w:space="0" w:color="000000"/>
              <w:left w:val="single" w:sz="8" w:space="0" w:color="000000"/>
              <w:bottom w:val="single" w:sz="4" w:space="0" w:color="000000"/>
              <w:right w:val="single" w:sz="8" w:space="0" w:color="000000"/>
            </w:tcBorders>
            <w:hideMark/>
          </w:tcPr>
          <w:p w14:paraId="3C86AD45"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2016. </w:t>
            </w:r>
          </w:p>
        </w:tc>
        <w:tc>
          <w:tcPr>
            <w:tcW w:w="1736" w:type="dxa"/>
            <w:tcBorders>
              <w:top w:val="single" w:sz="8" w:space="0" w:color="000000"/>
              <w:left w:val="single" w:sz="8" w:space="0" w:color="000000"/>
              <w:bottom w:val="single" w:sz="4" w:space="0" w:color="000000"/>
              <w:right w:val="single" w:sz="8" w:space="0" w:color="000000"/>
            </w:tcBorders>
            <w:hideMark/>
          </w:tcPr>
          <w:p w14:paraId="15B212FA"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13.072.963 </w:t>
            </w:r>
          </w:p>
        </w:tc>
        <w:tc>
          <w:tcPr>
            <w:tcW w:w="850" w:type="dxa"/>
            <w:tcBorders>
              <w:top w:val="single" w:sz="8" w:space="0" w:color="000000"/>
              <w:left w:val="single" w:sz="8" w:space="0" w:color="000000"/>
              <w:bottom w:val="single" w:sz="4" w:space="0" w:color="000000"/>
              <w:right w:val="single" w:sz="8" w:space="0" w:color="000000"/>
            </w:tcBorders>
            <w:hideMark/>
          </w:tcPr>
          <w:p w14:paraId="6B8EAB4D"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94,2 </w:t>
            </w:r>
          </w:p>
        </w:tc>
        <w:tc>
          <w:tcPr>
            <w:tcW w:w="978" w:type="dxa"/>
            <w:tcBorders>
              <w:top w:val="single" w:sz="8" w:space="0" w:color="000000"/>
              <w:left w:val="single" w:sz="8" w:space="0" w:color="000000"/>
              <w:bottom w:val="single" w:sz="4" w:space="0" w:color="000000"/>
              <w:right w:val="single" w:sz="8" w:space="0" w:color="000000"/>
            </w:tcBorders>
            <w:hideMark/>
          </w:tcPr>
          <w:p w14:paraId="5B4EA8CD"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108,6 </w:t>
            </w:r>
          </w:p>
        </w:tc>
        <w:tc>
          <w:tcPr>
            <w:tcW w:w="1736" w:type="dxa"/>
            <w:tcBorders>
              <w:top w:val="single" w:sz="8" w:space="0" w:color="000000"/>
              <w:left w:val="single" w:sz="8" w:space="0" w:color="000000"/>
              <w:bottom w:val="single" w:sz="4" w:space="0" w:color="000000"/>
              <w:right w:val="single" w:sz="8" w:space="0" w:color="000000"/>
            </w:tcBorders>
            <w:hideMark/>
          </w:tcPr>
          <w:p w14:paraId="73AE95D0"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44.339.846 </w:t>
            </w:r>
          </w:p>
        </w:tc>
        <w:tc>
          <w:tcPr>
            <w:tcW w:w="892" w:type="dxa"/>
            <w:tcBorders>
              <w:top w:val="single" w:sz="8" w:space="0" w:color="000000"/>
              <w:left w:val="single" w:sz="8" w:space="0" w:color="000000"/>
              <w:bottom w:val="single" w:sz="4" w:space="0" w:color="000000"/>
              <w:right w:val="single" w:sz="8" w:space="0" w:color="000000"/>
            </w:tcBorders>
            <w:hideMark/>
          </w:tcPr>
          <w:p w14:paraId="0BB6487F" w14:textId="77777777" w:rsidR="00415EDE" w:rsidRPr="005907A3" w:rsidRDefault="00415EDE" w:rsidP="00F22E15">
            <w:pPr>
              <w:spacing w:after="0" w:line="256" w:lineRule="auto"/>
              <w:ind w:right="4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106,2 </w:t>
            </w:r>
          </w:p>
        </w:tc>
        <w:tc>
          <w:tcPr>
            <w:tcW w:w="977" w:type="dxa"/>
            <w:tcBorders>
              <w:top w:val="single" w:sz="8" w:space="0" w:color="000000"/>
              <w:left w:val="single" w:sz="8" w:space="0" w:color="000000"/>
              <w:bottom w:val="single" w:sz="4" w:space="0" w:color="000000"/>
              <w:right w:val="single" w:sz="8" w:space="0" w:color="000000"/>
            </w:tcBorders>
            <w:hideMark/>
          </w:tcPr>
          <w:p w14:paraId="6B07F465" w14:textId="77777777" w:rsidR="00415EDE" w:rsidRPr="005907A3" w:rsidRDefault="00415EDE" w:rsidP="00F22E15">
            <w:pPr>
              <w:spacing w:after="0" w:line="256" w:lineRule="auto"/>
              <w:ind w:right="5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106,0 </w:t>
            </w:r>
          </w:p>
        </w:tc>
        <w:tc>
          <w:tcPr>
            <w:tcW w:w="806" w:type="dxa"/>
            <w:tcBorders>
              <w:top w:val="single" w:sz="8" w:space="0" w:color="000000"/>
              <w:left w:val="single" w:sz="8" w:space="0" w:color="000000"/>
              <w:bottom w:val="single" w:sz="4" w:space="0" w:color="000000"/>
              <w:right w:val="single" w:sz="8" w:space="0" w:color="000000"/>
            </w:tcBorders>
            <w:hideMark/>
          </w:tcPr>
          <w:p w14:paraId="2B37B2BD" w14:textId="77777777" w:rsidR="00415EDE" w:rsidRPr="005907A3" w:rsidRDefault="00415EDE" w:rsidP="00F22E15">
            <w:pPr>
              <w:spacing w:after="0" w:line="256" w:lineRule="auto"/>
              <w:ind w:right="46"/>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29,5 </w:t>
            </w:r>
          </w:p>
        </w:tc>
      </w:tr>
      <w:tr w:rsidR="007A2522" w:rsidRPr="00B66BE0" w14:paraId="09DB24CE" w14:textId="77777777" w:rsidTr="00F22E15">
        <w:trPr>
          <w:trHeight w:val="324"/>
        </w:trPr>
        <w:tc>
          <w:tcPr>
            <w:tcW w:w="978" w:type="dxa"/>
            <w:tcBorders>
              <w:top w:val="single" w:sz="4" w:space="0" w:color="000000"/>
              <w:left w:val="single" w:sz="4" w:space="0" w:color="000000"/>
              <w:bottom w:val="single" w:sz="4" w:space="0" w:color="000000"/>
              <w:right w:val="single" w:sz="4" w:space="0" w:color="000000"/>
            </w:tcBorders>
            <w:hideMark/>
          </w:tcPr>
          <w:p w14:paraId="705A42D3"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2017. </w:t>
            </w:r>
          </w:p>
        </w:tc>
        <w:tc>
          <w:tcPr>
            <w:tcW w:w="1736" w:type="dxa"/>
            <w:tcBorders>
              <w:top w:val="single" w:sz="4" w:space="0" w:color="000000"/>
              <w:left w:val="single" w:sz="4" w:space="0" w:color="000000"/>
              <w:bottom w:val="single" w:sz="4" w:space="0" w:color="000000"/>
              <w:right w:val="single" w:sz="4" w:space="0" w:color="000000"/>
            </w:tcBorders>
            <w:hideMark/>
          </w:tcPr>
          <w:p w14:paraId="51C2934F"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12.725.469 </w:t>
            </w:r>
          </w:p>
        </w:tc>
        <w:tc>
          <w:tcPr>
            <w:tcW w:w="850" w:type="dxa"/>
            <w:tcBorders>
              <w:top w:val="single" w:sz="4" w:space="0" w:color="000000"/>
              <w:left w:val="single" w:sz="4" w:space="0" w:color="000000"/>
              <w:bottom w:val="single" w:sz="4" w:space="0" w:color="000000"/>
              <w:right w:val="single" w:sz="4" w:space="0" w:color="000000"/>
            </w:tcBorders>
            <w:hideMark/>
          </w:tcPr>
          <w:p w14:paraId="309A24E0"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91,7 </w:t>
            </w:r>
          </w:p>
        </w:tc>
        <w:tc>
          <w:tcPr>
            <w:tcW w:w="978" w:type="dxa"/>
            <w:tcBorders>
              <w:top w:val="single" w:sz="4" w:space="0" w:color="000000"/>
              <w:left w:val="single" w:sz="4" w:space="0" w:color="000000"/>
              <w:bottom w:val="single" w:sz="4" w:space="0" w:color="000000"/>
              <w:right w:val="single" w:sz="4" w:space="0" w:color="000000"/>
            </w:tcBorders>
            <w:hideMark/>
          </w:tcPr>
          <w:p w14:paraId="248583C9"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97,3 </w:t>
            </w:r>
          </w:p>
        </w:tc>
        <w:tc>
          <w:tcPr>
            <w:tcW w:w="1736" w:type="dxa"/>
            <w:tcBorders>
              <w:top w:val="single" w:sz="4" w:space="0" w:color="000000"/>
              <w:left w:val="single" w:sz="4" w:space="0" w:color="000000"/>
              <w:bottom w:val="single" w:sz="4" w:space="0" w:color="000000"/>
              <w:right w:val="single" w:sz="4" w:space="0" w:color="000000"/>
            </w:tcBorders>
            <w:hideMark/>
          </w:tcPr>
          <w:p w14:paraId="311D8AC4"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46.670.798 </w:t>
            </w:r>
          </w:p>
        </w:tc>
        <w:tc>
          <w:tcPr>
            <w:tcW w:w="892" w:type="dxa"/>
            <w:tcBorders>
              <w:top w:val="single" w:sz="4" w:space="0" w:color="000000"/>
              <w:left w:val="single" w:sz="4" w:space="0" w:color="000000"/>
              <w:bottom w:val="single" w:sz="4" w:space="0" w:color="000000"/>
              <w:right w:val="single" w:sz="4" w:space="0" w:color="000000"/>
            </w:tcBorders>
            <w:hideMark/>
          </w:tcPr>
          <w:p w14:paraId="55614563" w14:textId="77777777" w:rsidR="00415EDE" w:rsidRPr="005907A3" w:rsidRDefault="00415EDE" w:rsidP="00F22E15">
            <w:pPr>
              <w:spacing w:after="0" w:line="256" w:lineRule="auto"/>
              <w:ind w:right="41"/>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111,8 </w:t>
            </w:r>
          </w:p>
        </w:tc>
        <w:tc>
          <w:tcPr>
            <w:tcW w:w="977" w:type="dxa"/>
            <w:tcBorders>
              <w:top w:val="single" w:sz="4" w:space="0" w:color="000000"/>
              <w:left w:val="single" w:sz="4" w:space="0" w:color="000000"/>
              <w:bottom w:val="single" w:sz="4" w:space="0" w:color="000000"/>
              <w:right w:val="single" w:sz="4" w:space="0" w:color="000000"/>
            </w:tcBorders>
            <w:hideMark/>
          </w:tcPr>
          <w:p w14:paraId="0FAFCC0C" w14:textId="77777777" w:rsidR="00415EDE" w:rsidRPr="005907A3" w:rsidRDefault="00415EDE" w:rsidP="00F22E15">
            <w:pPr>
              <w:spacing w:after="0" w:line="256" w:lineRule="auto"/>
              <w:ind w:right="49"/>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105,3 </w:t>
            </w:r>
          </w:p>
        </w:tc>
        <w:tc>
          <w:tcPr>
            <w:tcW w:w="806" w:type="dxa"/>
            <w:tcBorders>
              <w:top w:val="single" w:sz="4" w:space="0" w:color="000000"/>
              <w:left w:val="single" w:sz="4" w:space="0" w:color="000000"/>
              <w:bottom w:val="single" w:sz="4" w:space="0" w:color="000000"/>
              <w:right w:val="single" w:sz="4" w:space="0" w:color="000000"/>
            </w:tcBorders>
            <w:hideMark/>
          </w:tcPr>
          <w:p w14:paraId="66339D1B" w14:textId="77777777" w:rsidR="00415EDE" w:rsidRPr="005907A3" w:rsidRDefault="00415EDE" w:rsidP="00F22E15">
            <w:pPr>
              <w:spacing w:after="0" w:line="256" w:lineRule="auto"/>
              <w:ind w:right="47"/>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27,3 </w:t>
            </w:r>
          </w:p>
        </w:tc>
      </w:tr>
      <w:tr w:rsidR="007A2522" w:rsidRPr="00B66BE0" w14:paraId="113ABEC8" w14:textId="77777777" w:rsidTr="00F22E15">
        <w:trPr>
          <w:trHeight w:val="326"/>
        </w:trPr>
        <w:tc>
          <w:tcPr>
            <w:tcW w:w="978" w:type="dxa"/>
            <w:tcBorders>
              <w:top w:val="single" w:sz="4" w:space="0" w:color="000000"/>
              <w:left w:val="single" w:sz="4" w:space="0" w:color="000000"/>
              <w:bottom w:val="single" w:sz="4" w:space="0" w:color="000000"/>
              <w:right w:val="single" w:sz="4" w:space="0" w:color="000000"/>
            </w:tcBorders>
            <w:hideMark/>
          </w:tcPr>
          <w:p w14:paraId="73BDEE09"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2018. </w:t>
            </w:r>
          </w:p>
        </w:tc>
        <w:tc>
          <w:tcPr>
            <w:tcW w:w="1736" w:type="dxa"/>
            <w:tcBorders>
              <w:top w:val="single" w:sz="4" w:space="0" w:color="000000"/>
              <w:left w:val="single" w:sz="4" w:space="0" w:color="000000"/>
              <w:bottom w:val="single" w:sz="4" w:space="0" w:color="000000"/>
              <w:right w:val="single" w:sz="4" w:space="0" w:color="000000"/>
            </w:tcBorders>
            <w:hideMark/>
          </w:tcPr>
          <w:p w14:paraId="5861CA3A"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13.398.871 </w:t>
            </w:r>
          </w:p>
        </w:tc>
        <w:tc>
          <w:tcPr>
            <w:tcW w:w="850" w:type="dxa"/>
            <w:tcBorders>
              <w:top w:val="single" w:sz="4" w:space="0" w:color="000000"/>
              <w:left w:val="single" w:sz="4" w:space="0" w:color="000000"/>
              <w:bottom w:val="single" w:sz="4" w:space="0" w:color="000000"/>
              <w:right w:val="single" w:sz="4" w:space="0" w:color="000000"/>
            </w:tcBorders>
            <w:hideMark/>
          </w:tcPr>
          <w:p w14:paraId="3A97EFC2"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96,6 </w:t>
            </w:r>
          </w:p>
        </w:tc>
        <w:tc>
          <w:tcPr>
            <w:tcW w:w="978" w:type="dxa"/>
            <w:tcBorders>
              <w:top w:val="single" w:sz="4" w:space="0" w:color="000000"/>
              <w:left w:val="single" w:sz="4" w:space="0" w:color="000000"/>
              <w:bottom w:val="single" w:sz="4" w:space="0" w:color="000000"/>
              <w:right w:val="single" w:sz="4" w:space="0" w:color="000000"/>
            </w:tcBorders>
            <w:hideMark/>
          </w:tcPr>
          <w:p w14:paraId="71D5B366"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105,3 </w:t>
            </w:r>
          </w:p>
        </w:tc>
        <w:tc>
          <w:tcPr>
            <w:tcW w:w="1736" w:type="dxa"/>
            <w:tcBorders>
              <w:top w:val="single" w:sz="4" w:space="0" w:color="000000"/>
              <w:left w:val="single" w:sz="4" w:space="0" w:color="000000"/>
              <w:bottom w:val="single" w:sz="4" w:space="0" w:color="000000"/>
              <w:right w:val="single" w:sz="4" w:space="0" w:color="000000"/>
            </w:tcBorders>
            <w:hideMark/>
          </w:tcPr>
          <w:p w14:paraId="2E504CA9"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49.840.719 </w:t>
            </w:r>
          </w:p>
        </w:tc>
        <w:tc>
          <w:tcPr>
            <w:tcW w:w="892" w:type="dxa"/>
            <w:tcBorders>
              <w:top w:val="single" w:sz="4" w:space="0" w:color="000000"/>
              <w:left w:val="single" w:sz="4" w:space="0" w:color="000000"/>
              <w:bottom w:val="single" w:sz="4" w:space="0" w:color="000000"/>
              <w:right w:val="single" w:sz="4" w:space="0" w:color="000000"/>
            </w:tcBorders>
            <w:hideMark/>
          </w:tcPr>
          <w:p w14:paraId="5999CBEE" w14:textId="77777777" w:rsidR="00415EDE" w:rsidRPr="005907A3" w:rsidRDefault="00415EDE" w:rsidP="00F22E15">
            <w:pPr>
              <w:spacing w:after="0" w:line="256" w:lineRule="auto"/>
              <w:ind w:right="4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119,4 </w:t>
            </w:r>
          </w:p>
        </w:tc>
        <w:tc>
          <w:tcPr>
            <w:tcW w:w="977" w:type="dxa"/>
            <w:tcBorders>
              <w:top w:val="single" w:sz="4" w:space="0" w:color="000000"/>
              <w:left w:val="single" w:sz="4" w:space="0" w:color="000000"/>
              <w:bottom w:val="single" w:sz="4" w:space="0" w:color="000000"/>
              <w:right w:val="single" w:sz="4" w:space="0" w:color="000000"/>
            </w:tcBorders>
            <w:hideMark/>
          </w:tcPr>
          <w:p w14:paraId="7C314FCF" w14:textId="77777777" w:rsidR="00415EDE" w:rsidRPr="005907A3" w:rsidRDefault="00415EDE" w:rsidP="00F22E15">
            <w:pPr>
              <w:spacing w:after="0" w:line="256" w:lineRule="auto"/>
              <w:ind w:right="5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106,8 </w:t>
            </w:r>
          </w:p>
        </w:tc>
        <w:tc>
          <w:tcPr>
            <w:tcW w:w="806" w:type="dxa"/>
            <w:tcBorders>
              <w:top w:val="single" w:sz="4" w:space="0" w:color="000000"/>
              <w:left w:val="single" w:sz="4" w:space="0" w:color="000000"/>
              <w:bottom w:val="single" w:sz="4" w:space="0" w:color="000000"/>
              <w:right w:val="single" w:sz="4" w:space="0" w:color="000000"/>
            </w:tcBorders>
            <w:hideMark/>
          </w:tcPr>
          <w:p w14:paraId="0ACFBD0D" w14:textId="77777777" w:rsidR="00415EDE" w:rsidRPr="005907A3" w:rsidRDefault="00415EDE" w:rsidP="00F22E15">
            <w:pPr>
              <w:spacing w:after="0" w:line="256" w:lineRule="auto"/>
              <w:ind w:right="46"/>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26,9 </w:t>
            </w:r>
          </w:p>
        </w:tc>
      </w:tr>
      <w:tr w:rsidR="007A2522" w:rsidRPr="00B66BE0" w14:paraId="68310C5C" w14:textId="77777777" w:rsidTr="00F22E15">
        <w:trPr>
          <w:trHeight w:val="315"/>
        </w:trPr>
        <w:tc>
          <w:tcPr>
            <w:tcW w:w="978" w:type="dxa"/>
            <w:tcBorders>
              <w:top w:val="single" w:sz="4" w:space="0" w:color="000000"/>
              <w:left w:val="single" w:sz="4" w:space="0" w:color="000000"/>
              <w:bottom w:val="single" w:sz="4" w:space="0" w:color="auto"/>
              <w:right w:val="single" w:sz="4" w:space="0" w:color="000000"/>
            </w:tcBorders>
            <w:hideMark/>
          </w:tcPr>
          <w:p w14:paraId="7AF9E5D5"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2019.</w:t>
            </w:r>
          </w:p>
        </w:tc>
        <w:tc>
          <w:tcPr>
            <w:tcW w:w="1736" w:type="dxa"/>
            <w:tcBorders>
              <w:top w:val="single" w:sz="4" w:space="0" w:color="000000"/>
              <w:left w:val="single" w:sz="4" w:space="0" w:color="000000"/>
              <w:bottom w:val="single" w:sz="4" w:space="0" w:color="auto"/>
              <w:right w:val="single" w:sz="4" w:space="0" w:color="000000"/>
            </w:tcBorders>
            <w:hideMark/>
          </w:tcPr>
          <w:p w14:paraId="5FF32413"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16 036 235</w:t>
            </w:r>
          </w:p>
        </w:tc>
        <w:tc>
          <w:tcPr>
            <w:tcW w:w="850" w:type="dxa"/>
            <w:tcBorders>
              <w:top w:val="single" w:sz="4" w:space="0" w:color="000000"/>
              <w:left w:val="single" w:sz="4" w:space="0" w:color="000000"/>
              <w:bottom w:val="single" w:sz="4" w:space="0" w:color="auto"/>
              <w:right w:val="single" w:sz="4" w:space="0" w:color="000000"/>
            </w:tcBorders>
            <w:hideMark/>
          </w:tcPr>
          <w:p w14:paraId="0DBBC4F2"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115,6 </w:t>
            </w:r>
          </w:p>
        </w:tc>
        <w:tc>
          <w:tcPr>
            <w:tcW w:w="978" w:type="dxa"/>
            <w:tcBorders>
              <w:top w:val="single" w:sz="4" w:space="0" w:color="000000"/>
              <w:left w:val="single" w:sz="4" w:space="0" w:color="000000"/>
              <w:bottom w:val="single" w:sz="4" w:space="0" w:color="auto"/>
              <w:right w:val="single" w:sz="4" w:space="0" w:color="000000"/>
            </w:tcBorders>
            <w:hideMark/>
          </w:tcPr>
          <w:p w14:paraId="777F3BCC"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119,7 </w:t>
            </w:r>
          </w:p>
        </w:tc>
        <w:tc>
          <w:tcPr>
            <w:tcW w:w="1736" w:type="dxa"/>
            <w:tcBorders>
              <w:top w:val="single" w:sz="4" w:space="0" w:color="000000"/>
              <w:left w:val="single" w:sz="4" w:space="0" w:color="000000"/>
              <w:bottom w:val="single" w:sz="4" w:space="0" w:color="auto"/>
              <w:right w:val="single" w:sz="4" w:space="0" w:color="000000"/>
            </w:tcBorders>
            <w:hideMark/>
          </w:tcPr>
          <w:p w14:paraId="6725F0AD"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57 411 447</w:t>
            </w:r>
          </w:p>
        </w:tc>
        <w:tc>
          <w:tcPr>
            <w:tcW w:w="892" w:type="dxa"/>
            <w:tcBorders>
              <w:top w:val="single" w:sz="4" w:space="0" w:color="000000"/>
              <w:left w:val="single" w:sz="4" w:space="0" w:color="000000"/>
              <w:bottom w:val="single" w:sz="4" w:space="0" w:color="auto"/>
              <w:right w:val="single" w:sz="4" w:space="0" w:color="000000"/>
            </w:tcBorders>
            <w:hideMark/>
          </w:tcPr>
          <w:p w14:paraId="358F0885" w14:textId="77777777" w:rsidR="00415EDE" w:rsidRPr="005907A3" w:rsidRDefault="00415EDE" w:rsidP="00F22E15">
            <w:pPr>
              <w:spacing w:after="0" w:line="256" w:lineRule="auto"/>
              <w:ind w:right="4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137,5 </w:t>
            </w:r>
          </w:p>
        </w:tc>
        <w:tc>
          <w:tcPr>
            <w:tcW w:w="977" w:type="dxa"/>
            <w:tcBorders>
              <w:top w:val="single" w:sz="4" w:space="0" w:color="000000"/>
              <w:left w:val="single" w:sz="4" w:space="0" w:color="000000"/>
              <w:bottom w:val="single" w:sz="4" w:space="0" w:color="auto"/>
              <w:right w:val="single" w:sz="4" w:space="0" w:color="000000"/>
            </w:tcBorders>
            <w:hideMark/>
          </w:tcPr>
          <w:p w14:paraId="4B46B0D4" w14:textId="77777777" w:rsidR="00415EDE" w:rsidRPr="005907A3" w:rsidRDefault="00415EDE" w:rsidP="00F22E15">
            <w:pPr>
              <w:spacing w:after="0" w:line="256" w:lineRule="auto"/>
              <w:ind w:right="5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 xml:space="preserve">115,2 </w:t>
            </w:r>
          </w:p>
        </w:tc>
        <w:tc>
          <w:tcPr>
            <w:tcW w:w="806" w:type="dxa"/>
            <w:tcBorders>
              <w:top w:val="single" w:sz="4" w:space="0" w:color="000000"/>
              <w:left w:val="single" w:sz="4" w:space="0" w:color="000000"/>
              <w:bottom w:val="single" w:sz="4" w:space="0" w:color="auto"/>
              <w:right w:val="single" w:sz="4" w:space="0" w:color="000000"/>
            </w:tcBorders>
            <w:hideMark/>
          </w:tcPr>
          <w:p w14:paraId="71FA9F09" w14:textId="77777777" w:rsidR="00415EDE" w:rsidRPr="005907A3" w:rsidRDefault="00415EDE" w:rsidP="00F22E15">
            <w:pPr>
              <w:spacing w:after="0" w:line="256" w:lineRule="auto"/>
              <w:ind w:right="46"/>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27,9</w:t>
            </w:r>
          </w:p>
        </w:tc>
      </w:tr>
      <w:tr w:rsidR="007A2522" w:rsidRPr="00B66BE0" w14:paraId="7A0093F8" w14:textId="77777777" w:rsidTr="00F22E15">
        <w:trPr>
          <w:trHeight w:val="450"/>
        </w:trPr>
        <w:tc>
          <w:tcPr>
            <w:tcW w:w="978" w:type="dxa"/>
            <w:tcBorders>
              <w:top w:val="single" w:sz="4" w:space="0" w:color="auto"/>
              <w:left w:val="single" w:sz="4" w:space="0" w:color="000000"/>
              <w:bottom w:val="single" w:sz="4" w:space="0" w:color="000000"/>
              <w:right w:val="single" w:sz="4" w:space="0" w:color="000000"/>
            </w:tcBorders>
          </w:tcPr>
          <w:p w14:paraId="36D4BE5B" w14:textId="77777777" w:rsidR="00415EDE" w:rsidRPr="005907A3" w:rsidRDefault="00415EDE" w:rsidP="00F22E15">
            <w:pPr>
              <w:spacing w:after="0" w:line="256" w:lineRule="auto"/>
              <w:ind w:right="5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2020.</w:t>
            </w:r>
          </w:p>
        </w:tc>
        <w:tc>
          <w:tcPr>
            <w:tcW w:w="1736" w:type="dxa"/>
            <w:tcBorders>
              <w:top w:val="single" w:sz="4" w:space="0" w:color="auto"/>
              <w:left w:val="single" w:sz="4" w:space="0" w:color="000000"/>
              <w:bottom w:val="single" w:sz="4" w:space="0" w:color="000000"/>
              <w:right w:val="single" w:sz="4" w:space="0" w:color="000000"/>
            </w:tcBorders>
          </w:tcPr>
          <w:p w14:paraId="1A97896B" w14:textId="77777777" w:rsidR="00415EDE" w:rsidRPr="005907A3" w:rsidRDefault="00415EDE" w:rsidP="00F22E15">
            <w:pPr>
              <w:spacing w:after="0" w:line="256" w:lineRule="auto"/>
              <w:ind w:right="44"/>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14 010 555</w:t>
            </w:r>
          </w:p>
        </w:tc>
        <w:tc>
          <w:tcPr>
            <w:tcW w:w="850" w:type="dxa"/>
            <w:tcBorders>
              <w:top w:val="single" w:sz="4" w:space="0" w:color="auto"/>
              <w:left w:val="single" w:sz="4" w:space="0" w:color="000000"/>
              <w:bottom w:val="single" w:sz="4" w:space="0" w:color="000000"/>
              <w:right w:val="single" w:sz="4" w:space="0" w:color="000000"/>
            </w:tcBorders>
          </w:tcPr>
          <w:p w14:paraId="427F97FA" w14:textId="77777777" w:rsidR="00415EDE" w:rsidRPr="005907A3" w:rsidRDefault="00415EDE" w:rsidP="00F22E15">
            <w:pPr>
              <w:spacing w:after="0" w:line="256" w:lineRule="auto"/>
              <w:ind w:right="42"/>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101</w:t>
            </w:r>
          </w:p>
        </w:tc>
        <w:tc>
          <w:tcPr>
            <w:tcW w:w="978" w:type="dxa"/>
            <w:tcBorders>
              <w:top w:val="single" w:sz="4" w:space="0" w:color="auto"/>
              <w:left w:val="single" w:sz="4" w:space="0" w:color="000000"/>
              <w:bottom w:val="single" w:sz="4" w:space="0" w:color="000000"/>
              <w:right w:val="single" w:sz="4" w:space="0" w:color="000000"/>
            </w:tcBorders>
          </w:tcPr>
          <w:p w14:paraId="33F61DF3"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87,37</w:t>
            </w:r>
          </w:p>
        </w:tc>
        <w:tc>
          <w:tcPr>
            <w:tcW w:w="1736" w:type="dxa"/>
            <w:tcBorders>
              <w:top w:val="single" w:sz="4" w:space="0" w:color="auto"/>
              <w:left w:val="single" w:sz="4" w:space="0" w:color="000000"/>
              <w:bottom w:val="single" w:sz="4" w:space="0" w:color="000000"/>
              <w:right w:val="single" w:sz="4" w:space="0" w:color="000000"/>
            </w:tcBorders>
          </w:tcPr>
          <w:p w14:paraId="03E7BBBD" w14:textId="77777777" w:rsidR="00415EDE" w:rsidRPr="005907A3" w:rsidRDefault="00415EDE" w:rsidP="00F22E15">
            <w:pPr>
              <w:spacing w:after="0" w:line="256" w:lineRule="auto"/>
              <w:ind w:right="45"/>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54.721.741</w:t>
            </w:r>
          </w:p>
        </w:tc>
        <w:tc>
          <w:tcPr>
            <w:tcW w:w="892" w:type="dxa"/>
            <w:tcBorders>
              <w:top w:val="single" w:sz="4" w:space="0" w:color="auto"/>
              <w:left w:val="single" w:sz="4" w:space="0" w:color="000000"/>
              <w:bottom w:val="single" w:sz="4" w:space="0" w:color="000000"/>
              <w:right w:val="single" w:sz="4" w:space="0" w:color="000000"/>
            </w:tcBorders>
          </w:tcPr>
          <w:p w14:paraId="6C19E792" w14:textId="77777777" w:rsidR="00415EDE" w:rsidRPr="005907A3" w:rsidRDefault="00415EDE" w:rsidP="00F22E15">
            <w:pPr>
              <w:spacing w:after="0" w:line="256" w:lineRule="auto"/>
              <w:ind w:right="4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131,1</w:t>
            </w:r>
          </w:p>
        </w:tc>
        <w:tc>
          <w:tcPr>
            <w:tcW w:w="977" w:type="dxa"/>
            <w:tcBorders>
              <w:top w:val="single" w:sz="4" w:space="0" w:color="auto"/>
              <w:left w:val="single" w:sz="4" w:space="0" w:color="000000"/>
              <w:bottom w:val="single" w:sz="4" w:space="0" w:color="000000"/>
              <w:right w:val="single" w:sz="4" w:space="0" w:color="000000"/>
            </w:tcBorders>
          </w:tcPr>
          <w:p w14:paraId="38D5C8CC" w14:textId="77777777" w:rsidR="00415EDE" w:rsidRPr="005907A3" w:rsidRDefault="00415EDE" w:rsidP="00F22E15">
            <w:pPr>
              <w:spacing w:after="0" w:line="256" w:lineRule="auto"/>
              <w:ind w:right="50"/>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95,3</w:t>
            </w:r>
          </w:p>
        </w:tc>
        <w:tc>
          <w:tcPr>
            <w:tcW w:w="806" w:type="dxa"/>
            <w:tcBorders>
              <w:top w:val="single" w:sz="4" w:space="0" w:color="auto"/>
              <w:left w:val="single" w:sz="4" w:space="0" w:color="000000"/>
              <w:bottom w:val="single" w:sz="4" w:space="0" w:color="000000"/>
              <w:right w:val="single" w:sz="4" w:space="0" w:color="000000"/>
            </w:tcBorders>
          </w:tcPr>
          <w:p w14:paraId="7C84FE37" w14:textId="77777777" w:rsidR="00415EDE" w:rsidRPr="005907A3" w:rsidRDefault="00415EDE" w:rsidP="00F22E15">
            <w:pPr>
              <w:spacing w:after="0" w:line="256" w:lineRule="auto"/>
              <w:ind w:right="46"/>
              <w:jc w:val="center"/>
              <w:rPr>
                <w:rFonts w:eastAsia="Times New Roman" w:cstheme="minorHAnsi"/>
                <w:color w:val="000000"/>
                <w:sz w:val="20"/>
                <w:szCs w:val="20"/>
                <w:lang w:val="en-US"/>
              </w:rPr>
            </w:pPr>
            <w:r w:rsidRPr="005907A3">
              <w:rPr>
                <w:rFonts w:eastAsia="Times New Roman" w:cstheme="minorHAnsi"/>
                <w:color w:val="000000"/>
                <w:sz w:val="20"/>
                <w:szCs w:val="20"/>
                <w:lang w:val="en-US"/>
              </w:rPr>
              <w:t>25,6</w:t>
            </w:r>
          </w:p>
        </w:tc>
      </w:tr>
    </w:tbl>
    <w:p w14:paraId="0F94A961" w14:textId="77777777" w:rsidR="00415EDE" w:rsidRPr="005907A3" w:rsidRDefault="00415EDE" w:rsidP="00415EDE">
      <w:pPr>
        <w:spacing w:after="0" w:line="240" w:lineRule="auto"/>
        <w:jc w:val="both"/>
        <w:rPr>
          <w:rFonts w:eastAsia="Calibri" w:cstheme="minorHAnsi"/>
          <w:sz w:val="20"/>
          <w:szCs w:val="20"/>
        </w:rPr>
      </w:pPr>
      <w:r w:rsidRPr="005907A3">
        <w:rPr>
          <w:rFonts w:eastAsia="Calibri" w:cstheme="minorHAnsi"/>
          <w:sz w:val="20"/>
          <w:szCs w:val="20"/>
        </w:rPr>
        <w:t xml:space="preserve">  Izvor: Statistička izvješća DZS 1507 / 2011., 1531 / 2012., 12.2.1 / 2014., 12.2.1 / 2015., 12.2.1/2016., 12.2.1/2021., Priopćenje DZS</w:t>
      </w:r>
    </w:p>
    <w:p w14:paraId="55329C8B" w14:textId="77777777" w:rsidR="00415EDE" w:rsidRPr="005907A3" w:rsidRDefault="00415EDE" w:rsidP="00415EDE">
      <w:pPr>
        <w:spacing w:after="0" w:line="240" w:lineRule="auto"/>
        <w:jc w:val="both"/>
        <w:rPr>
          <w:rFonts w:eastAsia="Calibri" w:cstheme="minorHAnsi"/>
          <w:sz w:val="20"/>
          <w:szCs w:val="20"/>
        </w:rPr>
      </w:pPr>
      <w:r w:rsidRPr="005907A3">
        <w:rPr>
          <w:rFonts w:eastAsia="Calibri" w:cstheme="minorHAnsi"/>
          <w:sz w:val="20"/>
          <w:szCs w:val="20"/>
        </w:rPr>
        <w:t xml:space="preserve">             Investicije u 2016. (1.12.2017.) 2017. (30.11.2018.) 2018. (2.12.2019.), 2019. (2.12.2020.), 2020. (17.12.2021.)</w:t>
      </w:r>
    </w:p>
    <w:p w14:paraId="60014CED" w14:textId="6B13C116" w:rsidR="00415EDE" w:rsidRDefault="00415EDE" w:rsidP="00E87AC6">
      <w:pPr>
        <w:spacing w:after="0" w:line="240" w:lineRule="auto"/>
        <w:jc w:val="both"/>
        <w:rPr>
          <w:rFonts w:ascii="Calibri" w:eastAsia="Calibri" w:hAnsi="Calibri" w:cs="Calibri"/>
          <w:sz w:val="18"/>
          <w:szCs w:val="18"/>
        </w:rPr>
      </w:pPr>
    </w:p>
    <w:p w14:paraId="6FE34F1E" w14:textId="77777777" w:rsidR="00415EDE" w:rsidRPr="00A57938" w:rsidRDefault="00415EDE" w:rsidP="00E87AC6">
      <w:pPr>
        <w:spacing w:after="0" w:line="240" w:lineRule="auto"/>
        <w:jc w:val="both"/>
        <w:rPr>
          <w:rFonts w:ascii="Calibri" w:eastAsia="Calibri" w:hAnsi="Calibri" w:cs="Calibri"/>
          <w:sz w:val="18"/>
          <w:szCs w:val="18"/>
        </w:rPr>
      </w:pPr>
    </w:p>
    <w:p w14:paraId="5211EF72" w14:textId="77777777" w:rsidR="00415EDE" w:rsidRPr="00E93A23" w:rsidRDefault="00E87AC6" w:rsidP="00415EDE">
      <w:pPr>
        <w:spacing w:after="200" w:line="240" w:lineRule="auto"/>
        <w:jc w:val="both"/>
        <w:rPr>
          <w:rFonts w:ascii="Calibri" w:eastAsia="Calibri" w:hAnsi="Calibri" w:cs="Calibri"/>
        </w:rPr>
      </w:pPr>
      <w:r w:rsidRPr="00A57938">
        <w:rPr>
          <w:rFonts w:ascii="Calibri" w:eastAsia="Calibri" w:hAnsi="Calibri" w:cs="Calibri"/>
        </w:rPr>
        <w:t xml:space="preserve">Vrijednost ostvarenih investicijskih ulaganja, prikazanih u tablici </w:t>
      </w:r>
      <w:r>
        <w:rPr>
          <w:rFonts w:ascii="Calibri" w:eastAsia="Calibri" w:hAnsi="Calibri" w:cs="Calibri"/>
        </w:rPr>
        <w:t>x</w:t>
      </w:r>
      <w:r w:rsidRPr="00A57938">
        <w:rPr>
          <w:rFonts w:ascii="Calibri" w:eastAsia="Calibri" w:hAnsi="Calibri" w:cs="Calibri"/>
        </w:rPr>
        <w:t xml:space="preserve"> u odnosu na 2011. na razini Hrvatske bilježi silazni trend do 2014., a na razini Grada Zagreba do 2018. U 2018. godini zabilježen je pozitivan trend rasta investicija u novu dugotrajnu imovinu u odnosu na 2017., i to u Gradu Zagrebu rast od 5,3%, a na razni Hrvatske 6,8%. U 2019. godini u Gradu Zagrebu zabilježen je rast investicija u novu dugotrajnu imovinu od 15,6% u odnosu na baznu 2011., te rast od 19,7% u odnosu na 2018. Na razni Hrvatske u 2019. zabilježen je rast investicija u novu dugotrajnu imovinu od 37,5% u odnosu na baznu 2011., te rast od 15,2% u odnosu na 2018</w:t>
      </w:r>
      <w:r w:rsidRPr="00415EDE">
        <w:rPr>
          <w:rFonts w:ascii="Calibri" w:eastAsia="Calibri" w:hAnsi="Calibri" w:cs="Calibri"/>
        </w:rPr>
        <w:t xml:space="preserve">. </w:t>
      </w:r>
      <w:r w:rsidR="00415EDE" w:rsidRPr="005907A3">
        <w:rPr>
          <w:rFonts w:ascii="Calibri" w:eastAsia="Calibri" w:hAnsi="Calibri" w:cs="Calibri"/>
        </w:rPr>
        <w:t>Prema objavljenim podacima u 2020. godini zabilježen je pad</w:t>
      </w:r>
      <w:r w:rsidR="00415EDE" w:rsidRPr="00E93A23">
        <w:rPr>
          <w:rFonts w:ascii="Calibri" w:eastAsia="Calibri" w:hAnsi="Calibri" w:cs="Calibri"/>
        </w:rPr>
        <w:t xml:space="preserve"> investicijskih ulaganja, u odnosu na prošlu 2019. godinu, na razini Hrvatske od 4,7% te pad od 12,63% na razini Grada Zagreba. Nadalje, u odnosu na baznu, 2011. godinu, zabilježen je rast ostvarenih investicijskih ulaganja u 2020. godini na razini Hrvatske od 31,1% te na razini Grada Zagreba od 1%.</w:t>
      </w:r>
    </w:p>
    <w:p w14:paraId="601A798F" w14:textId="151BC661" w:rsidR="00E87AC6" w:rsidRPr="00415EDE" w:rsidRDefault="00E87AC6" w:rsidP="00E87AC6">
      <w:pPr>
        <w:spacing w:after="200" w:line="240" w:lineRule="auto"/>
        <w:jc w:val="both"/>
        <w:rPr>
          <w:rFonts w:ascii="Calibri" w:eastAsia="Calibri" w:hAnsi="Calibri" w:cs="Calibri"/>
        </w:rPr>
      </w:pPr>
    </w:p>
    <w:p w14:paraId="72B63E49" w14:textId="77777777" w:rsidR="00E87AC6" w:rsidRPr="00A57938" w:rsidRDefault="00E87AC6" w:rsidP="00E87AC6">
      <w:pPr>
        <w:spacing w:after="200" w:line="240" w:lineRule="auto"/>
        <w:jc w:val="both"/>
        <w:rPr>
          <w:rFonts w:ascii="Calibri" w:eastAsia="Calibri" w:hAnsi="Calibri" w:cs="Calibri"/>
        </w:rPr>
      </w:pPr>
      <w:r w:rsidRPr="00A57938">
        <w:rPr>
          <w:rFonts w:ascii="Calibri" w:eastAsia="Calibri" w:hAnsi="Calibri" w:cs="Calibri"/>
        </w:rPr>
        <w:t>Ostvarene bruto investicije u dugotrajnu imovinu (prema sjedištu i djelatnosti investitora) u 2019. godini odnosile su se na investicije u građevinske objekte 39,48%, zatim u postrojenja i opremu s montažom 30,42%, u transportnu imovinu 14,51%,u ostalu imovinu 8,11% te intelektualnu imovinu 7,48%. Prema DZS-u prosječne ostvarene investicije po stanovniku u Gradu Zagrebu iznosile su u 2019. godini 35.449 kuna. Ovaj pokazatelj nam govori da su ostvarene investicije per capita iznad državnog prosjeka (14.122 kune).</w:t>
      </w:r>
    </w:p>
    <w:p w14:paraId="54806078" w14:textId="42F526A5" w:rsidR="00E87AC6" w:rsidRDefault="00E87AC6" w:rsidP="00E87AC6">
      <w:pPr>
        <w:spacing w:after="200" w:line="240" w:lineRule="auto"/>
        <w:jc w:val="both"/>
        <w:rPr>
          <w:rFonts w:ascii="Calibri" w:eastAsia="Calibri" w:hAnsi="Calibri" w:cs="Calibri"/>
        </w:rPr>
      </w:pPr>
      <w:r>
        <w:rPr>
          <w:rFonts w:ascii="Calibri" w:eastAsia="Calibri" w:hAnsi="Calibri" w:cs="Calibri"/>
        </w:rPr>
        <w:t>Kada razmotrimo direktne inozemne investicije vidljivo je da v</w:t>
      </w:r>
      <w:r w:rsidRPr="00982D33">
        <w:rPr>
          <w:rFonts w:ascii="Calibri" w:eastAsia="Calibri" w:hAnsi="Calibri" w:cs="Calibri"/>
        </w:rPr>
        <w:t>ećina stranog kapitala koji se investira u Hrvatsku dolazi u Zagreb i naše razvijenije obalne županije, dok su ostali dijelovi zemlje praktički potpuno nezanimljivi međunarodnim investitorima</w:t>
      </w:r>
      <w:r>
        <w:rPr>
          <w:rFonts w:ascii="Calibri" w:eastAsia="Calibri" w:hAnsi="Calibri" w:cs="Calibri"/>
        </w:rPr>
        <w:t xml:space="preserve">. </w:t>
      </w:r>
      <w:r w:rsidR="003C3D70">
        <w:rPr>
          <w:rFonts w:ascii="Calibri" w:eastAsia="Calibri" w:hAnsi="Calibri" w:cs="Calibri"/>
        </w:rPr>
        <w:t xml:space="preserve"> Inozemna izravna ulaganja u Grad Zagreb u 2020.g. iznose 582,7 milijuna eura. U 2020.g. ukupne bruto investicije u dugotrajnu imovinu investitora koji imaju sjedište u Gradu Zagrebu iznosile su 29,4 milijardi kuna, što je nominalan pad za 6,3 % u odnosu na 2019., kada su iznosile 31,4 milijardu kuna. </w:t>
      </w:r>
      <w:r>
        <w:rPr>
          <w:rFonts w:ascii="Calibri" w:eastAsia="Calibri" w:hAnsi="Calibri" w:cs="Calibri"/>
        </w:rPr>
        <w:t>Pritom je u</w:t>
      </w:r>
      <w:r w:rsidRPr="008F4CF1">
        <w:rPr>
          <w:rFonts w:ascii="Calibri" w:eastAsia="Calibri" w:hAnsi="Calibri" w:cs="Calibri"/>
        </w:rPr>
        <w:t xml:space="preserve">vjerljivo najviše direktnih stranih investicija otišlo u financijski sektor </w:t>
      </w:r>
      <w:r>
        <w:rPr>
          <w:rFonts w:ascii="Calibri" w:eastAsia="Calibri" w:hAnsi="Calibri" w:cs="Calibri"/>
        </w:rPr>
        <w:t xml:space="preserve">i </w:t>
      </w:r>
      <w:r w:rsidRPr="008F4CF1">
        <w:rPr>
          <w:rFonts w:ascii="Calibri" w:eastAsia="Calibri" w:hAnsi="Calibri" w:cs="Calibri"/>
        </w:rPr>
        <w:t>trgovinu</w:t>
      </w:r>
      <w:r>
        <w:rPr>
          <w:rFonts w:ascii="Calibri" w:eastAsia="Calibri" w:hAnsi="Calibri" w:cs="Calibri"/>
        </w:rPr>
        <w:t xml:space="preserve">, dok su one </w:t>
      </w:r>
      <w:r w:rsidRPr="008F4CF1">
        <w:rPr>
          <w:rFonts w:ascii="Calibri" w:eastAsia="Calibri" w:hAnsi="Calibri" w:cs="Calibri"/>
        </w:rPr>
        <w:t>nedovoljno usmjerene na proizvodnju i greenfield projekte</w:t>
      </w:r>
      <w:r>
        <w:rPr>
          <w:rFonts w:ascii="Calibri" w:eastAsia="Calibri" w:hAnsi="Calibri" w:cs="Calibri"/>
        </w:rPr>
        <w:t>.</w:t>
      </w:r>
      <w:r w:rsidR="003C3D70">
        <w:rPr>
          <w:rFonts w:ascii="Calibri" w:eastAsia="Calibri" w:hAnsi="Calibri" w:cs="Calibri"/>
        </w:rPr>
        <w:t xml:space="preserve"> Također, prema lokaciji investicijskih objekata, ukupne bruto investicije u dugotrajnu imovinu na području Grada Zagreba u 2020. iznosile su 15,6 milijardi kuna, što je pad od 12,9 % u odnosu na 2019. kada su iznosile 18,0 milijardi kuna.</w:t>
      </w:r>
      <w:r w:rsidR="003C3D70">
        <w:rPr>
          <w:rStyle w:val="Referencafusnote"/>
          <w:rFonts w:ascii="Calibri" w:eastAsia="Calibri" w:hAnsi="Calibri" w:cs="Calibri"/>
        </w:rPr>
        <w:footnoteReference w:id="36"/>
      </w:r>
    </w:p>
    <w:p w14:paraId="5C01AF70" w14:textId="77777777" w:rsidR="00E87AC6" w:rsidRPr="008D0C83" w:rsidRDefault="00E87AC6" w:rsidP="00E87AC6">
      <w:pPr>
        <w:spacing w:after="200" w:line="240" w:lineRule="auto"/>
        <w:jc w:val="both"/>
        <w:rPr>
          <w:rFonts w:ascii="Calibri" w:eastAsia="Calibri" w:hAnsi="Calibri" w:cs="Calibri"/>
        </w:rPr>
      </w:pPr>
      <w:r w:rsidRPr="00A57938">
        <w:rPr>
          <w:rFonts w:ascii="Calibri" w:eastAsia="Calibri" w:hAnsi="Calibri" w:cs="Calibri"/>
        </w:rPr>
        <w:t>Investicije su jedan od ključnih čimbenika za oporavak konkurent</w:t>
      </w:r>
      <w:r>
        <w:rPr>
          <w:rFonts w:ascii="Calibri" w:eastAsia="Calibri" w:hAnsi="Calibri" w:cs="Calibri"/>
        </w:rPr>
        <w:t>n</w:t>
      </w:r>
      <w:r w:rsidRPr="00A57938">
        <w:rPr>
          <w:rFonts w:ascii="Calibri" w:eastAsia="Calibri" w:hAnsi="Calibri" w:cs="Calibri"/>
        </w:rPr>
        <w:t>osti gospodarstva i to posebno nakon krize uzrokovane epidemijom COVID 19.</w:t>
      </w:r>
      <w:r>
        <w:rPr>
          <w:rFonts w:ascii="Calibri" w:eastAsia="Calibri" w:hAnsi="Calibri" w:cs="Calibri"/>
        </w:rPr>
        <w:t xml:space="preserve"> </w:t>
      </w:r>
      <w:r w:rsidRPr="00A57938">
        <w:rPr>
          <w:rFonts w:ascii="Calibri" w:eastAsia="Calibri" w:hAnsi="Calibri" w:cs="Calibri"/>
        </w:rPr>
        <w:t>Na području Grada Zagreba niz je brownfield površina koje imaju potencijal razvoja kroz urbanu revitalizaciju. Potreba za revitalizacijom proizlazi iz neiskorištenih mogućnosti razvoja sadržaja Grada koji osiguravaju dodanu vrijednost boravka u prostoru te nedovoljno iskorištenih resursa u centru grada i šire. Urbana revitalizacija zajedno s urbanom obnovom građevina i infrastrukture nakon potresa, koji je pogodio Zagreb u 2020. ima priliku znatno poboljšati integriranje gradske jezgre iz dijelova napuštenih gradskih zona u uspješne, zelene i visokokvalitetne lokacije. Također, poticanje izvoza i rast sektora istraživanja, razvoja i inovacija, uključujući i razvoj infrastrukture uz očuvanje okoliša, kroz investicije, jedan je od ciljeva razvoja Grada, za male, srednje i velike poduzetnike te znanstvene ins</w:t>
      </w:r>
      <w:r>
        <w:rPr>
          <w:rFonts w:ascii="Calibri" w:eastAsia="Calibri" w:hAnsi="Calibri" w:cs="Calibri"/>
        </w:rPr>
        <w:t>t</w:t>
      </w:r>
      <w:r w:rsidRPr="00A57938">
        <w:rPr>
          <w:rFonts w:ascii="Calibri" w:eastAsia="Calibri" w:hAnsi="Calibri" w:cs="Calibri"/>
        </w:rPr>
        <w:t xml:space="preserve">itucije.  </w:t>
      </w:r>
    </w:p>
    <w:p w14:paraId="47B43F58" w14:textId="16687B39" w:rsidR="00E87AC6" w:rsidRPr="00981A9C" w:rsidRDefault="00E87AC6" w:rsidP="005A25A2">
      <w:pPr>
        <w:pStyle w:val="Stil2"/>
      </w:pPr>
      <w:bookmarkStart w:id="84" w:name="_Toc97123811"/>
      <w:r w:rsidRPr="00981A9C">
        <w:t>3.1.8. Konkurentnost</w:t>
      </w:r>
      <w:bookmarkEnd w:id="84"/>
      <w:r w:rsidRPr="00981A9C">
        <w:t xml:space="preserve"> </w:t>
      </w:r>
    </w:p>
    <w:p w14:paraId="68EEDCC5" w14:textId="77777777" w:rsidR="00E87AC6" w:rsidRPr="00B650D0" w:rsidRDefault="00E87AC6" w:rsidP="00E87AC6">
      <w:pPr>
        <w:tabs>
          <w:tab w:val="left" w:pos="-720"/>
        </w:tabs>
        <w:suppressAutoHyphens/>
        <w:spacing w:after="200" w:line="276" w:lineRule="auto"/>
        <w:ind w:right="-2"/>
        <w:jc w:val="both"/>
        <w:rPr>
          <w:rFonts w:ascii="Calibri" w:eastAsia="Calibri" w:hAnsi="Calibri" w:cs="Calibri"/>
          <w:color w:val="000000"/>
        </w:rPr>
      </w:pPr>
      <w:r w:rsidRPr="006A7C7C">
        <w:rPr>
          <w:rFonts w:ascii="Calibri" w:eastAsia="Calibri" w:hAnsi="Calibri" w:cs="Calibri"/>
          <w:color w:val="000000"/>
        </w:rPr>
        <w:t xml:space="preserve">Istraživanje konkurentnosti na </w:t>
      </w:r>
      <w:r>
        <w:rPr>
          <w:rFonts w:ascii="Calibri" w:eastAsia="Calibri" w:hAnsi="Calibri" w:cs="Calibri"/>
          <w:color w:val="000000"/>
        </w:rPr>
        <w:t>regionalnoj</w:t>
      </w:r>
      <w:r w:rsidRPr="006A7C7C">
        <w:rPr>
          <w:rFonts w:ascii="Calibri" w:eastAsia="Calibri" w:hAnsi="Calibri" w:cs="Calibri"/>
          <w:color w:val="000000"/>
        </w:rPr>
        <w:t xml:space="preserve"> razini pokrenuto je</w:t>
      </w:r>
      <w:r>
        <w:rPr>
          <w:rFonts w:ascii="Calibri" w:eastAsia="Calibri" w:hAnsi="Calibri" w:cs="Calibri"/>
          <w:color w:val="000000"/>
        </w:rPr>
        <w:t xml:space="preserve"> </w:t>
      </w:r>
      <w:r w:rsidRPr="006A7C7C">
        <w:rPr>
          <w:rFonts w:ascii="Calibri" w:eastAsia="Calibri" w:hAnsi="Calibri" w:cs="Calibri"/>
          <w:color w:val="000000"/>
        </w:rPr>
        <w:t>2007. godine</w:t>
      </w:r>
      <w:r>
        <w:rPr>
          <w:rFonts w:ascii="Calibri" w:eastAsia="Calibri" w:hAnsi="Calibri" w:cs="Calibri"/>
          <w:color w:val="000000"/>
        </w:rPr>
        <w:t xml:space="preserve"> u cilju omogućavanja analitičkih </w:t>
      </w:r>
      <w:r w:rsidRPr="006A7C7C">
        <w:rPr>
          <w:rFonts w:ascii="Calibri" w:eastAsia="Calibri" w:hAnsi="Calibri" w:cs="Calibri"/>
          <w:color w:val="000000"/>
        </w:rPr>
        <w:t>podlog</w:t>
      </w:r>
      <w:r>
        <w:rPr>
          <w:rFonts w:ascii="Calibri" w:eastAsia="Calibri" w:hAnsi="Calibri" w:cs="Calibri"/>
          <w:color w:val="000000"/>
        </w:rPr>
        <w:t>a</w:t>
      </w:r>
      <w:r w:rsidRPr="006A7C7C">
        <w:rPr>
          <w:rFonts w:ascii="Calibri" w:eastAsia="Calibri" w:hAnsi="Calibri" w:cs="Calibri"/>
          <w:color w:val="000000"/>
        </w:rPr>
        <w:t xml:space="preserve"> za oblikovanje</w:t>
      </w:r>
      <w:r>
        <w:rPr>
          <w:rFonts w:ascii="Calibri" w:eastAsia="Calibri" w:hAnsi="Calibri" w:cs="Calibri"/>
          <w:color w:val="000000"/>
        </w:rPr>
        <w:t xml:space="preserve"> </w:t>
      </w:r>
      <w:r w:rsidRPr="006A7C7C">
        <w:rPr>
          <w:rFonts w:ascii="Calibri" w:eastAsia="Calibri" w:hAnsi="Calibri" w:cs="Calibri"/>
          <w:color w:val="000000"/>
        </w:rPr>
        <w:t xml:space="preserve">razvojnih politika </w:t>
      </w:r>
      <w:r>
        <w:rPr>
          <w:rFonts w:ascii="Calibri" w:eastAsia="Calibri" w:hAnsi="Calibri" w:cs="Calibri"/>
          <w:color w:val="000000"/>
        </w:rPr>
        <w:t xml:space="preserve">županija </w:t>
      </w:r>
      <w:r w:rsidRPr="006A7C7C">
        <w:rPr>
          <w:rFonts w:ascii="Calibri" w:eastAsia="Calibri" w:hAnsi="Calibri" w:cs="Calibri"/>
          <w:color w:val="000000"/>
        </w:rPr>
        <w:t>radi ravnomjernijeg razvoja Hrvatske</w:t>
      </w:r>
      <w:r>
        <w:rPr>
          <w:rFonts w:ascii="Calibri" w:eastAsia="Calibri" w:hAnsi="Calibri" w:cs="Calibri"/>
          <w:color w:val="000000"/>
        </w:rPr>
        <w:t xml:space="preserve">. Iako je planirano da se </w:t>
      </w:r>
      <w:r w:rsidRPr="006A7C7C">
        <w:rPr>
          <w:rFonts w:ascii="Calibri" w:eastAsia="Calibri" w:hAnsi="Calibri" w:cs="Calibri"/>
          <w:color w:val="000000"/>
        </w:rPr>
        <w:t>ponavlja</w:t>
      </w:r>
      <w:r>
        <w:rPr>
          <w:rFonts w:ascii="Calibri" w:eastAsia="Calibri" w:hAnsi="Calibri" w:cs="Calibri"/>
          <w:color w:val="000000"/>
        </w:rPr>
        <w:t xml:space="preserve"> </w:t>
      </w:r>
      <w:r w:rsidRPr="006A7C7C">
        <w:rPr>
          <w:rFonts w:ascii="Calibri" w:eastAsia="Calibri" w:hAnsi="Calibri" w:cs="Calibri"/>
          <w:color w:val="000000"/>
        </w:rPr>
        <w:t>u trogodišnjim ciklusima</w:t>
      </w:r>
      <w:r>
        <w:rPr>
          <w:rFonts w:ascii="Calibri" w:eastAsia="Calibri" w:hAnsi="Calibri" w:cs="Calibri"/>
          <w:color w:val="000000"/>
        </w:rPr>
        <w:t xml:space="preserve">, zadnji dostupan </w:t>
      </w:r>
      <w:r w:rsidRPr="00981A9C">
        <w:rPr>
          <w:rFonts w:ascii="Calibri" w:eastAsia="Calibri" w:hAnsi="Calibri" w:cs="Calibri"/>
          <w:color w:val="000000"/>
        </w:rPr>
        <w:t>Regionaln</w:t>
      </w:r>
      <w:r>
        <w:rPr>
          <w:rFonts w:ascii="Calibri" w:eastAsia="Calibri" w:hAnsi="Calibri" w:cs="Calibri"/>
          <w:color w:val="000000"/>
        </w:rPr>
        <w:t>i</w:t>
      </w:r>
      <w:r w:rsidRPr="00981A9C">
        <w:rPr>
          <w:rFonts w:ascii="Calibri" w:eastAsia="Calibri" w:hAnsi="Calibri" w:cs="Calibri"/>
          <w:color w:val="000000"/>
        </w:rPr>
        <w:t xml:space="preserve"> indeks konkurentnosti Hrvatske</w:t>
      </w:r>
      <w:r>
        <w:rPr>
          <w:rFonts w:cs="Calibri"/>
          <w:color w:val="000000"/>
        </w:rPr>
        <w:t xml:space="preserve"> </w:t>
      </w:r>
      <w:r>
        <w:rPr>
          <w:rFonts w:ascii="Calibri" w:eastAsia="Calibri" w:hAnsi="Calibri" w:cs="Calibri"/>
          <w:color w:val="000000"/>
        </w:rPr>
        <w:t xml:space="preserve">koji izrađuje Nacionalno vijeće za konkurentnost je onaj iz </w:t>
      </w:r>
      <w:r w:rsidRPr="00981A9C">
        <w:rPr>
          <w:rFonts w:ascii="Calibri" w:eastAsia="Calibri" w:hAnsi="Calibri" w:cs="Calibri"/>
          <w:color w:val="000000"/>
        </w:rPr>
        <w:t>2013</w:t>
      </w:r>
      <w:r>
        <w:rPr>
          <w:rFonts w:ascii="Calibri" w:eastAsia="Calibri" w:hAnsi="Calibri" w:cs="Calibri"/>
          <w:color w:val="000000"/>
        </w:rPr>
        <w:t>. godine</w:t>
      </w:r>
      <w:r>
        <w:rPr>
          <w:rStyle w:val="Referencafusnote"/>
          <w:rFonts w:cs="Calibri"/>
          <w:color w:val="000000"/>
        </w:rPr>
        <w:footnoteReference w:id="37"/>
      </w:r>
      <w:r>
        <w:rPr>
          <w:rFonts w:ascii="Calibri" w:eastAsia="Calibri" w:hAnsi="Calibri" w:cs="Calibri"/>
          <w:color w:val="000000"/>
        </w:rPr>
        <w:t xml:space="preserve"> i prema njemu</w:t>
      </w:r>
      <w:r w:rsidRPr="00981A9C">
        <w:rPr>
          <w:rFonts w:ascii="Calibri" w:eastAsia="Calibri" w:hAnsi="Calibri" w:cs="Calibri"/>
          <w:color w:val="000000"/>
        </w:rPr>
        <w:t xml:space="preserve"> </w:t>
      </w:r>
      <w:r>
        <w:rPr>
          <w:rFonts w:ascii="Calibri" w:eastAsia="Calibri" w:hAnsi="Calibri" w:cs="Calibri"/>
          <w:color w:val="000000"/>
        </w:rPr>
        <w:t xml:space="preserve">se </w:t>
      </w:r>
      <w:r w:rsidRPr="00981A9C">
        <w:rPr>
          <w:rFonts w:ascii="Calibri" w:eastAsia="Calibri" w:hAnsi="Calibri" w:cs="Calibri"/>
          <w:color w:val="000000"/>
        </w:rPr>
        <w:t xml:space="preserve">Grad Zagreb nalazi </w:t>
      </w:r>
      <w:r w:rsidRPr="00981A9C">
        <w:rPr>
          <w:rFonts w:ascii="Calibri" w:eastAsia="Calibri" w:hAnsi="Calibri" w:cs="Calibri"/>
          <w:bCs/>
          <w:color w:val="000000"/>
        </w:rPr>
        <w:t>na prvom mjestu ranga konkurentnosti po županijama</w:t>
      </w:r>
      <w:r>
        <w:rPr>
          <w:rFonts w:ascii="Calibri" w:eastAsia="Calibri" w:hAnsi="Calibri" w:cs="Calibri"/>
          <w:bCs/>
          <w:color w:val="000000"/>
        </w:rPr>
        <w:t xml:space="preserve"> i </w:t>
      </w:r>
      <w:r w:rsidRPr="00D7599D">
        <w:rPr>
          <w:rFonts w:ascii="Calibri" w:eastAsia="Calibri" w:hAnsi="Calibri" w:cs="Calibri"/>
          <w:bCs/>
          <w:color w:val="000000"/>
        </w:rPr>
        <w:t>u većini statističkih indikatora iznad prosjeka Hrvatske</w:t>
      </w:r>
      <w:r>
        <w:rPr>
          <w:rFonts w:ascii="Calibri" w:eastAsia="Calibri" w:hAnsi="Calibri" w:cs="Calibri"/>
          <w:bCs/>
          <w:color w:val="000000"/>
        </w:rPr>
        <w:t xml:space="preserve">, isto kao i </w:t>
      </w:r>
      <w:r w:rsidRPr="00981A9C">
        <w:rPr>
          <w:rFonts w:ascii="Calibri" w:eastAsia="Calibri" w:hAnsi="Calibri" w:cs="Calibri"/>
          <w:color w:val="000000"/>
        </w:rPr>
        <w:t xml:space="preserve">2007. godine, dok je prema istom izvješću za 2010. godinu </w:t>
      </w:r>
      <w:r>
        <w:rPr>
          <w:rFonts w:ascii="Calibri" w:eastAsia="Calibri" w:hAnsi="Calibri" w:cs="Calibri"/>
          <w:color w:val="000000"/>
        </w:rPr>
        <w:t xml:space="preserve">zauzimao drugo mjesto iza </w:t>
      </w:r>
      <w:r w:rsidRPr="00981A9C">
        <w:rPr>
          <w:rFonts w:ascii="Calibri" w:eastAsia="Calibri" w:hAnsi="Calibri" w:cs="Calibri"/>
          <w:color w:val="000000"/>
        </w:rPr>
        <w:t>Varaždinsk</w:t>
      </w:r>
      <w:r>
        <w:rPr>
          <w:rFonts w:ascii="Calibri" w:eastAsia="Calibri" w:hAnsi="Calibri" w:cs="Calibri"/>
          <w:color w:val="000000"/>
        </w:rPr>
        <w:t>e</w:t>
      </w:r>
      <w:r w:rsidRPr="00981A9C">
        <w:rPr>
          <w:rFonts w:ascii="Calibri" w:eastAsia="Calibri" w:hAnsi="Calibri" w:cs="Calibri"/>
          <w:color w:val="000000"/>
        </w:rPr>
        <w:t xml:space="preserve"> županij</w:t>
      </w:r>
      <w:r>
        <w:rPr>
          <w:rFonts w:ascii="Calibri" w:eastAsia="Calibri" w:hAnsi="Calibri" w:cs="Calibri"/>
          <w:color w:val="000000"/>
        </w:rPr>
        <w:t>e</w:t>
      </w:r>
      <w:r w:rsidRPr="00981A9C">
        <w:rPr>
          <w:rFonts w:ascii="Calibri" w:eastAsia="Calibri" w:hAnsi="Calibri" w:cs="Calibri"/>
          <w:color w:val="000000"/>
        </w:rPr>
        <w:t xml:space="preserve">. </w:t>
      </w:r>
    </w:p>
    <w:p w14:paraId="2E986E8C" w14:textId="77777777" w:rsidR="00E87AC6" w:rsidRDefault="00E87AC6" w:rsidP="00E87AC6">
      <w:pPr>
        <w:autoSpaceDE w:val="0"/>
        <w:autoSpaceDN w:val="0"/>
        <w:adjustRightInd w:val="0"/>
        <w:spacing w:after="0" w:line="276" w:lineRule="auto"/>
        <w:jc w:val="both"/>
        <w:rPr>
          <w:rFonts w:ascii="Calibri" w:eastAsia="Calibri" w:hAnsi="Calibri" w:cs="Calibri"/>
          <w:bCs/>
          <w:color w:val="000000"/>
        </w:rPr>
      </w:pPr>
      <w:r w:rsidRPr="00BC3C79">
        <w:rPr>
          <w:rFonts w:ascii="Calibri" w:eastAsia="Calibri" w:hAnsi="Calibri" w:cs="Calibri"/>
          <w:bCs/>
          <w:color w:val="000000"/>
        </w:rPr>
        <w:t>Graf x Rang konkurentnosti Grada Zagreba i Republike Hrvatske – statistički indikatori (Izvor: Nacionalno vijeće</w:t>
      </w:r>
      <w:r>
        <w:rPr>
          <w:rFonts w:ascii="Calibri" w:eastAsia="Calibri" w:hAnsi="Calibri" w:cs="Calibri"/>
          <w:bCs/>
          <w:color w:val="000000"/>
        </w:rPr>
        <w:t xml:space="preserve"> </w:t>
      </w:r>
      <w:r w:rsidRPr="00BC3C79">
        <w:rPr>
          <w:rFonts w:ascii="Calibri" w:eastAsia="Calibri" w:hAnsi="Calibri" w:cs="Calibri"/>
          <w:bCs/>
          <w:color w:val="000000"/>
        </w:rPr>
        <w:t>za konkurentnost, 2014. )</w:t>
      </w:r>
    </w:p>
    <w:p w14:paraId="28D5C9CD" w14:textId="77777777" w:rsidR="00E87AC6" w:rsidRPr="00BC3C79" w:rsidRDefault="00E87AC6" w:rsidP="00E87AC6">
      <w:pPr>
        <w:autoSpaceDE w:val="0"/>
        <w:autoSpaceDN w:val="0"/>
        <w:adjustRightInd w:val="0"/>
        <w:spacing w:after="0" w:line="276" w:lineRule="auto"/>
        <w:jc w:val="both"/>
        <w:rPr>
          <w:rFonts w:ascii="Calibri" w:eastAsia="Calibri" w:hAnsi="Calibri" w:cs="Calibri"/>
          <w:bCs/>
          <w:color w:val="000000"/>
        </w:rPr>
      </w:pPr>
    </w:p>
    <w:p w14:paraId="2CAB8841" w14:textId="77777777" w:rsidR="00E87AC6" w:rsidRPr="00981A9C" w:rsidRDefault="00E87AC6" w:rsidP="00E87AC6">
      <w:pPr>
        <w:autoSpaceDE w:val="0"/>
        <w:autoSpaceDN w:val="0"/>
        <w:adjustRightInd w:val="0"/>
        <w:spacing w:after="0" w:line="276" w:lineRule="auto"/>
        <w:jc w:val="both"/>
        <w:rPr>
          <w:rFonts w:ascii="Calibri" w:eastAsia="Calibri" w:hAnsi="Calibri" w:cs="Calibri"/>
          <w:bCs/>
          <w:color w:val="000000"/>
        </w:rPr>
      </w:pPr>
    </w:p>
    <w:p w14:paraId="4B96E3BA" w14:textId="77777777" w:rsidR="00E87AC6" w:rsidRDefault="00E87AC6" w:rsidP="00E87AC6">
      <w:pPr>
        <w:autoSpaceDE w:val="0"/>
        <w:autoSpaceDN w:val="0"/>
        <w:adjustRightInd w:val="0"/>
        <w:spacing w:after="200" w:line="240" w:lineRule="auto"/>
        <w:jc w:val="both"/>
        <w:rPr>
          <w:rFonts w:ascii="Calibri" w:eastAsia="Calibri" w:hAnsi="Calibri" w:cs="Calibri"/>
          <w:color w:val="000000"/>
        </w:rPr>
      </w:pPr>
      <w:r w:rsidRPr="00981A9C">
        <w:rPr>
          <w:rFonts w:ascii="Calibri" w:eastAsia="Calibri" w:hAnsi="Calibri" w:cs="Calibri"/>
          <w:b/>
          <w:noProof/>
        </w:rPr>
        <w:drawing>
          <wp:inline distT="0" distB="0" distL="0" distR="0" wp14:anchorId="14C93CC3" wp14:editId="072CCC1A">
            <wp:extent cx="4816617" cy="2789555"/>
            <wp:effectExtent l="0" t="0" r="317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315" cy="2798647"/>
                    </a:xfrm>
                    <a:prstGeom prst="rect">
                      <a:avLst/>
                    </a:prstGeom>
                    <a:noFill/>
                    <a:ln>
                      <a:noFill/>
                    </a:ln>
                  </pic:spPr>
                </pic:pic>
              </a:graphicData>
            </a:graphic>
          </wp:inline>
        </w:drawing>
      </w:r>
    </w:p>
    <w:p w14:paraId="76AB46A9" w14:textId="77777777" w:rsidR="00E87AC6" w:rsidRDefault="00E87AC6" w:rsidP="00E87AC6">
      <w:pPr>
        <w:autoSpaceDE w:val="0"/>
        <w:autoSpaceDN w:val="0"/>
        <w:adjustRightInd w:val="0"/>
        <w:spacing w:after="200" w:line="240" w:lineRule="auto"/>
        <w:jc w:val="both"/>
        <w:rPr>
          <w:rFonts w:ascii="Calibri" w:hAnsi="Calibri" w:cs="Calibri"/>
        </w:rPr>
      </w:pPr>
    </w:p>
    <w:p w14:paraId="23C2B769" w14:textId="77777777" w:rsidR="00E87AC6" w:rsidRPr="004271E2" w:rsidRDefault="00E87AC6" w:rsidP="00E87AC6">
      <w:pPr>
        <w:autoSpaceDE w:val="0"/>
        <w:autoSpaceDN w:val="0"/>
        <w:adjustRightInd w:val="0"/>
        <w:spacing w:after="200" w:line="240" w:lineRule="auto"/>
        <w:jc w:val="both"/>
        <w:rPr>
          <w:rFonts w:ascii="Calibri" w:eastAsia="Calibri" w:hAnsi="Calibri" w:cs="Calibri"/>
          <w:color w:val="000000"/>
        </w:rPr>
      </w:pPr>
      <w:r>
        <w:rPr>
          <w:rFonts w:ascii="Calibri" w:hAnsi="Calibri" w:cs="Calibri"/>
        </w:rPr>
        <w:t xml:space="preserve">Prema navedenom izvješću NVK, Grad Zagreb ima rang ukupne konkurentnosti 1, istodobno mu je rang kvalitete okruženja 2, a rang kvalitete poslovnog sektora 3. Pri tome mu je u horizontalnoj usporedbi s drugim županijama ukupni statistički rang konkurentnosti također 1, ali anketni (perceptivni) 5. Kada se među županijama detaljnije analiziraju pojedini faktori konkurentnosti prema razvojnoj fazi i kvaliteti pojedinog stupa konkurentnosti, proizlazi da Grad Zagreb svoj razvoj temelji </w:t>
      </w:r>
      <w:r w:rsidRPr="0006391F">
        <w:rPr>
          <w:rFonts w:ascii="Calibri" w:hAnsi="Calibri" w:cs="Calibri"/>
        </w:rPr>
        <w:t xml:space="preserve">više na resursima </w:t>
      </w:r>
      <w:r w:rsidRPr="000278A6">
        <w:rPr>
          <w:rFonts w:ascii="Calibri" w:hAnsi="Calibri" w:cs="Calibri"/>
        </w:rPr>
        <w:t>i to osnovne infrastrukture i javnog sektora te lokacijskim prednostima, demografiji, zdravlju i kulturi, tj. resursnim prednostima ovih faktora konkurentnosti.</w:t>
      </w:r>
    </w:p>
    <w:p w14:paraId="0002EDEC" w14:textId="77777777" w:rsidR="00E87AC6" w:rsidRDefault="00E87AC6" w:rsidP="00E87AC6">
      <w:pPr>
        <w:tabs>
          <w:tab w:val="left" w:pos="-720"/>
        </w:tabs>
        <w:suppressAutoHyphens/>
        <w:spacing w:after="200" w:line="240" w:lineRule="auto"/>
        <w:ind w:right="-2"/>
        <w:jc w:val="both"/>
        <w:rPr>
          <w:rFonts w:ascii="Calibri" w:eastAsia="Calibri" w:hAnsi="Calibri" w:cs="Calibri"/>
        </w:rPr>
      </w:pPr>
      <w:r>
        <w:rPr>
          <w:rFonts w:ascii="Calibri" w:eastAsia="Calibri" w:hAnsi="Calibri" w:cs="Calibri"/>
        </w:rPr>
        <w:t xml:space="preserve">Za 2020. godinu na raspolaganju je </w:t>
      </w:r>
      <w:r w:rsidRPr="0018426B">
        <w:rPr>
          <w:rFonts w:ascii="Calibri" w:eastAsia="Calibri" w:hAnsi="Calibri" w:cs="Calibri"/>
        </w:rPr>
        <w:t>Godišnjak svjetske konkurentnosti 2020</w:t>
      </w:r>
      <w:r>
        <w:rPr>
          <w:rFonts w:ascii="Calibri" w:eastAsia="Calibri" w:hAnsi="Calibri" w:cs="Calibri"/>
        </w:rPr>
        <w:t xml:space="preserve"> čije je rezultate i na svojoj web stranici objavilo Nacionalno vijeće za konkurentnost i prema kojem se </w:t>
      </w:r>
      <w:r w:rsidRPr="0018426B">
        <w:rPr>
          <w:rFonts w:ascii="Calibri" w:eastAsia="Calibri" w:hAnsi="Calibri" w:cs="Calibri"/>
        </w:rPr>
        <w:t xml:space="preserve">Hrvatska, kao i </w:t>
      </w:r>
      <w:r>
        <w:rPr>
          <w:rFonts w:ascii="Calibri" w:eastAsia="Calibri" w:hAnsi="Calibri" w:cs="Calibri"/>
        </w:rPr>
        <w:t xml:space="preserve">2019. </w:t>
      </w:r>
      <w:r w:rsidRPr="0018426B">
        <w:rPr>
          <w:rFonts w:ascii="Calibri" w:eastAsia="Calibri" w:hAnsi="Calibri" w:cs="Calibri"/>
        </w:rPr>
        <w:t>godine, nalazi na 60. mjestu od ukupno 63. svjetske ekonomije.</w:t>
      </w:r>
    </w:p>
    <w:p w14:paraId="0B6E21BF" w14:textId="77777777" w:rsidR="00E87AC6" w:rsidRDefault="00E87AC6" w:rsidP="00E87AC6">
      <w:pPr>
        <w:tabs>
          <w:tab w:val="left" w:pos="-720"/>
        </w:tabs>
        <w:suppressAutoHyphens/>
        <w:spacing w:after="200" w:line="240" w:lineRule="auto"/>
        <w:ind w:right="-2"/>
        <w:jc w:val="both"/>
        <w:rPr>
          <w:rFonts w:ascii="Calibri" w:eastAsia="Calibri" w:hAnsi="Calibri" w:cs="Calibri"/>
        </w:rPr>
      </w:pPr>
      <w:r>
        <w:rPr>
          <w:rFonts w:ascii="Calibri" w:eastAsia="Calibri" w:hAnsi="Calibri" w:cs="Calibri"/>
        </w:rPr>
        <w:t>Sukladno  navedenom istraživanju k</w:t>
      </w:r>
      <w:r w:rsidRPr="0037688D">
        <w:rPr>
          <w:rFonts w:ascii="Calibri" w:eastAsia="Calibri" w:hAnsi="Calibri" w:cs="Calibri"/>
        </w:rPr>
        <w:t xml:space="preserve">ao </w:t>
      </w:r>
      <w:r>
        <w:rPr>
          <w:rFonts w:ascii="Calibri" w:eastAsia="Calibri" w:hAnsi="Calibri" w:cs="Calibri"/>
        </w:rPr>
        <w:t>preporuke</w:t>
      </w:r>
      <w:r w:rsidRPr="0037688D">
        <w:rPr>
          <w:rFonts w:ascii="Calibri" w:eastAsia="Calibri" w:hAnsi="Calibri" w:cs="Calibri"/>
        </w:rPr>
        <w:t xml:space="preserve"> za Hrvatsku u 2020. godini</w:t>
      </w:r>
      <w:r>
        <w:rPr>
          <w:rFonts w:ascii="Calibri" w:eastAsia="Calibri" w:hAnsi="Calibri" w:cs="Calibri"/>
        </w:rPr>
        <w:t xml:space="preserve">, a koji se u najvećem dijelu mogu primijeniti i na Grad Zagreb kao najjače gospodarsko središte u zemlji, </w:t>
      </w:r>
      <w:r w:rsidRPr="0037688D">
        <w:rPr>
          <w:rFonts w:ascii="Calibri" w:eastAsia="Calibri" w:hAnsi="Calibri" w:cs="Calibri"/>
        </w:rPr>
        <w:t xml:space="preserve"> naveden</w:t>
      </w:r>
      <w:r>
        <w:rPr>
          <w:rFonts w:ascii="Calibri" w:eastAsia="Calibri" w:hAnsi="Calibri" w:cs="Calibri"/>
        </w:rPr>
        <w:t>e</w:t>
      </w:r>
      <w:r w:rsidRPr="0037688D">
        <w:rPr>
          <w:rFonts w:ascii="Calibri" w:eastAsia="Calibri" w:hAnsi="Calibri" w:cs="Calibri"/>
        </w:rPr>
        <w:t xml:space="preserve"> su</w:t>
      </w:r>
      <w:r>
        <w:rPr>
          <w:rFonts w:ascii="Calibri" w:eastAsia="Calibri" w:hAnsi="Calibri" w:cs="Calibri"/>
        </w:rPr>
        <w:t xml:space="preserve">, uz </w:t>
      </w:r>
      <w:r w:rsidRPr="0018426B">
        <w:rPr>
          <w:rFonts w:ascii="Calibri" w:eastAsia="Calibri" w:hAnsi="Calibri" w:cs="Calibri"/>
        </w:rPr>
        <w:t xml:space="preserve">samodostatnost </w:t>
      </w:r>
      <w:r>
        <w:rPr>
          <w:rFonts w:ascii="Calibri" w:eastAsia="Calibri" w:hAnsi="Calibri" w:cs="Calibri"/>
        </w:rPr>
        <w:t xml:space="preserve">u </w:t>
      </w:r>
      <w:r w:rsidRPr="0018426B">
        <w:rPr>
          <w:rFonts w:ascii="Calibri" w:eastAsia="Calibri" w:hAnsi="Calibri" w:cs="Calibri"/>
        </w:rPr>
        <w:t>pogledu nacionalne sigurnosti, prvenstveno sektore hrane, lijekova i javnog zdravstva</w:t>
      </w:r>
      <w:r>
        <w:rPr>
          <w:rFonts w:ascii="Calibri" w:eastAsia="Calibri" w:hAnsi="Calibri" w:cs="Calibri"/>
        </w:rPr>
        <w:t xml:space="preserve"> i slijedeće preporuke: </w:t>
      </w:r>
      <w:r w:rsidRPr="0037688D">
        <w:rPr>
          <w:rFonts w:ascii="Calibri" w:eastAsia="Calibri" w:hAnsi="Calibri" w:cs="Calibri"/>
        </w:rPr>
        <w:t>digitaliz</w:t>
      </w:r>
      <w:r>
        <w:rPr>
          <w:rFonts w:ascii="Calibri" w:eastAsia="Calibri" w:hAnsi="Calibri" w:cs="Calibri"/>
        </w:rPr>
        <w:t>irati</w:t>
      </w:r>
      <w:r w:rsidRPr="0037688D">
        <w:rPr>
          <w:rFonts w:ascii="Calibri" w:eastAsia="Calibri" w:hAnsi="Calibri" w:cs="Calibri"/>
        </w:rPr>
        <w:t xml:space="preserve"> uprav</w:t>
      </w:r>
      <w:r>
        <w:rPr>
          <w:rFonts w:ascii="Calibri" w:eastAsia="Calibri" w:hAnsi="Calibri" w:cs="Calibri"/>
        </w:rPr>
        <w:t>u</w:t>
      </w:r>
      <w:r w:rsidRPr="0037688D">
        <w:rPr>
          <w:rFonts w:ascii="Calibri" w:eastAsia="Calibri" w:hAnsi="Calibri" w:cs="Calibri"/>
        </w:rPr>
        <w:t xml:space="preserve"> i njen</w:t>
      </w:r>
      <w:r>
        <w:rPr>
          <w:rFonts w:ascii="Calibri" w:eastAsia="Calibri" w:hAnsi="Calibri" w:cs="Calibri"/>
        </w:rPr>
        <w:t>e</w:t>
      </w:r>
      <w:r w:rsidRPr="0037688D">
        <w:rPr>
          <w:rFonts w:ascii="Calibri" w:eastAsia="Calibri" w:hAnsi="Calibri" w:cs="Calibri"/>
        </w:rPr>
        <w:t xml:space="preserve"> servis</w:t>
      </w:r>
      <w:r>
        <w:rPr>
          <w:rFonts w:ascii="Calibri" w:eastAsia="Calibri" w:hAnsi="Calibri" w:cs="Calibri"/>
        </w:rPr>
        <w:t xml:space="preserve">e, </w:t>
      </w:r>
      <w:r w:rsidRPr="0037688D">
        <w:rPr>
          <w:rFonts w:ascii="Calibri" w:eastAsia="Calibri" w:hAnsi="Calibri" w:cs="Calibri"/>
        </w:rPr>
        <w:t>jača</w:t>
      </w:r>
      <w:r>
        <w:rPr>
          <w:rFonts w:ascii="Calibri" w:eastAsia="Calibri" w:hAnsi="Calibri" w:cs="Calibri"/>
        </w:rPr>
        <w:t>ti</w:t>
      </w:r>
      <w:r w:rsidRPr="0037688D">
        <w:rPr>
          <w:rFonts w:ascii="Calibri" w:eastAsia="Calibri" w:hAnsi="Calibri" w:cs="Calibri"/>
        </w:rPr>
        <w:t xml:space="preserve"> investicij</w:t>
      </w:r>
      <w:r>
        <w:rPr>
          <w:rFonts w:ascii="Calibri" w:eastAsia="Calibri" w:hAnsi="Calibri" w:cs="Calibri"/>
        </w:rPr>
        <w:t>e</w:t>
      </w:r>
      <w:r w:rsidRPr="0037688D">
        <w:rPr>
          <w:rFonts w:ascii="Calibri" w:eastAsia="Calibri" w:hAnsi="Calibri" w:cs="Calibri"/>
        </w:rPr>
        <w:t xml:space="preserve"> privatnog sektora kroz fondove rizičnog kapitala, poslovnih anđela i crowdfunding</w:t>
      </w:r>
      <w:r>
        <w:rPr>
          <w:rFonts w:ascii="Calibri" w:eastAsia="Calibri" w:hAnsi="Calibri" w:cs="Calibri"/>
        </w:rPr>
        <w:t xml:space="preserve">a te </w:t>
      </w:r>
      <w:r w:rsidRPr="0018426B">
        <w:rPr>
          <w:rFonts w:ascii="Calibri" w:eastAsia="Calibri" w:hAnsi="Calibri" w:cs="Calibri"/>
        </w:rPr>
        <w:t>ostvar</w:t>
      </w:r>
      <w:r>
        <w:rPr>
          <w:rFonts w:ascii="Calibri" w:eastAsia="Calibri" w:hAnsi="Calibri" w:cs="Calibri"/>
        </w:rPr>
        <w:t>iti bolju</w:t>
      </w:r>
      <w:r w:rsidRPr="0018426B">
        <w:rPr>
          <w:rFonts w:ascii="Calibri" w:eastAsia="Calibri" w:hAnsi="Calibri" w:cs="Calibri"/>
        </w:rPr>
        <w:t xml:space="preserve"> suradnj</w:t>
      </w:r>
      <w:r>
        <w:rPr>
          <w:rFonts w:ascii="Calibri" w:eastAsia="Calibri" w:hAnsi="Calibri" w:cs="Calibri"/>
        </w:rPr>
        <w:t>u</w:t>
      </w:r>
      <w:r w:rsidRPr="0018426B">
        <w:rPr>
          <w:rFonts w:ascii="Calibri" w:eastAsia="Calibri" w:hAnsi="Calibri" w:cs="Calibri"/>
        </w:rPr>
        <w:t xml:space="preserve"> akademskog, poslovnog i </w:t>
      </w:r>
      <w:r>
        <w:rPr>
          <w:rFonts w:ascii="Calibri" w:eastAsia="Calibri" w:hAnsi="Calibri" w:cs="Calibri"/>
        </w:rPr>
        <w:t xml:space="preserve">javnog </w:t>
      </w:r>
      <w:r w:rsidRPr="0018426B">
        <w:rPr>
          <w:rFonts w:ascii="Calibri" w:eastAsia="Calibri" w:hAnsi="Calibri" w:cs="Calibri"/>
        </w:rPr>
        <w:t>sektora u jačanju inovativnosti i konkurentnosti</w:t>
      </w:r>
      <w:r>
        <w:rPr>
          <w:rFonts w:ascii="Calibri" w:eastAsia="Calibri" w:hAnsi="Calibri" w:cs="Calibri"/>
        </w:rPr>
        <w:t xml:space="preserve">. </w:t>
      </w:r>
      <w:r w:rsidRPr="00004ABF">
        <w:rPr>
          <w:rFonts w:ascii="Calibri" w:eastAsia="Calibri" w:hAnsi="Calibri" w:cs="Calibri"/>
        </w:rPr>
        <w:t>U anketi, po mišljenju gospodarstvenika, kao najpovoljniji indikatori izdvojeni su sljedeći: kvalificirana radna snaga, pouzdana infrastruktura, visoka razina obrazovanja, troškovna konkurentnost</w:t>
      </w:r>
      <w:r>
        <w:rPr>
          <w:rFonts w:ascii="Calibri" w:eastAsia="Calibri" w:hAnsi="Calibri" w:cs="Calibri"/>
        </w:rPr>
        <w:t xml:space="preserve"> i</w:t>
      </w:r>
      <w:r w:rsidRPr="00004ABF">
        <w:rPr>
          <w:rFonts w:ascii="Calibri" w:eastAsia="Calibri" w:hAnsi="Calibri" w:cs="Calibri"/>
        </w:rPr>
        <w:t xml:space="preserve"> pristup financiranju, dok su najlošije ocjenjeni: učinkovito pravno okruženje, sposobnost vlade, stabilnost i predvidljivost politika, konkurentan porezni sustav te poslovno prijateljsko okruženje.</w:t>
      </w:r>
    </w:p>
    <w:p w14:paraId="1B1159E8" w14:textId="29A9AB4F" w:rsidR="00E87AC6" w:rsidRDefault="00E87AC6" w:rsidP="00E87AC6">
      <w:pPr>
        <w:tabs>
          <w:tab w:val="left" w:pos="-720"/>
        </w:tabs>
        <w:suppressAutoHyphens/>
        <w:spacing w:after="200" w:line="240" w:lineRule="auto"/>
        <w:ind w:right="-2"/>
        <w:jc w:val="both"/>
        <w:rPr>
          <w:rFonts w:ascii="Calibri" w:eastAsia="Calibri" w:hAnsi="Calibri" w:cs="Calibri"/>
        </w:rPr>
      </w:pPr>
      <w:r w:rsidRPr="005474A2">
        <w:rPr>
          <w:rFonts w:ascii="Calibri" w:eastAsia="Calibri" w:hAnsi="Calibri" w:cs="Calibri"/>
        </w:rPr>
        <w:t>Što se tiče konkurentnosti na nivou EU, nisu raspoloživi podaci za gradove već za regije. Europska komisija objavila je Indeks regionalne konkurentnosti (RCI) za 2019. godinu na osnovu glavnih čimbenika konkurentnosti tijekom posljednjih deset godina za sve regije na razini NUTS-2 diljem Europske unije.</w:t>
      </w:r>
    </w:p>
    <w:p w14:paraId="7D495D72" w14:textId="77777777" w:rsidR="00710303" w:rsidRDefault="00710303" w:rsidP="00313DF8">
      <w:pPr>
        <w:pStyle w:val="Opisslike"/>
      </w:pPr>
    </w:p>
    <w:p w14:paraId="6D1DC8A4" w14:textId="10D2AD27" w:rsidR="00E2286C" w:rsidRDefault="00313DF8" w:rsidP="00313DF8">
      <w:pPr>
        <w:pStyle w:val="Opisslike"/>
      </w:pPr>
      <w:r>
        <w:t xml:space="preserve">Slika </w:t>
      </w:r>
      <w:r w:rsidR="00751C19">
        <w:fldChar w:fldCharType="begin"/>
      </w:r>
      <w:r w:rsidR="00751C19">
        <w:instrText xml:space="preserve"> SEQ Slika \* ARABIC </w:instrText>
      </w:r>
      <w:r w:rsidR="00751C19">
        <w:fldChar w:fldCharType="separate"/>
      </w:r>
      <w:r w:rsidR="00ED75AB">
        <w:rPr>
          <w:noProof/>
        </w:rPr>
        <w:t>1</w:t>
      </w:r>
      <w:r w:rsidR="00751C19">
        <w:rPr>
          <w:noProof/>
        </w:rPr>
        <w:fldChar w:fldCharType="end"/>
      </w:r>
      <w:r>
        <w:t>.</w:t>
      </w:r>
      <w:r w:rsidRPr="0084251E">
        <w:t>Indeks regionalne konkurentnosti (RCI) za 2019. godinu</w:t>
      </w:r>
    </w:p>
    <w:p w14:paraId="2BC1FFE0" w14:textId="77777777" w:rsidR="00313DF8" w:rsidRPr="00313DF8" w:rsidRDefault="00313DF8" w:rsidP="00313DF8"/>
    <w:p w14:paraId="03B2DF77" w14:textId="77777777" w:rsidR="00E87AC6" w:rsidRPr="00DD5DFB" w:rsidRDefault="00E87AC6" w:rsidP="00E87AC6">
      <w:pPr>
        <w:tabs>
          <w:tab w:val="left" w:pos="-720"/>
        </w:tabs>
        <w:suppressAutoHyphens/>
        <w:spacing w:after="200" w:line="240" w:lineRule="auto"/>
        <w:ind w:right="-2"/>
        <w:jc w:val="both"/>
        <w:rPr>
          <w:rFonts w:ascii="Calibri" w:eastAsia="Calibri" w:hAnsi="Calibri" w:cs="Calibri"/>
        </w:rPr>
      </w:pPr>
      <w:r w:rsidRPr="00E60B41">
        <w:rPr>
          <w:noProof/>
        </w:rPr>
        <w:drawing>
          <wp:inline distT="0" distB="0" distL="0" distR="0" wp14:anchorId="5C9EB952" wp14:editId="503873CF">
            <wp:extent cx="4106064" cy="2585720"/>
            <wp:effectExtent l="0" t="0" r="8890" b="508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42" t="12105" r="24087" b="27062"/>
                    <a:stretch/>
                  </pic:blipFill>
                  <pic:spPr bwMode="auto">
                    <a:xfrm>
                      <a:off x="0" y="0"/>
                      <a:ext cx="4350104" cy="2739400"/>
                    </a:xfrm>
                    <a:prstGeom prst="rect">
                      <a:avLst/>
                    </a:prstGeom>
                    <a:ln>
                      <a:noFill/>
                    </a:ln>
                    <a:extLst>
                      <a:ext uri="{53640926-AAD7-44D8-BBD7-CCE9431645EC}">
                        <a14:shadowObscured xmlns:a14="http://schemas.microsoft.com/office/drawing/2010/main"/>
                      </a:ext>
                    </a:extLst>
                  </pic:spPr>
                </pic:pic>
              </a:graphicData>
            </a:graphic>
          </wp:inline>
        </w:drawing>
      </w:r>
    </w:p>
    <w:p w14:paraId="00338BDC" w14:textId="77777777" w:rsidR="00E87AC6" w:rsidRPr="000E3360" w:rsidRDefault="00E87AC6" w:rsidP="00E87AC6">
      <w:pPr>
        <w:autoSpaceDE w:val="0"/>
        <w:autoSpaceDN w:val="0"/>
        <w:adjustRightInd w:val="0"/>
        <w:spacing w:after="200" w:line="240" w:lineRule="auto"/>
        <w:jc w:val="both"/>
        <w:rPr>
          <w:rFonts w:ascii="Calibri" w:hAnsi="Calibri" w:cs="Calibri"/>
          <w:sz w:val="18"/>
          <w:szCs w:val="18"/>
        </w:rPr>
      </w:pPr>
      <w:r>
        <w:rPr>
          <w:rFonts w:ascii="Calibri" w:hAnsi="Calibri" w:cs="Calibri"/>
          <w:sz w:val="18"/>
          <w:szCs w:val="18"/>
        </w:rPr>
        <w:t xml:space="preserve">Izvor: </w:t>
      </w:r>
      <w:r w:rsidRPr="000E3360">
        <w:rPr>
          <w:rFonts w:ascii="Calibri" w:hAnsi="Calibri" w:cs="Calibri"/>
          <w:sz w:val="18"/>
          <w:szCs w:val="18"/>
        </w:rPr>
        <w:t>https://ec.europa.eu/regional_policy/en/information/maps/regional_competitiveness/#1</w:t>
      </w:r>
    </w:p>
    <w:p w14:paraId="5489302B" w14:textId="77777777" w:rsidR="00E87AC6" w:rsidRPr="005474A2" w:rsidRDefault="00E87AC6" w:rsidP="00E87AC6">
      <w:pPr>
        <w:autoSpaceDE w:val="0"/>
        <w:autoSpaceDN w:val="0"/>
        <w:adjustRightInd w:val="0"/>
        <w:spacing w:after="200" w:line="240" w:lineRule="auto"/>
        <w:jc w:val="both"/>
        <w:rPr>
          <w:rFonts w:ascii="Calibri" w:hAnsi="Calibri" w:cs="Calibri"/>
        </w:rPr>
      </w:pPr>
      <w:r>
        <w:rPr>
          <w:rFonts w:ascii="Calibri" w:hAnsi="Calibri" w:cs="Calibri"/>
        </w:rPr>
        <w:t xml:space="preserve">Prema priloženom RCI Kontinentalna Hrvatska ima score od -0,71; a Jadranska Hrvatska -0,79. </w:t>
      </w:r>
      <w:r w:rsidRPr="00A733E7">
        <w:rPr>
          <w:rFonts w:ascii="Calibri" w:hAnsi="Calibri" w:cs="Calibri"/>
        </w:rPr>
        <w:t>Među pokazateljima važnu ulogu su imali gospodarski, među ostalim i oni koji se odnose na ljudski kapital, tržište rada, tehnološki razvoj, poslovno okruženje i inovacije, a koji ukupno pokazuju  sposobnost regije da ponudi atraktivno i održivo okruženje za tvrtke i stanovnike za život i rad.</w:t>
      </w:r>
    </w:p>
    <w:p w14:paraId="2E09B2C5" w14:textId="4521DB79" w:rsidR="00E87AC6" w:rsidRDefault="00E87AC6" w:rsidP="005A25A2">
      <w:pPr>
        <w:pStyle w:val="Stil2"/>
      </w:pPr>
      <w:bookmarkStart w:id="85" w:name="_Toc97123812"/>
      <w:r w:rsidRPr="00DE02D4">
        <w:t>3.1.9. Vanjskotrgovinska razmjena</w:t>
      </w:r>
      <w:bookmarkEnd w:id="85"/>
    </w:p>
    <w:p w14:paraId="451C0CED" w14:textId="77777777" w:rsidR="00E87AC6" w:rsidRPr="00AF0445" w:rsidRDefault="00E87AC6" w:rsidP="00E87AC6">
      <w:pPr>
        <w:pStyle w:val="StandardWeb"/>
        <w:spacing w:after="0"/>
        <w:jc w:val="both"/>
        <w:rPr>
          <w:rFonts w:asciiTheme="minorHAnsi" w:hAnsiTheme="minorHAnsi" w:cstheme="minorHAnsi"/>
          <w:sz w:val="22"/>
          <w:szCs w:val="22"/>
        </w:rPr>
      </w:pPr>
      <w:r w:rsidRPr="004A2FE2">
        <w:rPr>
          <w:rFonts w:asciiTheme="minorHAnsi" w:hAnsiTheme="minorHAnsi" w:cstheme="minorHAnsi"/>
          <w:sz w:val="22"/>
          <w:szCs w:val="22"/>
        </w:rPr>
        <w:t>Hrvatsko je gospodarstvo godinama obilježavala niska razina robnog izvoza koja se kretala na razini od oko 20% BDP-a. Ipak, nakon 2013. godine, pretež</w:t>
      </w:r>
      <w:r>
        <w:rPr>
          <w:rFonts w:asciiTheme="minorHAnsi" w:hAnsiTheme="minorHAnsi" w:cstheme="minorHAnsi"/>
          <w:sz w:val="22"/>
          <w:szCs w:val="22"/>
        </w:rPr>
        <w:t>ito</w:t>
      </w:r>
      <w:r w:rsidRPr="004A2FE2">
        <w:rPr>
          <w:rFonts w:asciiTheme="minorHAnsi" w:hAnsiTheme="minorHAnsi" w:cstheme="minorHAnsi"/>
          <w:sz w:val="22"/>
          <w:szCs w:val="22"/>
        </w:rPr>
        <w:t xml:space="preserve"> kao posljedica pristupanja Hrvatske Europskoj uniji i stabilnog rasta EU, primjetan je trend rasta tog udjela, te je</w:t>
      </w:r>
      <w:r>
        <w:rPr>
          <w:rFonts w:asciiTheme="minorHAnsi" w:hAnsiTheme="minorHAnsi" w:cstheme="minorHAnsi"/>
          <w:sz w:val="22"/>
          <w:szCs w:val="22"/>
        </w:rPr>
        <w:t xml:space="preserve"> on</w:t>
      </w:r>
      <w:r w:rsidRPr="004A2FE2">
        <w:rPr>
          <w:rFonts w:asciiTheme="minorHAnsi" w:hAnsiTheme="minorHAnsi" w:cstheme="minorHAnsi"/>
          <w:sz w:val="22"/>
          <w:szCs w:val="22"/>
        </w:rPr>
        <w:t xml:space="preserve"> u 2019. povećan na 28,5%. Pritom valja naglasiti da je robna razmjena i nadalje </w:t>
      </w:r>
      <w:r>
        <w:rPr>
          <w:rFonts w:asciiTheme="minorHAnsi" w:hAnsiTheme="minorHAnsi" w:cstheme="minorHAnsi"/>
          <w:sz w:val="22"/>
          <w:szCs w:val="22"/>
        </w:rPr>
        <w:t xml:space="preserve">izuzetno </w:t>
      </w:r>
      <w:r w:rsidRPr="004A2FE2">
        <w:rPr>
          <w:rFonts w:asciiTheme="minorHAnsi" w:hAnsiTheme="minorHAnsi" w:cstheme="minorHAnsi"/>
          <w:sz w:val="22"/>
          <w:szCs w:val="22"/>
        </w:rPr>
        <w:t>snažno koncentrirana na Grad Zagreb</w:t>
      </w:r>
      <w:r>
        <w:rPr>
          <w:rFonts w:asciiTheme="minorHAnsi" w:hAnsiTheme="minorHAnsi" w:cstheme="minorHAnsi"/>
          <w:sz w:val="22"/>
          <w:szCs w:val="22"/>
        </w:rPr>
        <w:t>.</w:t>
      </w:r>
      <w:r w:rsidRPr="004A2FE2">
        <w:rPr>
          <w:rFonts w:asciiTheme="minorHAnsi" w:hAnsiTheme="minorHAnsi" w:cstheme="minorHAnsi"/>
          <w:sz w:val="22"/>
          <w:szCs w:val="22"/>
        </w:rPr>
        <w:t xml:space="preserve"> </w:t>
      </w:r>
    </w:p>
    <w:p w14:paraId="4210CDC0" w14:textId="2D5D531C" w:rsidR="00B66BE0" w:rsidRPr="00E93A23" w:rsidRDefault="00782E62" w:rsidP="00E2286C">
      <w:pPr>
        <w:pStyle w:val="Opisslike"/>
        <w:rPr>
          <w:rFonts w:cstheme="minorHAnsi"/>
          <w:sz w:val="22"/>
          <w:szCs w:val="22"/>
        </w:rPr>
      </w:pPr>
      <w:r>
        <w:t xml:space="preserve">Tablica </w:t>
      </w:r>
      <w:r w:rsidR="00751C19">
        <w:fldChar w:fldCharType="begin"/>
      </w:r>
      <w:r w:rsidR="00751C19">
        <w:instrText xml:space="preserve"> SEQ Tablica \* ARABIC </w:instrText>
      </w:r>
      <w:r w:rsidR="00751C19">
        <w:fldChar w:fldCharType="separate"/>
      </w:r>
      <w:r w:rsidR="00803E25">
        <w:rPr>
          <w:noProof/>
        </w:rPr>
        <w:t>16</w:t>
      </w:r>
      <w:r w:rsidR="00751C19">
        <w:rPr>
          <w:noProof/>
        </w:rPr>
        <w:fldChar w:fldCharType="end"/>
      </w:r>
      <w:r>
        <w:t xml:space="preserve">. </w:t>
      </w:r>
      <w:r w:rsidRPr="006615B4">
        <w:t>Izvoz i uvoz Grada Zagreba i Republike Hrvatske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706"/>
        <w:gridCol w:w="1843"/>
        <w:gridCol w:w="1559"/>
        <w:gridCol w:w="1417"/>
      </w:tblGrid>
      <w:tr w:rsidR="007A2522" w:rsidRPr="00B66BE0" w14:paraId="1809C1D1" w14:textId="77777777" w:rsidTr="00F22E15">
        <w:trPr>
          <w:trHeight w:val="484"/>
        </w:trPr>
        <w:tc>
          <w:tcPr>
            <w:tcW w:w="2542" w:type="dxa"/>
            <w:shd w:val="clear" w:color="auto" w:fill="auto"/>
          </w:tcPr>
          <w:p w14:paraId="19B206D5" w14:textId="77777777" w:rsidR="00B66BE0" w:rsidRPr="00B66BE0" w:rsidRDefault="00B66BE0" w:rsidP="00B66BE0">
            <w:pPr>
              <w:spacing w:after="200" w:line="240" w:lineRule="auto"/>
              <w:jc w:val="both"/>
              <w:rPr>
                <w:rFonts w:eastAsia="Times New Roman" w:cstheme="minorHAnsi"/>
              </w:rPr>
            </w:pPr>
          </w:p>
        </w:tc>
        <w:tc>
          <w:tcPr>
            <w:tcW w:w="1706" w:type="dxa"/>
            <w:shd w:val="clear" w:color="auto" w:fill="auto"/>
          </w:tcPr>
          <w:p w14:paraId="5DBCE92D"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rPr>
              <w:t>2017.</w:t>
            </w:r>
          </w:p>
        </w:tc>
        <w:tc>
          <w:tcPr>
            <w:tcW w:w="1843" w:type="dxa"/>
            <w:shd w:val="clear" w:color="auto" w:fill="auto"/>
          </w:tcPr>
          <w:p w14:paraId="334A4E59"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rPr>
              <w:t>2018.</w:t>
            </w:r>
          </w:p>
        </w:tc>
        <w:tc>
          <w:tcPr>
            <w:tcW w:w="1559" w:type="dxa"/>
          </w:tcPr>
          <w:p w14:paraId="44AC6E7E"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rPr>
              <w:t>2019.</w:t>
            </w:r>
          </w:p>
        </w:tc>
        <w:tc>
          <w:tcPr>
            <w:tcW w:w="1417" w:type="dxa"/>
          </w:tcPr>
          <w:p w14:paraId="2617C086" w14:textId="73682C2B" w:rsidR="00B66BE0" w:rsidRPr="00B66BE0" w:rsidRDefault="007B410B" w:rsidP="00B66BE0">
            <w:pPr>
              <w:spacing w:after="200" w:line="240" w:lineRule="auto"/>
              <w:jc w:val="center"/>
              <w:rPr>
                <w:rFonts w:eastAsia="Times New Roman" w:cstheme="minorHAnsi"/>
              </w:rPr>
            </w:pPr>
            <w:r w:rsidRPr="00B66BE0">
              <w:rPr>
                <w:rFonts w:eastAsia="Times New Roman" w:cstheme="minorHAnsi"/>
              </w:rPr>
              <w:t>2020.</w:t>
            </w:r>
          </w:p>
        </w:tc>
      </w:tr>
      <w:tr w:rsidR="007A2522" w:rsidRPr="00B66BE0" w14:paraId="6CA3AE67" w14:textId="77777777" w:rsidTr="00F22E15">
        <w:trPr>
          <w:trHeight w:val="484"/>
        </w:trPr>
        <w:tc>
          <w:tcPr>
            <w:tcW w:w="2542" w:type="dxa"/>
            <w:shd w:val="clear" w:color="auto" w:fill="auto"/>
          </w:tcPr>
          <w:p w14:paraId="0A6F3A64" w14:textId="77777777" w:rsidR="00B66BE0" w:rsidRPr="00B66BE0" w:rsidRDefault="00B66BE0" w:rsidP="00B66BE0">
            <w:pPr>
              <w:spacing w:after="200" w:line="240" w:lineRule="auto"/>
              <w:jc w:val="both"/>
              <w:rPr>
                <w:rFonts w:eastAsia="Times New Roman" w:cstheme="minorHAnsi"/>
                <w:b/>
                <w:bCs/>
              </w:rPr>
            </w:pPr>
            <w:r w:rsidRPr="00B66BE0">
              <w:rPr>
                <w:rFonts w:eastAsia="Times New Roman" w:cstheme="minorHAnsi"/>
                <w:b/>
                <w:bCs/>
              </w:rPr>
              <w:t>Izvoz</w:t>
            </w:r>
          </w:p>
        </w:tc>
        <w:tc>
          <w:tcPr>
            <w:tcW w:w="1706" w:type="dxa"/>
            <w:shd w:val="clear" w:color="auto" w:fill="auto"/>
          </w:tcPr>
          <w:p w14:paraId="681FB404" w14:textId="77777777" w:rsidR="00B66BE0" w:rsidRPr="00B66BE0" w:rsidRDefault="00B66BE0" w:rsidP="00B66BE0">
            <w:pPr>
              <w:spacing w:after="200" w:line="240" w:lineRule="auto"/>
              <w:jc w:val="both"/>
              <w:rPr>
                <w:rFonts w:eastAsia="Times New Roman" w:cstheme="minorHAnsi"/>
              </w:rPr>
            </w:pPr>
          </w:p>
        </w:tc>
        <w:tc>
          <w:tcPr>
            <w:tcW w:w="1843" w:type="dxa"/>
            <w:shd w:val="clear" w:color="auto" w:fill="auto"/>
          </w:tcPr>
          <w:p w14:paraId="2349E54E" w14:textId="77777777" w:rsidR="00B66BE0" w:rsidRPr="00B66BE0" w:rsidRDefault="00B66BE0" w:rsidP="00B66BE0">
            <w:pPr>
              <w:spacing w:after="200" w:line="240" w:lineRule="auto"/>
              <w:jc w:val="both"/>
              <w:rPr>
                <w:rFonts w:eastAsia="Times New Roman" w:cstheme="minorHAnsi"/>
              </w:rPr>
            </w:pPr>
          </w:p>
        </w:tc>
        <w:tc>
          <w:tcPr>
            <w:tcW w:w="1559" w:type="dxa"/>
          </w:tcPr>
          <w:p w14:paraId="64EEB1BB" w14:textId="77777777" w:rsidR="00B66BE0" w:rsidRPr="00B66BE0" w:rsidRDefault="00B66BE0" w:rsidP="00B66BE0">
            <w:pPr>
              <w:spacing w:after="200" w:line="240" w:lineRule="auto"/>
              <w:jc w:val="both"/>
              <w:rPr>
                <w:rFonts w:eastAsia="Times New Roman" w:cstheme="minorHAnsi"/>
              </w:rPr>
            </w:pPr>
          </w:p>
        </w:tc>
        <w:tc>
          <w:tcPr>
            <w:tcW w:w="1417" w:type="dxa"/>
          </w:tcPr>
          <w:p w14:paraId="34254F51" w14:textId="77777777" w:rsidR="00B66BE0" w:rsidRPr="00B66BE0" w:rsidRDefault="00B66BE0" w:rsidP="00B66BE0">
            <w:pPr>
              <w:spacing w:after="200" w:line="240" w:lineRule="auto"/>
              <w:jc w:val="both"/>
              <w:rPr>
                <w:rFonts w:eastAsia="Times New Roman" w:cstheme="minorHAnsi"/>
              </w:rPr>
            </w:pPr>
          </w:p>
        </w:tc>
      </w:tr>
      <w:tr w:rsidR="007A2522" w:rsidRPr="00B66BE0" w14:paraId="70D5398E" w14:textId="77777777" w:rsidTr="00F22E15">
        <w:trPr>
          <w:trHeight w:val="484"/>
        </w:trPr>
        <w:tc>
          <w:tcPr>
            <w:tcW w:w="2542" w:type="dxa"/>
            <w:shd w:val="clear" w:color="auto" w:fill="auto"/>
          </w:tcPr>
          <w:p w14:paraId="139991EF" w14:textId="77777777" w:rsidR="00B66BE0" w:rsidRPr="00B66BE0" w:rsidRDefault="00B66BE0" w:rsidP="00B66BE0">
            <w:pPr>
              <w:spacing w:after="200" w:line="240" w:lineRule="auto"/>
              <w:jc w:val="both"/>
              <w:rPr>
                <w:rFonts w:eastAsia="Times New Roman" w:cstheme="minorHAnsi"/>
              </w:rPr>
            </w:pPr>
            <w:r w:rsidRPr="00B66BE0">
              <w:rPr>
                <w:rFonts w:eastAsia="Times New Roman" w:cstheme="minorHAnsi"/>
              </w:rPr>
              <w:t>Republika Hrvatska</w:t>
            </w:r>
          </w:p>
        </w:tc>
        <w:tc>
          <w:tcPr>
            <w:tcW w:w="1706" w:type="dxa"/>
            <w:shd w:val="clear" w:color="auto" w:fill="auto"/>
          </w:tcPr>
          <w:p w14:paraId="058038F2"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104 600 956</w:t>
            </w:r>
          </w:p>
        </w:tc>
        <w:tc>
          <w:tcPr>
            <w:tcW w:w="1843" w:type="dxa"/>
            <w:shd w:val="clear" w:color="auto" w:fill="auto"/>
          </w:tcPr>
          <w:p w14:paraId="23155B75"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107 913 440</w:t>
            </w:r>
          </w:p>
        </w:tc>
        <w:tc>
          <w:tcPr>
            <w:tcW w:w="1559" w:type="dxa"/>
          </w:tcPr>
          <w:p w14:paraId="05624C2F"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114.208.503</w:t>
            </w:r>
          </w:p>
        </w:tc>
        <w:tc>
          <w:tcPr>
            <w:tcW w:w="1417" w:type="dxa"/>
          </w:tcPr>
          <w:p w14:paraId="27114ECA"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112.130.754</w:t>
            </w:r>
          </w:p>
        </w:tc>
      </w:tr>
      <w:tr w:rsidR="007A2522" w:rsidRPr="00B66BE0" w14:paraId="198759F6" w14:textId="77777777" w:rsidTr="00F22E15">
        <w:trPr>
          <w:trHeight w:val="468"/>
        </w:trPr>
        <w:tc>
          <w:tcPr>
            <w:tcW w:w="2542" w:type="dxa"/>
            <w:shd w:val="clear" w:color="auto" w:fill="auto"/>
          </w:tcPr>
          <w:p w14:paraId="0152CDC0" w14:textId="77777777" w:rsidR="00B66BE0" w:rsidRPr="00B66BE0" w:rsidRDefault="00B66BE0" w:rsidP="00B66BE0">
            <w:pPr>
              <w:spacing w:after="200" w:line="240" w:lineRule="auto"/>
              <w:jc w:val="both"/>
              <w:rPr>
                <w:rFonts w:eastAsia="Times New Roman" w:cstheme="minorHAnsi"/>
              </w:rPr>
            </w:pPr>
            <w:r w:rsidRPr="00B66BE0">
              <w:rPr>
                <w:rFonts w:eastAsia="Times New Roman" w:cstheme="minorHAnsi"/>
              </w:rPr>
              <w:t>Grad Zagreb</w:t>
            </w:r>
          </w:p>
        </w:tc>
        <w:tc>
          <w:tcPr>
            <w:tcW w:w="1706" w:type="dxa"/>
            <w:shd w:val="clear" w:color="auto" w:fill="auto"/>
          </w:tcPr>
          <w:p w14:paraId="60ABF885"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33 283 999</w:t>
            </w:r>
          </w:p>
        </w:tc>
        <w:tc>
          <w:tcPr>
            <w:tcW w:w="1843" w:type="dxa"/>
            <w:shd w:val="clear" w:color="auto" w:fill="auto"/>
          </w:tcPr>
          <w:p w14:paraId="4069E1E1"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33 381 275</w:t>
            </w:r>
          </w:p>
        </w:tc>
        <w:tc>
          <w:tcPr>
            <w:tcW w:w="1559" w:type="dxa"/>
          </w:tcPr>
          <w:p w14:paraId="390B58B2"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35.210.291</w:t>
            </w:r>
          </w:p>
        </w:tc>
        <w:tc>
          <w:tcPr>
            <w:tcW w:w="1417" w:type="dxa"/>
          </w:tcPr>
          <w:p w14:paraId="035663FC"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32.585.607</w:t>
            </w:r>
          </w:p>
        </w:tc>
      </w:tr>
      <w:tr w:rsidR="007A2522" w:rsidRPr="00B66BE0" w14:paraId="155C48B3" w14:textId="77777777" w:rsidTr="00F22E15">
        <w:trPr>
          <w:trHeight w:val="462"/>
        </w:trPr>
        <w:tc>
          <w:tcPr>
            <w:tcW w:w="2542" w:type="dxa"/>
            <w:shd w:val="clear" w:color="auto" w:fill="auto"/>
          </w:tcPr>
          <w:p w14:paraId="3A03AFDD" w14:textId="77777777" w:rsidR="00B66BE0" w:rsidRPr="00E93A23" w:rsidRDefault="00B66BE0" w:rsidP="00B66BE0">
            <w:pPr>
              <w:spacing w:after="200" w:line="240" w:lineRule="auto"/>
              <w:jc w:val="both"/>
              <w:rPr>
                <w:rFonts w:eastAsia="Times New Roman" w:cstheme="minorHAnsi"/>
              </w:rPr>
            </w:pPr>
            <w:r w:rsidRPr="00E93A23">
              <w:rPr>
                <w:rFonts w:eastAsia="Times New Roman" w:cstheme="minorHAnsi"/>
                <w:lang w:val="en-GB"/>
              </w:rPr>
              <w:t>Udio Grada Zagreba, %</w:t>
            </w:r>
          </w:p>
        </w:tc>
        <w:tc>
          <w:tcPr>
            <w:tcW w:w="1706" w:type="dxa"/>
            <w:shd w:val="clear" w:color="auto" w:fill="auto"/>
          </w:tcPr>
          <w:p w14:paraId="3A7E9457" w14:textId="77777777" w:rsidR="00B66BE0" w:rsidRPr="00E93A23" w:rsidRDefault="00B66BE0" w:rsidP="00B66BE0">
            <w:pPr>
              <w:spacing w:after="200" w:line="240" w:lineRule="auto"/>
              <w:jc w:val="center"/>
              <w:rPr>
                <w:rFonts w:eastAsia="Times New Roman" w:cstheme="minorHAnsi"/>
              </w:rPr>
            </w:pPr>
            <w:r w:rsidRPr="00E93A23">
              <w:rPr>
                <w:rFonts w:eastAsia="Times New Roman" w:cstheme="minorHAnsi"/>
              </w:rPr>
              <w:t>31,8</w:t>
            </w:r>
          </w:p>
        </w:tc>
        <w:tc>
          <w:tcPr>
            <w:tcW w:w="1843" w:type="dxa"/>
            <w:shd w:val="clear" w:color="auto" w:fill="auto"/>
          </w:tcPr>
          <w:p w14:paraId="250DAC64" w14:textId="77777777" w:rsidR="00B66BE0" w:rsidRPr="00E93A23" w:rsidRDefault="00B66BE0" w:rsidP="00B66BE0">
            <w:pPr>
              <w:spacing w:after="200" w:line="240" w:lineRule="auto"/>
              <w:jc w:val="center"/>
              <w:rPr>
                <w:rFonts w:eastAsia="Times New Roman" w:cstheme="minorHAnsi"/>
              </w:rPr>
            </w:pPr>
            <w:r w:rsidRPr="00E93A23">
              <w:rPr>
                <w:rFonts w:eastAsia="Times New Roman" w:cstheme="minorHAnsi"/>
              </w:rPr>
              <w:t>30,9</w:t>
            </w:r>
          </w:p>
        </w:tc>
        <w:tc>
          <w:tcPr>
            <w:tcW w:w="1559" w:type="dxa"/>
          </w:tcPr>
          <w:p w14:paraId="189B498E" w14:textId="77777777" w:rsidR="00B66BE0" w:rsidRPr="00E93A23" w:rsidRDefault="00B66BE0" w:rsidP="00B66BE0">
            <w:pPr>
              <w:spacing w:after="200" w:line="240" w:lineRule="auto"/>
              <w:jc w:val="center"/>
              <w:rPr>
                <w:rFonts w:eastAsia="Times New Roman" w:cstheme="minorHAnsi"/>
              </w:rPr>
            </w:pPr>
            <w:r w:rsidRPr="00E93A23">
              <w:rPr>
                <w:rFonts w:eastAsia="Times New Roman" w:cstheme="minorHAnsi"/>
              </w:rPr>
              <w:t>32,20</w:t>
            </w:r>
          </w:p>
        </w:tc>
        <w:tc>
          <w:tcPr>
            <w:tcW w:w="1417" w:type="dxa"/>
          </w:tcPr>
          <w:p w14:paraId="18617C2B" w14:textId="77777777" w:rsidR="00B66BE0" w:rsidRPr="00E93A23" w:rsidRDefault="00B66BE0" w:rsidP="00B66BE0">
            <w:pPr>
              <w:spacing w:after="200" w:line="240" w:lineRule="auto"/>
              <w:jc w:val="center"/>
              <w:rPr>
                <w:rFonts w:eastAsia="Times New Roman" w:cstheme="minorHAnsi"/>
              </w:rPr>
            </w:pPr>
            <w:r w:rsidRPr="00E93A23">
              <w:rPr>
                <w:rFonts w:eastAsia="Times New Roman" w:cstheme="minorHAnsi"/>
              </w:rPr>
              <w:t>29,06</w:t>
            </w:r>
          </w:p>
        </w:tc>
      </w:tr>
      <w:tr w:rsidR="007A2522" w:rsidRPr="00B66BE0" w14:paraId="6BE7FF2A" w14:textId="77777777" w:rsidTr="00F22E15">
        <w:trPr>
          <w:trHeight w:val="484"/>
        </w:trPr>
        <w:tc>
          <w:tcPr>
            <w:tcW w:w="2542" w:type="dxa"/>
            <w:shd w:val="clear" w:color="auto" w:fill="auto"/>
          </w:tcPr>
          <w:p w14:paraId="6B90671F" w14:textId="77777777" w:rsidR="00B66BE0" w:rsidRPr="00B66BE0" w:rsidRDefault="00B66BE0" w:rsidP="00B66BE0">
            <w:pPr>
              <w:spacing w:after="200" w:line="240" w:lineRule="auto"/>
              <w:jc w:val="both"/>
              <w:rPr>
                <w:rFonts w:eastAsia="Times New Roman" w:cstheme="minorHAnsi"/>
                <w:b/>
                <w:bCs/>
              </w:rPr>
            </w:pPr>
            <w:r w:rsidRPr="00B66BE0">
              <w:rPr>
                <w:rFonts w:eastAsia="Times New Roman" w:cstheme="minorHAnsi"/>
                <w:b/>
                <w:bCs/>
              </w:rPr>
              <w:t>Uvoz</w:t>
            </w:r>
          </w:p>
        </w:tc>
        <w:tc>
          <w:tcPr>
            <w:tcW w:w="1706" w:type="dxa"/>
            <w:shd w:val="clear" w:color="auto" w:fill="auto"/>
          </w:tcPr>
          <w:p w14:paraId="1DD0F172" w14:textId="77777777" w:rsidR="00B66BE0" w:rsidRPr="00B66BE0" w:rsidRDefault="00B66BE0" w:rsidP="00B66BE0">
            <w:pPr>
              <w:spacing w:after="200" w:line="240" w:lineRule="auto"/>
              <w:jc w:val="center"/>
              <w:rPr>
                <w:rFonts w:eastAsia="Times New Roman" w:cstheme="minorHAnsi"/>
              </w:rPr>
            </w:pPr>
          </w:p>
        </w:tc>
        <w:tc>
          <w:tcPr>
            <w:tcW w:w="1843" w:type="dxa"/>
            <w:shd w:val="clear" w:color="auto" w:fill="auto"/>
          </w:tcPr>
          <w:p w14:paraId="73CB6C84" w14:textId="77777777" w:rsidR="00B66BE0" w:rsidRPr="00B66BE0" w:rsidRDefault="00B66BE0" w:rsidP="00B66BE0">
            <w:pPr>
              <w:spacing w:after="200" w:line="240" w:lineRule="auto"/>
              <w:jc w:val="center"/>
              <w:rPr>
                <w:rFonts w:eastAsia="Times New Roman" w:cstheme="minorHAnsi"/>
              </w:rPr>
            </w:pPr>
          </w:p>
        </w:tc>
        <w:tc>
          <w:tcPr>
            <w:tcW w:w="1559" w:type="dxa"/>
          </w:tcPr>
          <w:p w14:paraId="5E0EF671" w14:textId="77777777" w:rsidR="00B66BE0" w:rsidRPr="00B66BE0" w:rsidRDefault="00B66BE0" w:rsidP="00B66BE0">
            <w:pPr>
              <w:spacing w:after="200" w:line="240" w:lineRule="auto"/>
              <w:jc w:val="center"/>
              <w:rPr>
                <w:rFonts w:eastAsia="Times New Roman" w:cstheme="minorHAnsi"/>
              </w:rPr>
            </w:pPr>
          </w:p>
        </w:tc>
        <w:tc>
          <w:tcPr>
            <w:tcW w:w="1417" w:type="dxa"/>
          </w:tcPr>
          <w:p w14:paraId="7F113BDE" w14:textId="77777777" w:rsidR="00B66BE0" w:rsidRPr="00B66BE0" w:rsidRDefault="00B66BE0" w:rsidP="00B66BE0">
            <w:pPr>
              <w:spacing w:after="200" w:line="240" w:lineRule="auto"/>
              <w:jc w:val="center"/>
              <w:rPr>
                <w:rFonts w:eastAsia="Times New Roman" w:cstheme="minorHAnsi"/>
              </w:rPr>
            </w:pPr>
          </w:p>
        </w:tc>
      </w:tr>
      <w:tr w:rsidR="007A2522" w:rsidRPr="00B66BE0" w14:paraId="0E556A32" w14:textId="77777777" w:rsidTr="00F22E15">
        <w:trPr>
          <w:trHeight w:val="484"/>
        </w:trPr>
        <w:tc>
          <w:tcPr>
            <w:tcW w:w="2542" w:type="dxa"/>
            <w:shd w:val="clear" w:color="auto" w:fill="auto"/>
          </w:tcPr>
          <w:p w14:paraId="59223B6C" w14:textId="77777777" w:rsidR="00B66BE0" w:rsidRPr="00B66BE0" w:rsidRDefault="00B66BE0" w:rsidP="00B66BE0">
            <w:pPr>
              <w:spacing w:after="200" w:line="240" w:lineRule="auto"/>
              <w:jc w:val="both"/>
              <w:rPr>
                <w:rFonts w:eastAsia="Times New Roman" w:cstheme="minorHAnsi"/>
              </w:rPr>
            </w:pPr>
            <w:r w:rsidRPr="00B66BE0">
              <w:rPr>
                <w:rFonts w:eastAsia="Times New Roman" w:cstheme="minorHAnsi"/>
              </w:rPr>
              <w:t>Republika Hrvatska</w:t>
            </w:r>
          </w:p>
        </w:tc>
        <w:tc>
          <w:tcPr>
            <w:tcW w:w="1706" w:type="dxa"/>
            <w:shd w:val="clear" w:color="auto" w:fill="auto"/>
          </w:tcPr>
          <w:p w14:paraId="114E9693"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163 313 126</w:t>
            </w:r>
          </w:p>
        </w:tc>
        <w:tc>
          <w:tcPr>
            <w:tcW w:w="1843" w:type="dxa"/>
            <w:shd w:val="clear" w:color="auto" w:fill="auto"/>
          </w:tcPr>
          <w:p w14:paraId="0EF32DF1"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176 215 726</w:t>
            </w:r>
          </w:p>
        </w:tc>
        <w:tc>
          <w:tcPr>
            <w:tcW w:w="1559" w:type="dxa"/>
          </w:tcPr>
          <w:p w14:paraId="2236344B"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184.271.464</w:t>
            </w:r>
          </w:p>
        </w:tc>
        <w:tc>
          <w:tcPr>
            <w:tcW w:w="1417" w:type="dxa"/>
          </w:tcPr>
          <w:p w14:paraId="1480EE80"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172.433.263</w:t>
            </w:r>
          </w:p>
        </w:tc>
      </w:tr>
      <w:tr w:rsidR="007A2522" w:rsidRPr="00B66BE0" w14:paraId="3BB40317" w14:textId="77777777" w:rsidTr="00F22E15">
        <w:trPr>
          <w:trHeight w:val="484"/>
        </w:trPr>
        <w:tc>
          <w:tcPr>
            <w:tcW w:w="2542" w:type="dxa"/>
            <w:shd w:val="clear" w:color="auto" w:fill="auto"/>
          </w:tcPr>
          <w:p w14:paraId="0DAD7185" w14:textId="77777777" w:rsidR="00B66BE0" w:rsidRPr="00B66BE0" w:rsidRDefault="00B66BE0" w:rsidP="00B66BE0">
            <w:pPr>
              <w:spacing w:after="200" w:line="240" w:lineRule="auto"/>
              <w:jc w:val="both"/>
              <w:rPr>
                <w:rFonts w:eastAsia="Times New Roman" w:cstheme="minorHAnsi"/>
              </w:rPr>
            </w:pPr>
            <w:r w:rsidRPr="00B66BE0">
              <w:rPr>
                <w:rFonts w:eastAsia="Times New Roman" w:cstheme="minorHAnsi"/>
              </w:rPr>
              <w:t>Grad Zagreb</w:t>
            </w:r>
          </w:p>
        </w:tc>
        <w:tc>
          <w:tcPr>
            <w:tcW w:w="1706" w:type="dxa"/>
            <w:shd w:val="clear" w:color="auto" w:fill="auto"/>
          </w:tcPr>
          <w:p w14:paraId="51E8B0F7"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80 129 738</w:t>
            </w:r>
          </w:p>
        </w:tc>
        <w:tc>
          <w:tcPr>
            <w:tcW w:w="1843" w:type="dxa"/>
            <w:shd w:val="clear" w:color="auto" w:fill="auto"/>
          </w:tcPr>
          <w:p w14:paraId="66D9CFAA"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lang w:val="en-GB"/>
              </w:rPr>
              <w:t>86 104 137</w:t>
            </w:r>
          </w:p>
        </w:tc>
        <w:tc>
          <w:tcPr>
            <w:tcW w:w="1559" w:type="dxa"/>
          </w:tcPr>
          <w:p w14:paraId="4D00A817"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93.081.942</w:t>
            </w:r>
          </w:p>
        </w:tc>
        <w:tc>
          <w:tcPr>
            <w:tcW w:w="1417" w:type="dxa"/>
          </w:tcPr>
          <w:p w14:paraId="2D3D5372" w14:textId="77777777" w:rsidR="00B66BE0" w:rsidRPr="00B66BE0" w:rsidRDefault="00B66BE0" w:rsidP="00B66BE0">
            <w:pPr>
              <w:spacing w:after="200" w:line="240" w:lineRule="auto"/>
              <w:jc w:val="center"/>
              <w:rPr>
                <w:rFonts w:eastAsia="Times New Roman" w:cstheme="minorHAnsi"/>
                <w:lang w:val="en-GB"/>
              </w:rPr>
            </w:pPr>
            <w:r w:rsidRPr="00B66BE0">
              <w:rPr>
                <w:rFonts w:eastAsia="Times New Roman" w:cstheme="minorHAnsi"/>
                <w:lang w:val="en-GB"/>
              </w:rPr>
              <w:t>84.501.373</w:t>
            </w:r>
          </w:p>
        </w:tc>
      </w:tr>
      <w:tr w:rsidR="007A2522" w:rsidRPr="00B66BE0" w14:paraId="2A1C7634" w14:textId="77777777" w:rsidTr="00F22E15">
        <w:trPr>
          <w:trHeight w:val="492"/>
        </w:trPr>
        <w:tc>
          <w:tcPr>
            <w:tcW w:w="2542" w:type="dxa"/>
            <w:shd w:val="clear" w:color="auto" w:fill="auto"/>
          </w:tcPr>
          <w:p w14:paraId="1EB26F3A" w14:textId="77777777" w:rsidR="00B66BE0" w:rsidRPr="00B66BE0" w:rsidRDefault="00B66BE0" w:rsidP="00B66BE0">
            <w:pPr>
              <w:spacing w:after="200" w:line="240" w:lineRule="auto"/>
              <w:jc w:val="both"/>
              <w:rPr>
                <w:rFonts w:eastAsia="Times New Roman" w:cstheme="minorHAnsi"/>
              </w:rPr>
            </w:pPr>
            <w:r w:rsidRPr="00B66BE0">
              <w:rPr>
                <w:rFonts w:eastAsia="Times New Roman" w:cstheme="minorHAnsi"/>
                <w:lang w:val="en-GB"/>
              </w:rPr>
              <w:t>Udio Grada Zagreba, %</w:t>
            </w:r>
          </w:p>
        </w:tc>
        <w:tc>
          <w:tcPr>
            <w:tcW w:w="1706" w:type="dxa"/>
            <w:shd w:val="clear" w:color="auto" w:fill="auto"/>
          </w:tcPr>
          <w:p w14:paraId="3E61CE8D"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rPr>
              <w:t>49,1</w:t>
            </w:r>
          </w:p>
        </w:tc>
        <w:tc>
          <w:tcPr>
            <w:tcW w:w="1843" w:type="dxa"/>
            <w:shd w:val="clear" w:color="auto" w:fill="auto"/>
          </w:tcPr>
          <w:p w14:paraId="493DBFD4"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rPr>
              <w:t>48,9</w:t>
            </w:r>
          </w:p>
        </w:tc>
        <w:tc>
          <w:tcPr>
            <w:tcW w:w="1559" w:type="dxa"/>
          </w:tcPr>
          <w:p w14:paraId="60F5023A"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rPr>
              <w:t>50,33</w:t>
            </w:r>
          </w:p>
        </w:tc>
        <w:tc>
          <w:tcPr>
            <w:tcW w:w="1417" w:type="dxa"/>
          </w:tcPr>
          <w:p w14:paraId="32635F96" w14:textId="77777777" w:rsidR="00B66BE0" w:rsidRPr="00B66BE0" w:rsidRDefault="00B66BE0" w:rsidP="00B66BE0">
            <w:pPr>
              <w:spacing w:after="200" w:line="240" w:lineRule="auto"/>
              <w:jc w:val="center"/>
              <w:rPr>
                <w:rFonts w:eastAsia="Times New Roman" w:cstheme="minorHAnsi"/>
              </w:rPr>
            </w:pPr>
            <w:r w:rsidRPr="00B66BE0">
              <w:rPr>
                <w:rFonts w:eastAsia="Times New Roman" w:cstheme="minorHAnsi"/>
              </w:rPr>
              <w:t>49,01</w:t>
            </w:r>
          </w:p>
        </w:tc>
      </w:tr>
    </w:tbl>
    <w:p w14:paraId="0067EDE5" w14:textId="77777777" w:rsidR="00B66BE0" w:rsidRPr="00B66BE0" w:rsidRDefault="00B66BE0" w:rsidP="00B66BE0">
      <w:pPr>
        <w:spacing w:after="200" w:line="240" w:lineRule="auto"/>
        <w:jc w:val="both"/>
        <w:rPr>
          <w:rFonts w:eastAsia="Calibri" w:cstheme="minorHAnsi"/>
        </w:rPr>
      </w:pPr>
      <w:r w:rsidRPr="00B66BE0">
        <w:rPr>
          <w:rFonts w:eastAsia="Calibri" w:cstheme="minorHAnsi"/>
        </w:rPr>
        <w:t>Izvor: Izvor: DZS; obrada: RAZ</w:t>
      </w:r>
    </w:p>
    <w:p w14:paraId="667985AF" w14:textId="77777777" w:rsidR="00B66BE0" w:rsidRDefault="00B66BE0" w:rsidP="00E87AC6">
      <w:pPr>
        <w:spacing w:after="200" w:line="240" w:lineRule="auto"/>
        <w:jc w:val="both"/>
        <w:rPr>
          <w:rFonts w:ascii="Calibri" w:eastAsia="Calibri" w:hAnsi="Calibri" w:cs="Calibri"/>
        </w:rPr>
      </w:pPr>
    </w:p>
    <w:p w14:paraId="0DA6087E" w14:textId="59E31BBF" w:rsidR="00E87AC6" w:rsidRDefault="00E87AC6" w:rsidP="00E87AC6">
      <w:pPr>
        <w:spacing w:after="200" w:line="240" w:lineRule="auto"/>
        <w:jc w:val="both"/>
        <w:rPr>
          <w:rFonts w:ascii="Calibri" w:eastAsia="Calibri" w:hAnsi="Calibri" w:cs="Calibri"/>
        </w:rPr>
      </w:pPr>
      <w:r w:rsidRPr="003D2869">
        <w:rPr>
          <w:rFonts w:ascii="Calibri" w:eastAsia="Calibri" w:hAnsi="Calibri" w:cs="Calibri"/>
        </w:rPr>
        <w:t xml:space="preserve">Prema podacima </w:t>
      </w:r>
      <w:r>
        <w:rPr>
          <w:rFonts w:ascii="Calibri" w:eastAsia="Calibri" w:hAnsi="Calibri" w:cs="Calibri"/>
        </w:rPr>
        <w:t xml:space="preserve">Državnog zavoda za statistiku </w:t>
      </w:r>
      <w:r w:rsidRPr="003D2869">
        <w:rPr>
          <w:rFonts w:ascii="Calibri" w:eastAsia="Calibri" w:hAnsi="Calibri" w:cs="Calibri"/>
        </w:rPr>
        <w:t>ukupan robni izvoz Grada Zagreba u 20</w:t>
      </w:r>
      <w:r w:rsidR="00B66BE0">
        <w:rPr>
          <w:rFonts w:ascii="Calibri" w:eastAsia="Calibri" w:hAnsi="Calibri" w:cs="Calibri"/>
        </w:rPr>
        <w:t>20</w:t>
      </w:r>
      <w:r w:rsidRPr="003D2869">
        <w:rPr>
          <w:rFonts w:ascii="Calibri" w:eastAsia="Calibri" w:hAnsi="Calibri" w:cs="Calibri"/>
        </w:rPr>
        <w:t xml:space="preserve">. godini je iznosio </w:t>
      </w:r>
      <w:r w:rsidR="00B66BE0">
        <w:rPr>
          <w:rFonts w:ascii="Calibri" w:eastAsia="Calibri" w:hAnsi="Calibri" w:cs="Calibri"/>
        </w:rPr>
        <w:t>32,6</w:t>
      </w:r>
      <w:r w:rsidRPr="003D2869">
        <w:rPr>
          <w:rFonts w:ascii="Calibri" w:eastAsia="Calibri" w:hAnsi="Calibri" w:cs="Calibri"/>
        </w:rPr>
        <w:t xml:space="preserve"> milijardi kuna</w:t>
      </w:r>
      <w:r>
        <w:rPr>
          <w:rFonts w:ascii="Calibri" w:eastAsia="Calibri" w:hAnsi="Calibri" w:cs="Calibri"/>
        </w:rPr>
        <w:t xml:space="preserve"> što predstavlja udjel od </w:t>
      </w:r>
      <w:r w:rsidR="00B66BE0">
        <w:rPr>
          <w:rFonts w:ascii="Calibri" w:eastAsia="Calibri" w:hAnsi="Calibri" w:cs="Calibri"/>
        </w:rPr>
        <w:t>29,06</w:t>
      </w:r>
      <w:r>
        <w:rPr>
          <w:rFonts w:ascii="Calibri" w:eastAsia="Calibri" w:hAnsi="Calibri" w:cs="Calibri"/>
        </w:rPr>
        <w:t xml:space="preserve">% ukupnog izvoza RH i pozicionira Grad Zagreb na </w:t>
      </w:r>
      <w:r w:rsidRPr="000853E5">
        <w:rPr>
          <w:rFonts w:ascii="Calibri" w:eastAsia="Calibri" w:hAnsi="Calibri" w:cs="Calibri"/>
        </w:rPr>
        <w:t>prvo mjesto u vanjskotrgovinskoj razmjeni Hrvatsk</w:t>
      </w:r>
      <w:r>
        <w:rPr>
          <w:rFonts w:ascii="Calibri" w:eastAsia="Calibri" w:hAnsi="Calibri" w:cs="Calibri"/>
        </w:rPr>
        <w:t xml:space="preserve">e; </w:t>
      </w:r>
      <w:r w:rsidRPr="003D2869">
        <w:rPr>
          <w:rFonts w:ascii="Calibri" w:eastAsia="Calibri" w:hAnsi="Calibri" w:cs="Calibri"/>
        </w:rPr>
        <w:t xml:space="preserve">dok je uvoz bio </w:t>
      </w:r>
      <w:r w:rsidR="00B66BE0">
        <w:rPr>
          <w:rFonts w:ascii="Calibri" w:eastAsia="Calibri" w:hAnsi="Calibri" w:cs="Calibri"/>
        </w:rPr>
        <w:t>84,5</w:t>
      </w:r>
      <w:r w:rsidRPr="003D2869">
        <w:rPr>
          <w:rFonts w:ascii="Calibri" w:eastAsia="Calibri" w:hAnsi="Calibri" w:cs="Calibri"/>
        </w:rPr>
        <w:t xml:space="preserve"> milijarde kuna</w:t>
      </w:r>
      <w:r>
        <w:rPr>
          <w:rFonts w:ascii="Calibri" w:eastAsia="Calibri" w:hAnsi="Calibri" w:cs="Calibri"/>
        </w:rPr>
        <w:t xml:space="preserve"> što čini visokih </w:t>
      </w:r>
      <w:r w:rsidR="00B66BE0">
        <w:rPr>
          <w:rFonts w:ascii="Calibri" w:eastAsia="Calibri" w:hAnsi="Calibri" w:cs="Calibri"/>
        </w:rPr>
        <w:t xml:space="preserve">49,01 </w:t>
      </w:r>
      <w:r>
        <w:rPr>
          <w:rFonts w:ascii="Calibri" w:eastAsia="Calibri" w:hAnsi="Calibri" w:cs="Calibri"/>
        </w:rPr>
        <w:t xml:space="preserve">% </w:t>
      </w:r>
      <w:r w:rsidRPr="000853E5">
        <w:rPr>
          <w:rFonts w:ascii="Calibri" w:eastAsia="Calibri" w:hAnsi="Calibri" w:cs="Calibri"/>
        </w:rPr>
        <w:t>u ukupnom robnom uvozu</w:t>
      </w:r>
      <w:r>
        <w:rPr>
          <w:rFonts w:ascii="Calibri" w:eastAsia="Calibri" w:hAnsi="Calibri" w:cs="Calibri"/>
        </w:rPr>
        <w:t xml:space="preserve"> zemlje</w:t>
      </w:r>
      <w:r w:rsidRPr="000853E5">
        <w:rPr>
          <w:rFonts w:ascii="Calibri" w:eastAsia="Calibri" w:hAnsi="Calibri" w:cs="Calibri"/>
        </w:rPr>
        <w:t xml:space="preserve">. </w:t>
      </w:r>
      <w:r w:rsidRPr="003D2869">
        <w:rPr>
          <w:rFonts w:ascii="Calibri" w:eastAsia="Calibri" w:hAnsi="Calibri" w:cs="Calibri"/>
        </w:rPr>
        <w:t>U odnosu na godinu prije</w:t>
      </w:r>
      <w:r>
        <w:rPr>
          <w:rFonts w:ascii="Calibri" w:eastAsia="Calibri" w:hAnsi="Calibri" w:cs="Calibri"/>
        </w:rPr>
        <w:t xml:space="preserve"> u Zagrebu je </w:t>
      </w:r>
      <w:r w:rsidRPr="003D2869">
        <w:rPr>
          <w:rFonts w:ascii="Calibri" w:eastAsia="Calibri" w:hAnsi="Calibri" w:cs="Calibri"/>
        </w:rPr>
        <w:t xml:space="preserve">izvoz </w:t>
      </w:r>
      <w:r w:rsidR="00B66BE0">
        <w:rPr>
          <w:rFonts w:ascii="Calibri" w:eastAsia="Calibri" w:hAnsi="Calibri" w:cs="Calibri"/>
        </w:rPr>
        <w:t>smanjen</w:t>
      </w:r>
      <w:r w:rsidRPr="003D2869">
        <w:rPr>
          <w:rFonts w:ascii="Calibri" w:eastAsia="Calibri" w:hAnsi="Calibri" w:cs="Calibri"/>
        </w:rPr>
        <w:t xml:space="preserve"> za </w:t>
      </w:r>
      <w:r w:rsidR="00B66BE0">
        <w:rPr>
          <w:rFonts w:ascii="Calibri" w:eastAsia="Calibri" w:hAnsi="Calibri" w:cs="Calibri"/>
        </w:rPr>
        <w:t xml:space="preserve">2,96 </w:t>
      </w:r>
      <w:r w:rsidRPr="003D2869">
        <w:rPr>
          <w:rFonts w:ascii="Calibri" w:eastAsia="Calibri" w:hAnsi="Calibri" w:cs="Calibri"/>
        </w:rPr>
        <w:t xml:space="preserve">%, ali istodobno je zabilježeno i </w:t>
      </w:r>
      <w:r w:rsidR="00B66BE0">
        <w:rPr>
          <w:rFonts w:ascii="Calibri" w:eastAsia="Calibri" w:hAnsi="Calibri" w:cs="Calibri"/>
        </w:rPr>
        <w:t>smanjenje</w:t>
      </w:r>
      <w:r w:rsidRPr="003D2869">
        <w:rPr>
          <w:rFonts w:ascii="Calibri" w:eastAsia="Calibri" w:hAnsi="Calibri" w:cs="Calibri"/>
        </w:rPr>
        <w:t xml:space="preserve"> uvoza </w:t>
      </w:r>
      <w:r w:rsidR="00B66BE0">
        <w:rPr>
          <w:rFonts w:ascii="Calibri" w:eastAsia="Calibri" w:hAnsi="Calibri" w:cs="Calibri"/>
        </w:rPr>
        <w:t>za</w:t>
      </w:r>
      <w:r w:rsidRPr="003D2869">
        <w:rPr>
          <w:rFonts w:ascii="Calibri" w:eastAsia="Calibri" w:hAnsi="Calibri" w:cs="Calibri"/>
        </w:rPr>
        <w:t xml:space="preserve"> </w:t>
      </w:r>
      <w:r w:rsidR="00B66BE0">
        <w:rPr>
          <w:rFonts w:ascii="Calibri" w:eastAsia="Calibri" w:hAnsi="Calibri" w:cs="Calibri"/>
        </w:rPr>
        <w:t xml:space="preserve">1,32 </w:t>
      </w:r>
      <w:r w:rsidRPr="003D2869">
        <w:rPr>
          <w:rFonts w:ascii="Calibri" w:eastAsia="Calibri" w:hAnsi="Calibri" w:cs="Calibri"/>
        </w:rPr>
        <w:t xml:space="preserve">%. </w:t>
      </w:r>
      <w:r>
        <w:rPr>
          <w:rFonts w:ascii="Calibri" w:eastAsia="Calibri" w:hAnsi="Calibri" w:cs="Calibri"/>
        </w:rPr>
        <w:t>S</w:t>
      </w:r>
      <w:r w:rsidRPr="0045120C">
        <w:rPr>
          <w:rFonts w:ascii="Calibri" w:eastAsia="Calibri" w:hAnsi="Calibri" w:cs="Calibri"/>
        </w:rPr>
        <w:t xml:space="preserve"> obzirom da ima negativan saldo robne razmjene s inozemstvom,</w:t>
      </w:r>
      <w:r>
        <w:rPr>
          <w:rFonts w:ascii="Calibri" w:eastAsia="Calibri" w:hAnsi="Calibri" w:cs="Calibri"/>
        </w:rPr>
        <w:t xml:space="preserve"> Grad</w:t>
      </w:r>
      <w:r w:rsidRPr="0045120C">
        <w:rPr>
          <w:rFonts w:ascii="Calibri" w:eastAsia="Calibri" w:hAnsi="Calibri" w:cs="Calibri"/>
        </w:rPr>
        <w:t xml:space="preserve"> Zagreb u znatnoj mjeri doprinosi negativnom saldu robne razmjene na državnoj razini.</w:t>
      </w:r>
    </w:p>
    <w:p w14:paraId="35A08D49" w14:textId="01C1ABDA" w:rsidR="00E87AC6" w:rsidRPr="00D640A4" w:rsidRDefault="00E87AC6" w:rsidP="00E87AC6">
      <w:pPr>
        <w:spacing w:after="200" w:line="240" w:lineRule="auto"/>
        <w:jc w:val="both"/>
        <w:rPr>
          <w:rFonts w:ascii="Calibri" w:eastAsia="Calibri" w:hAnsi="Calibri" w:cs="Calibri"/>
        </w:rPr>
      </w:pPr>
      <w:r>
        <w:rPr>
          <w:rFonts w:ascii="Calibri" w:eastAsia="Calibri" w:hAnsi="Calibri" w:cs="Calibri"/>
        </w:rPr>
        <w:t>U strukturi v</w:t>
      </w:r>
      <w:r w:rsidRPr="00FC0A0E">
        <w:rPr>
          <w:rFonts w:ascii="Calibri" w:eastAsia="Calibri" w:hAnsi="Calibri" w:cs="Calibri"/>
        </w:rPr>
        <w:t>rijednosti izvoza</w:t>
      </w:r>
      <w:r>
        <w:rPr>
          <w:rFonts w:ascii="Calibri" w:eastAsia="Calibri" w:hAnsi="Calibri" w:cs="Calibri"/>
        </w:rPr>
        <w:t xml:space="preserve"> i uvoza</w:t>
      </w:r>
      <w:r w:rsidRPr="00FC0A0E">
        <w:rPr>
          <w:rFonts w:ascii="Calibri" w:eastAsia="Calibri" w:hAnsi="Calibri" w:cs="Calibri"/>
        </w:rPr>
        <w:t xml:space="preserve"> Grada Zagreba po NKD-u u 2019. godini</w:t>
      </w:r>
      <w:r>
        <w:rPr>
          <w:rFonts w:ascii="Calibri" w:eastAsia="Calibri" w:hAnsi="Calibri" w:cs="Calibri"/>
        </w:rPr>
        <w:t>,</w:t>
      </w:r>
      <w:r w:rsidRPr="00FC0A0E">
        <w:rPr>
          <w:rFonts w:ascii="Calibri" w:eastAsia="Calibri" w:hAnsi="Calibri" w:cs="Calibri"/>
        </w:rPr>
        <w:t xml:space="preserve"> </w:t>
      </w:r>
      <w:r w:rsidRPr="003D2869">
        <w:rPr>
          <w:rFonts w:ascii="Calibri" w:eastAsia="Calibri" w:hAnsi="Calibri" w:cs="Calibri"/>
        </w:rPr>
        <w:t>najzastupljenij</w:t>
      </w:r>
      <w:r>
        <w:rPr>
          <w:rFonts w:ascii="Calibri" w:eastAsia="Calibri" w:hAnsi="Calibri" w:cs="Calibri"/>
        </w:rPr>
        <w:t>e</w:t>
      </w:r>
      <w:r w:rsidRPr="003D2869">
        <w:rPr>
          <w:rFonts w:ascii="Calibri" w:eastAsia="Calibri" w:hAnsi="Calibri" w:cs="Calibri"/>
        </w:rPr>
        <w:t xml:space="preserve"> </w:t>
      </w:r>
      <w:r>
        <w:rPr>
          <w:rFonts w:ascii="Calibri" w:eastAsia="Calibri" w:hAnsi="Calibri" w:cs="Calibri"/>
        </w:rPr>
        <w:t>su</w:t>
      </w:r>
      <w:r w:rsidRPr="003D2869">
        <w:rPr>
          <w:rFonts w:ascii="Calibri" w:eastAsia="Calibri" w:hAnsi="Calibri" w:cs="Calibri"/>
        </w:rPr>
        <w:t xml:space="preserve"> prerađivačka djelatnost sa </w:t>
      </w:r>
      <w:r w:rsidR="00B66BE0">
        <w:rPr>
          <w:rFonts w:ascii="Calibri" w:eastAsia="Calibri" w:hAnsi="Calibri" w:cs="Calibri"/>
        </w:rPr>
        <w:t xml:space="preserve">38,07 </w:t>
      </w:r>
      <w:r w:rsidRPr="003D2869">
        <w:rPr>
          <w:rFonts w:ascii="Calibri" w:eastAsia="Calibri" w:hAnsi="Calibri" w:cs="Calibri"/>
        </w:rPr>
        <w:t>%</w:t>
      </w:r>
      <w:r>
        <w:rPr>
          <w:rFonts w:ascii="Calibri" w:eastAsia="Calibri" w:hAnsi="Calibri" w:cs="Calibri"/>
        </w:rPr>
        <w:t xml:space="preserve"> u izvozu i </w:t>
      </w:r>
      <w:r w:rsidR="00B66BE0">
        <w:rPr>
          <w:rFonts w:ascii="Calibri" w:eastAsia="Calibri" w:hAnsi="Calibri" w:cs="Calibri"/>
        </w:rPr>
        <w:t xml:space="preserve">13,54 </w:t>
      </w:r>
      <w:r>
        <w:rPr>
          <w:rFonts w:ascii="Calibri" w:eastAsia="Calibri" w:hAnsi="Calibri" w:cs="Calibri"/>
        </w:rPr>
        <w:t xml:space="preserve">% u uvozu, te </w:t>
      </w:r>
      <w:r w:rsidRPr="003D2869">
        <w:rPr>
          <w:rFonts w:ascii="Calibri" w:eastAsia="Calibri" w:hAnsi="Calibri" w:cs="Calibri"/>
        </w:rPr>
        <w:t>trgovina na veliko i na mal</w:t>
      </w:r>
      <w:r>
        <w:rPr>
          <w:rFonts w:ascii="Calibri" w:eastAsia="Calibri" w:hAnsi="Calibri" w:cs="Calibri"/>
        </w:rPr>
        <w:t xml:space="preserve">o s </w:t>
      </w:r>
      <w:r w:rsidRPr="003D2869">
        <w:rPr>
          <w:rFonts w:ascii="Calibri" w:eastAsia="Calibri" w:hAnsi="Calibri" w:cs="Calibri"/>
        </w:rPr>
        <w:t xml:space="preserve"> </w:t>
      </w:r>
      <w:r w:rsidR="00B66BE0">
        <w:rPr>
          <w:rFonts w:ascii="Calibri" w:eastAsia="Calibri" w:hAnsi="Calibri" w:cs="Calibri"/>
        </w:rPr>
        <w:t xml:space="preserve">33,33 </w:t>
      </w:r>
      <w:r w:rsidRPr="003D2869">
        <w:rPr>
          <w:rFonts w:ascii="Calibri" w:eastAsia="Calibri" w:hAnsi="Calibri" w:cs="Calibri"/>
        </w:rPr>
        <w:t>%</w:t>
      </w:r>
      <w:r>
        <w:rPr>
          <w:rFonts w:ascii="Calibri" w:eastAsia="Calibri" w:hAnsi="Calibri" w:cs="Calibri"/>
        </w:rPr>
        <w:t xml:space="preserve"> u strukturi izvoza i </w:t>
      </w:r>
      <w:r w:rsidR="00B66BE0">
        <w:rPr>
          <w:rFonts w:ascii="Calibri" w:eastAsia="Calibri" w:hAnsi="Calibri" w:cs="Calibri"/>
        </w:rPr>
        <w:t xml:space="preserve">60,80 </w:t>
      </w:r>
      <w:r>
        <w:rPr>
          <w:rFonts w:ascii="Calibri" w:eastAsia="Calibri" w:hAnsi="Calibri" w:cs="Calibri"/>
        </w:rPr>
        <w:t>% u strukturi uvoza</w:t>
      </w:r>
      <w:r w:rsidRPr="003D2869">
        <w:rPr>
          <w:rFonts w:ascii="Calibri" w:eastAsia="Calibri" w:hAnsi="Calibri" w:cs="Calibri"/>
        </w:rPr>
        <w:t>.</w:t>
      </w:r>
      <w:r>
        <w:rPr>
          <w:rStyle w:val="Referencafusnote"/>
          <w:rFonts w:cs="Calibri"/>
        </w:rPr>
        <w:footnoteReference w:id="38"/>
      </w:r>
      <w:r w:rsidRPr="003D2869">
        <w:rPr>
          <w:rFonts w:ascii="Calibri" w:eastAsia="Calibri" w:hAnsi="Calibri" w:cs="Calibri"/>
        </w:rPr>
        <w:t xml:space="preserve">  Budući da je izvoz Grada Zagreba i dalje znatno manji od uvoza, sustav poticaja izvoznika te povezivanje poduzetnika kroz njihovo umrežavanje na iznalaženju programa zamjene uvoza vlastitom proizvodnjom, posebno proizvodnjom za izvozna tržišta, od iznimne je važnosti. </w:t>
      </w:r>
    </w:p>
    <w:p w14:paraId="6B58F63E" w14:textId="77777777" w:rsidR="00E87AC6" w:rsidRPr="00D640A4" w:rsidRDefault="00E87AC6" w:rsidP="00E87AC6">
      <w:pPr>
        <w:spacing w:after="200" w:line="240" w:lineRule="auto"/>
        <w:jc w:val="both"/>
        <w:rPr>
          <w:rFonts w:ascii="Calibri" w:eastAsia="Calibri" w:hAnsi="Calibri" w:cs="Calibri"/>
        </w:rPr>
      </w:pPr>
      <w:r>
        <w:rPr>
          <w:rFonts w:ascii="Calibri" w:eastAsia="Calibri" w:hAnsi="Calibri" w:cs="Times New Roman"/>
        </w:rPr>
        <w:t>Najzastupljenija tržišta u izvozu Grada Zagreba u 2018. i 2019. godini su</w:t>
      </w:r>
      <w:r w:rsidRPr="00634922">
        <w:rPr>
          <w:rFonts w:ascii="Calibri" w:eastAsia="Calibri" w:hAnsi="Calibri" w:cs="Times New Roman"/>
        </w:rPr>
        <w:t xml:space="preserve"> BiH, </w:t>
      </w:r>
      <w:r>
        <w:rPr>
          <w:rFonts w:ascii="Calibri" w:eastAsia="Calibri" w:hAnsi="Calibri" w:cs="Times New Roman"/>
        </w:rPr>
        <w:t xml:space="preserve">Slovenija, </w:t>
      </w:r>
      <w:r w:rsidRPr="00634922">
        <w:rPr>
          <w:rFonts w:ascii="Calibri" w:eastAsia="Calibri" w:hAnsi="Calibri" w:cs="Times New Roman"/>
        </w:rPr>
        <w:t>Italija,</w:t>
      </w:r>
      <w:r>
        <w:rPr>
          <w:rFonts w:ascii="Calibri" w:eastAsia="Calibri" w:hAnsi="Calibri" w:cs="Times New Roman"/>
        </w:rPr>
        <w:t xml:space="preserve"> </w:t>
      </w:r>
      <w:r w:rsidRPr="00634922">
        <w:rPr>
          <w:rFonts w:ascii="Calibri" w:eastAsia="Calibri" w:hAnsi="Calibri" w:cs="Times New Roman"/>
        </w:rPr>
        <w:t xml:space="preserve">Njemačka, </w:t>
      </w:r>
      <w:r>
        <w:rPr>
          <w:rFonts w:ascii="Calibri" w:eastAsia="Calibri" w:hAnsi="Calibri" w:cs="Times New Roman"/>
        </w:rPr>
        <w:t>Mađarska i Srbija, a d</w:t>
      </w:r>
      <w:r w:rsidRPr="00834DCC">
        <w:rPr>
          <w:rFonts w:ascii="Calibri" w:eastAsia="Calibri" w:hAnsi="Calibri" w:cs="Times New Roman"/>
        </w:rPr>
        <w:t>ržave iz kojih je Grad Zagreb najviše uvozio u 2018. i 2019. godini</w:t>
      </w:r>
      <w:r>
        <w:rPr>
          <w:rFonts w:ascii="Calibri" w:eastAsia="Calibri" w:hAnsi="Calibri" w:cs="Times New Roman"/>
        </w:rPr>
        <w:t xml:space="preserve"> Njemačka, Slovenija, Italija, Mađarska , Austrija i Nizozemska. </w:t>
      </w:r>
      <w:r w:rsidRPr="00634922">
        <w:rPr>
          <w:rFonts w:ascii="Calibri" w:eastAsia="Calibri" w:hAnsi="Calibri" w:cs="Calibri"/>
        </w:rPr>
        <w:t>Najveći izvoz Grada Zagreba u 201</w:t>
      </w:r>
      <w:r>
        <w:rPr>
          <w:rFonts w:ascii="Calibri" w:eastAsia="Calibri" w:hAnsi="Calibri" w:cs="Calibri"/>
        </w:rPr>
        <w:t>9</w:t>
      </w:r>
      <w:r w:rsidRPr="00634922">
        <w:rPr>
          <w:rFonts w:ascii="Calibri" w:eastAsia="Calibri" w:hAnsi="Calibri" w:cs="Calibri"/>
        </w:rPr>
        <w:t>. u vrijednosti</w:t>
      </w:r>
      <w:r>
        <w:rPr>
          <w:rFonts w:ascii="Calibri" w:eastAsia="Calibri" w:hAnsi="Calibri" w:cs="Calibri"/>
        </w:rPr>
        <w:t xml:space="preserve"> </w:t>
      </w:r>
      <w:r w:rsidRPr="00634922">
        <w:rPr>
          <w:rFonts w:ascii="Calibri" w:eastAsia="Calibri" w:hAnsi="Calibri" w:cs="Calibri"/>
        </w:rPr>
        <w:t xml:space="preserve">od </w:t>
      </w:r>
      <w:r>
        <w:rPr>
          <w:rFonts w:ascii="Calibri" w:eastAsia="Calibri" w:hAnsi="Calibri" w:cs="Calibri"/>
        </w:rPr>
        <w:t xml:space="preserve">6 </w:t>
      </w:r>
      <w:r w:rsidRPr="00634922">
        <w:rPr>
          <w:rFonts w:ascii="Calibri" w:eastAsia="Calibri" w:hAnsi="Calibri" w:cs="Calibri"/>
        </w:rPr>
        <w:t xml:space="preserve"> milijard</w:t>
      </w:r>
      <w:r>
        <w:rPr>
          <w:rFonts w:ascii="Calibri" w:eastAsia="Calibri" w:hAnsi="Calibri" w:cs="Calibri"/>
        </w:rPr>
        <w:t>i</w:t>
      </w:r>
      <w:r w:rsidRPr="00634922">
        <w:rPr>
          <w:rFonts w:ascii="Calibri" w:eastAsia="Calibri" w:hAnsi="Calibri" w:cs="Calibri"/>
        </w:rPr>
        <w:t xml:space="preserve"> kuna ostvaren je u Bosnu i</w:t>
      </w:r>
      <w:r>
        <w:rPr>
          <w:rFonts w:ascii="Calibri" w:eastAsia="Calibri" w:hAnsi="Calibri" w:cs="Calibri"/>
        </w:rPr>
        <w:t xml:space="preserve"> </w:t>
      </w:r>
      <w:r w:rsidRPr="00634922">
        <w:rPr>
          <w:rFonts w:ascii="Calibri" w:eastAsia="Calibri" w:hAnsi="Calibri" w:cs="Calibri"/>
        </w:rPr>
        <w:t>Hercegovinu i iznosi 1</w:t>
      </w:r>
      <w:r>
        <w:rPr>
          <w:rFonts w:ascii="Calibri" w:eastAsia="Calibri" w:hAnsi="Calibri" w:cs="Calibri"/>
        </w:rPr>
        <w:t>6</w:t>
      </w:r>
      <w:r w:rsidRPr="00634922">
        <w:rPr>
          <w:rFonts w:ascii="Calibri" w:eastAsia="Calibri" w:hAnsi="Calibri" w:cs="Calibri"/>
        </w:rPr>
        <w:t>,</w:t>
      </w:r>
      <w:r>
        <w:rPr>
          <w:rFonts w:ascii="Calibri" w:eastAsia="Calibri" w:hAnsi="Calibri" w:cs="Calibri"/>
        </w:rPr>
        <w:t>4</w:t>
      </w:r>
      <w:r w:rsidRPr="00634922">
        <w:rPr>
          <w:rFonts w:ascii="Calibri" w:eastAsia="Calibri" w:hAnsi="Calibri" w:cs="Calibri"/>
        </w:rPr>
        <w:t>% ukupnog izvoza Grada</w:t>
      </w:r>
      <w:r>
        <w:rPr>
          <w:rFonts w:ascii="Calibri" w:eastAsia="Calibri" w:hAnsi="Calibri" w:cs="Calibri"/>
        </w:rPr>
        <w:t xml:space="preserve"> </w:t>
      </w:r>
      <w:r w:rsidRPr="00634922">
        <w:rPr>
          <w:rFonts w:ascii="Calibri" w:eastAsia="Calibri" w:hAnsi="Calibri" w:cs="Calibri"/>
        </w:rPr>
        <w:t>Zagreba.</w:t>
      </w:r>
      <w:r>
        <w:rPr>
          <w:rFonts w:ascii="Calibri" w:eastAsia="Calibri" w:hAnsi="Calibri" w:cs="Calibri"/>
        </w:rPr>
        <w:t xml:space="preserve"> </w:t>
      </w:r>
      <w:r w:rsidRPr="00634922">
        <w:rPr>
          <w:rFonts w:ascii="Calibri" w:eastAsia="Calibri" w:hAnsi="Calibri" w:cs="Calibri"/>
        </w:rPr>
        <w:t>Najveći uvoz Grada Zagreba u 201</w:t>
      </w:r>
      <w:r>
        <w:rPr>
          <w:rFonts w:ascii="Calibri" w:eastAsia="Calibri" w:hAnsi="Calibri" w:cs="Calibri"/>
        </w:rPr>
        <w:t>9</w:t>
      </w:r>
      <w:r w:rsidRPr="00634922">
        <w:rPr>
          <w:rFonts w:ascii="Calibri" w:eastAsia="Calibri" w:hAnsi="Calibri" w:cs="Calibri"/>
        </w:rPr>
        <w:t>. u vrijednosti od</w:t>
      </w:r>
      <w:r>
        <w:rPr>
          <w:rFonts w:ascii="Calibri" w:eastAsia="Calibri" w:hAnsi="Calibri" w:cs="Calibri"/>
        </w:rPr>
        <w:t xml:space="preserve"> </w:t>
      </w:r>
      <w:r w:rsidRPr="00634922">
        <w:rPr>
          <w:rFonts w:ascii="Calibri" w:eastAsia="Calibri" w:hAnsi="Calibri" w:cs="Calibri"/>
        </w:rPr>
        <w:t>1</w:t>
      </w:r>
      <w:r>
        <w:rPr>
          <w:rFonts w:ascii="Calibri" w:eastAsia="Calibri" w:hAnsi="Calibri" w:cs="Calibri"/>
        </w:rPr>
        <w:t>3</w:t>
      </w:r>
      <w:r w:rsidRPr="00634922">
        <w:rPr>
          <w:rFonts w:ascii="Calibri" w:eastAsia="Calibri" w:hAnsi="Calibri" w:cs="Calibri"/>
        </w:rPr>
        <w:t>,</w:t>
      </w:r>
      <w:r>
        <w:rPr>
          <w:rFonts w:ascii="Calibri" w:eastAsia="Calibri" w:hAnsi="Calibri" w:cs="Calibri"/>
        </w:rPr>
        <w:t>3</w:t>
      </w:r>
      <w:r w:rsidRPr="00634922">
        <w:rPr>
          <w:rFonts w:ascii="Calibri" w:eastAsia="Calibri" w:hAnsi="Calibri" w:cs="Calibri"/>
        </w:rPr>
        <w:t xml:space="preserve"> milijardi kuna ostvaren je iz Njemačke i iznosi</w:t>
      </w:r>
      <w:r>
        <w:rPr>
          <w:rFonts w:ascii="Calibri" w:eastAsia="Calibri" w:hAnsi="Calibri" w:cs="Calibri"/>
        </w:rPr>
        <w:t xml:space="preserve"> </w:t>
      </w:r>
      <w:r w:rsidRPr="00634922">
        <w:rPr>
          <w:rFonts w:ascii="Calibri" w:eastAsia="Calibri" w:hAnsi="Calibri" w:cs="Calibri"/>
        </w:rPr>
        <w:t>14,</w:t>
      </w:r>
      <w:r>
        <w:rPr>
          <w:rFonts w:ascii="Calibri" w:eastAsia="Calibri" w:hAnsi="Calibri" w:cs="Calibri"/>
        </w:rPr>
        <w:t>4</w:t>
      </w:r>
      <w:r w:rsidRPr="00634922">
        <w:rPr>
          <w:rFonts w:ascii="Calibri" w:eastAsia="Calibri" w:hAnsi="Calibri" w:cs="Calibri"/>
        </w:rPr>
        <w:t>% ukupnog uvoza Grada Zagreba.</w:t>
      </w:r>
      <w:r>
        <w:rPr>
          <w:rFonts w:ascii="Calibri" w:eastAsia="Calibri" w:hAnsi="Calibri" w:cs="Calibri"/>
        </w:rPr>
        <w:t xml:space="preserve"> </w:t>
      </w:r>
    </w:p>
    <w:p w14:paraId="4EEBA8BA" w14:textId="77777777" w:rsidR="00E87AC6" w:rsidRDefault="00E87AC6" w:rsidP="00E87AC6">
      <w:pPr>
        <w:spacing w:after="200" w:line="240" w:lineRule="auto"/>
        <w:jc w:val="both"/>
        <w:rPr>
          <w:rFonts w:ascii="Calibri" w:eastAsia="Calibri" w:hAnsi="Calibri" w:cs="Times New Roman"/>
        </w:rPr>
      </w:pPr>
      <w:r w:rsidRPr="00324A6A">
        <w:rPr>
          <w:rFonts w:ascii="Calibri" w:eastAsia="Calibri" w:hAnsi="Calibri" w:cs="Times New Roman"/>
        </w:rPr>
        <w:t>Epidemija bolesti</w:t>
      </w:r>
      <w:r>
        <w:rPr>
          <w:rFonts w:ascii="Calibri" w:eastAsia="Calibri" w:hAnsi="Calibri" w:cs="Times New Roman"/>
        </w:rPr>
        <w:t xml:space="preserve"> COVID 19</w:t>
      </w:r>
      <w:r w:rsidRPr="00324A6A">
        <w:rPr>
          <w:rFonts w:ascii="Calibri" w:eastAsia="Calibri" w:hAnsi="Calibri" w:cs="Times New Roman"/>
        </w:rPr>
        <w:t>, kao i mjer</w:t>
      </w:r>
      <w:r>
        <w:rPr>
          <w:rFonts w:ascii="Calibri" w:eastAsia="Calibri" w:hAnsi="Calibri" w:cs="Times New Roman"/>
        </w:rPr>
        <w:t>e</w:t>
      </w:r>
      <w:r w:rsidRPr="00324A6A">
        <w:rPr>
          <w:rFonts w:ascii="Calibri" w:eastAsia="Calibri" w:hAnsi="Calibri" w:cs="Times New Roman"/>
        </w:rPr>
        <w:t xml:space="preserve"> ograničenja kretanja koj</w:t>
      </w:r>
      <w:r>
        <w:rPr>
          <w:rFonts w:ascii="Calibri" w:eastAsia="Calibri" w:hAnsi="Calibri" w:cs="Times New Roman"/>
        </w:rPr>
        <w:t>e</w:t>
      </w:r>
      <w:r w:rsidRPr="00324A6A">
        <w:rPr>
          <w:rFonts w:ascii="Calibri" w:eastAsia="Calibri" w:hAnsi="Calibri" w:cs="Times New Roman"/>
        </w:rPr>
        <w:t xml:space="preserve"> se u Hrvatskoj provod</w:t>
      </w:r>
      <w:r>
        <w:rPr>
          <w:rFonts w:ascii="Calibri" w:eastAsia="Calibri" w:hAnsi="Calibri" w:cs="Times New Roman"/>
        </w:rPr>
        <w:t>e</w:t>
      </w:r>
      <w:r w:rsidRPr="00324A6A">
        <w:rPr>
          <w:rFonts w:ascii="Calibri" w:eastAsia="Calibri" w:hAnsi="Calibri" w:cs="Times New Roman"/>
        </w:rPr>
        <w:t xml:space="preserve"> od ožujka </w:t>
      </w:r>
      <w:r>
        <w:rPr>
          <w:rFonts w:ascii="Calibri" w:eastAsia="Calibri" w:hAnsi="Calibri" w:cs="Times New Roman"/>
        </w:rPr>
        <w:t>2020.</w:t>
      </w:r>
      <w:r w:rsidRPr="00324A6A">
        <w:rPr>
          <w:rFonts w:ascii="Calibri" w:eastAsia="Calibri" w:hAnsi="Calibri" w:cs="Times New Roman"/>
        </w:rPr>
        <w:t xml:space="preserve"> izravno su utjecale</w:t>
      </w:r>
      <w:r>
        <w:rPr>
          <w:rFonts w:ascii="Calibri" w:eastAsia="Calibri" w:hAnsi="Calibri" w:cs="Times New Roman"/>
        </w:rPr>
        <w:t xml:space="preserve"> na pad gospodarskih aktivnosti u Gradu Zagrebu i posljedično, na smanjenje robne razmjene s inozemstvom. Prema podacima DZS za 2020. godinu u</w:t>
      </w:r>
      <w:r w:rsidRPr="007D7765">
        <w:rPr>
          <w:rFonts w:ascii="Calibri" w:eastAsia="Calibri" w:hAnsi="Calibri" w:cs="Times New Roman"/>
        </w:rPr>
        <w:t xml:space="preserve"> nominalnim</w:t>
      </w:r>
      <w:r>
        <w:rPr>
          <w:rFonts w:ascii="Calibri" w:eastAsia="Calibri" w:hAnsi="Calibri" w:cs="Times New Roman"/>
        </w:rPr>
        <w:t xml:space="preserve"> je </w:t>
      </w:r>
      <w:r w:rsidRPr="007D7765">
        <w:rPr>
          <w:rFonts w:ascii="Calibri" w:eastAsia="Calibri" w:hAnsi="Calibri" w:cs="Times New Roman"/>
        </w:rPr>
        <w:t xml:space="preserve">vrijednostima robni izvoz Grada Zagreba </w:t>
      </w:r>
      <w:r>
        <w:rPr>
          <w:rFonts w:ascii="Calibri" w:eastAsia="Calibri" w:hAnsi="Calibri" w:cs="Times New Roman"/>
        </w:rPr>
        <w:t xml:space="preserve">iznosio 32,6 milijardi kuna, što je pad u odnosu na 2019. </w:t>
      </w:r>
      <w:r w:rsidRPr="00935008">
        <w:rPr>
          <w:rFonts w:ascii="Calibri" w:eastAsia="Calibri" w:hAnsi="Calibri" w:cs="Times New Roman"/>
        </w:rPr>
        <w:t xml:space="preserve">od 7.39 </w:t>
      </w:r>
      <w:r>
        <w:rPr>
          <w:rFonts w:ascii="Calibri" w:eastAsia="Calibri" w:hAnsi="Calibri" w:cs="Times New Roman"/>
        </w:rPr>
        <w:t xml:space="preserve">%; a uvoz 84,4 milijarde kuna što u odnosu na prethodnu godinu predstavlja pad od </w:t>
      </w:r>
      <w:r w:rsidRPr="00935008">
        <w:rPr>
          <w:rFonts w:ascii="Calibri" w:eastAsia="Calibri" w:hAnsi="Calibri" w:cs="Times New Roman"/>
        </w:rPr>
        <w:t xml:space="preserve">9,35 </w:t>
      </w:r>
      <w:r>
        <w:rPr>
          <w:rFonts w:ascii="Calibri" w:eastAsia="Calibri" w:hAnsi="Calibri" w:cs="Times New Roman"/>
        </w:rPr>
        <w:t>%;</w:t>
      </w:r>
    </w:p>
    <w:p w14:paraId="41B4B951" w14:textId="215DF64A" w:rsidR="00E87AC6" w:rsidRPr="004D19A2" w:rsidRDefault="00E87AC6" w:rsidP="005A25A2">
      <w:pPr>
        <w:pStyle w:val="Stil2"/>
      </w:pPr>
      <w:bookmarkStart w:id="86" w:name="_Toc97123813"/>
      <w:r w:rsidRPr="002F347A">
        <w:t>3.1.</w:t>
      </w:r>
      <w:r>
        <w:t>10</w:t>
      </w:r>
      <w:r w:rsidRPr="002F347A">
        <w:t>. Zaposlenost i plaće</w:t>
      </w:r>
      <w:bookmarkEnd w:id="86"/>
    </w:p>
    <w:p w14:paraId="4D3638C8" w14:textId="77777777" w:rsidR="00E87AC6" w:rsidRPr="00D075B2" w:rsidRDefault="00E87AC6" w:rsidP="00E87AC6">
      <w:pPr>
        <w:widowControl w:val="0"/>
        <w:autoSpaceDE w:val="0"/>
        <w:autoSpaceDN w:val="0"/>
        <w:adjustRightInd w:val="0"/>
        <w:spacing w:after="200" w:line="240" w:lineRule="auto"/>
        <w:jc w:val="both"/>
        <w:rPr>
          <w:rFonts w:ascii="Calibri" w:eastAsia="Calibri" w:hAnsi="Calibri" w:cs="Calibri"/>
          <w:bCs/>
        </w:rPr>
      </w:pPr>
      <w:r w:rsidRPr="002F347A">
        <w:rPr>
          <w:rFonts w:ascii="Calibri" w:eastAsia="Calibri" w:hAnsi="Calibri" w:cs="Calibri"/>
          <w:b/>
        </w:rPr>
        <w:t xml:space="preserve">Ukupna zaposlenost i plaće. </w:t>
      </w:r>
      <w:r w:rsidRPr="00D075B2">
        <w:rPr>
          <w:rFonts w:ascii="Calibri" w:eastAsia="Calibri" w:hAnsi="Calibri" w:cs="Calibri"/>
          <w:bCs/>
        </w:rPr>
        <w:t>Na području Grada Zagreba u srpnju 2020. bilo je ukupno zaposleno 453.926 osoba, a nezaposleno 19.912 osoba sa stopom nezaposlenosti 4,20%. Istovremeno na HZZ bilo je tijekom srpnja 2020. prijavljeno potreba za ukupno 2.417 radnih mjesta. Trendovi broja zaposlenih osoba u srpnju 2020. bili su u blagom padu (-0,3%) a što je pratio rast broja nezaposlenih i ukupnih potreba za radnicima. Najviše zaposlenih bilo je u djelatnosti trgovin</w:t>
      </w:r>
      <w:r>
        <w:rPr>
          <w:rFonts w:ascii="Calibri" w:eastAsia="Calibri" w:hAnsi="Calibri" w:cs="Calibri"/>
          <w:bCs/>
        </w:rPr>
        <w:t>e</w:t>
      </w:r>
      <w:r w:rsidRPr="00D075B2">
        <w:rPr>
          <w:rFonts w:ascii="Calibri" w:eastAsia="Calibri" w:hAnsi="Calibri" w:cs="Calibri"/>
          <w:bCs/>
        </w:rPr>
        <w:t xml:space="preserve"> na veliko koju slijede Opće djelatnosti javne uprave i Djelatnosti bolnica. </w:t>
      </w:r>
      <w:r w:rsidRPr="003D30A4">
        <w:rPr>
          <w:rFonts w:ascii="Calibri" w:eastAsia="Calibri" w:hAnsi="Calibri" w:cs="Calibri"/>
          <w:bCs/>
        </w:rPr>
        <w:t>Udio po spolu zaposlenih bio je 47.6% žene i 52.4% muškarci, nezaposlenih 42.3% žene i 57.7% muškarci.</w:t>
      </w:r>
      <w:r w:rsidRPr="003D30A4">
        <w:rPr>
          <w:rFonts w:ascii="Calibri" w:eastAsia="Calibri" w:hAnsi="Calibri" w:cs="Calibri"/>
          <w:bCs/>
          <w:vertAlign w:val="superscript"/>
        </w:rPr>
        <w:footnoteReference w:id="39"/>
      </w:r>
      <w:r w:rsidRPr="003D30A4">
        <w:rPr>
          <w:rFonts w:ascii="Calibri" w:eastAsia="Calibri" w:hAnsi="Calibri" w:cs="Calibri"/>
          <w:bCs/>
        </w:rPr>
        <w:t xml:space="preserve"> </w:t>
      </w:r>
      <w:r w:rsidRPr="00D075B2">
        <w:rPr>
          <w:rFonts w:ascii="Calibri" w:eastAsia="Calibri" w:hAnsi="Calibri" w:cs="Calibri"/>
          <w:bCs/>
        </w:rPr>
        <w:t>Prosječna mjesečna isplaćena neto plaća u pravnim osobama u Gradu Zagrebu za prosinac 2020. iznosila je 8</w:t>
      </w:r>
      <w:r>
        <w:rPr>
          <w:rFonts w:ascii="Calibri" w:eastAsia="Calibri" w:hAnsi="Calibri" w:cs="Calibri"/>
          <w:bCs/>
        </w:rPr>
        <w:t>.</w:t>
      </w:r>
      <w:r w:rsidRPr="00D075B2">
        <w:rPr>
          <w:rFonts w:ascii="Calibri" w:eastAsia="Calibri" w:hAnsi="Calibri" w:cs="Calibri"/>
          <w:bCs/>
        </w:rPr>
        <w:t>162 kune, što je porast za 6,9% u odnosu na prosinac 2019. kada je iznosila 7</w:t>
      </w:r>
      <w:r>
        <w:rPr>
          <w:rFonts w:ascii="Calibri" w:eastAsia="Calibri" w:hAnsi="Calibri" w:cs="Calibri"/>
          <w:bCs/>
        </w:rPr>
        <w:t>.</w:t>
      </w:r>
      <w:r w:rsidRPr="00D075B2">
        <w:rPr>
          <w:rFonts w:ascii="Calibri" w:eastAsia="Calibri" w:hAnsi="Calibri" w:cs="Calibri"/>
          <w:bCs/>
        </w:rPr>
        <w:t>602 kune. Najviša prosječna mjesečna neto plaća za prosinac 2020. isplaćena je u djelatnosti Vađenje sirove nafte i prirodnog plina, u iznosu od 20</w:t>
      </w:r>
      <w:r>
        <w:rPr>
          <w:rFonts w:ascii="Calibri" w:eastAsia="Calibri" w:hAnsi="Calibri" w:cs="Calibri"/>
          <w:bCs/>
        </w:rPr>
        <w:t>.</w:t>
      </w:r>
      <w:r w:rsidRPr="00D075B2">
        <w:rPr>
          <w:rFonts w:ascii="Calibri" w:eastAsia="Calibri" w:hAnsi="Calibri" w:cs="Calibri"/>
          <w:bCs/>
        </w:rPr>
        <w:t>283 kuna, a najniža je isplaćena u djelatnosti Ostale osobne uslužne djelatnosti, u iznosu od 4</w:t>
      </w:r>
      <w:r>
        <w:rPr>
          <w:rFonts w:ascii="Calibri" w:eastAsia="Calibri" w:hAnsi="Calibri" w:cs="Calibri"/>
          <w:bCs/>
        </w:rPr>
        <w:t>.</w:t>
      </w:r>
      <w:r w:rsidRPr="00D075B2">
        <w:rPr>
          <w:rFonts w:ascii="Calibri" w:eastAsia="Calibri" w:hAnsi="Calibri" w:cs="Calibri"/>
          <w:bCs/>
        </w:rPr>
        <w:t>445 kuna.</w:t>
      </w:r>
      <w:r w:rsidRPr="00D075B2">
        <w:rPr>
          <w:rFonts w:ascii="Calibri" w:eastAsia="Calibri" w:hAnsi="Calibri" w:cs="Calibri"/>
          <w:bCs/>
          <w:vertAlign w:val="superscript"/>
        </w:rPr>
        <w:footnoteReference w:id="40"/>
      </w:r>
      <w:r w:rsidRPr="00D075B2">
        <w:rPr>
          <w:rFonts w:ascii="Calibri" w:eastAsia="Calibri" w:hAnsi="Calibri" w:cs="Calibri"/>
          <w:bCs/>
        </w:rPr>
        <w:t xml:space="preserve">  </w:t>
      </w:r>
    </w:p>
    <w:p w14:paraId="342D4120" w14:textId="77777777" w:rsidR="00E87AC6" w:rsidRDefault="00E87AC6" w:rsidP="00E87AC6">
      <w:pPr>
        <w:widowControl w:val="0"/>
        <w:autoSpaceDE w:val="0"/>
        <w:autoSpaceDN w:val="0"/>
        <w:adjustRightInd w:val="0"/>
        <w:spacing w:after="200" w:line="240" w:lineRule="auto"/>
        <w:jc w:val="both"/>
        <w:rPr>
          <w:rFonts w:ascii="Calibri" w:eastAsia="Calibri" w:hAnsi="Calibri" w:cs="Calibri"/>
          <w:bCs/>
        </w:rPr>
      </w:pPr>
      <w:r w:rsidRPr="002F347A">
        <w:rPr>
          <w:rFonts w:ascii="Calibri" w:eastAsia="Calibri" w:hAnsi="Calibri" w:cs="Calibri"/>
          <w:bCs/>
        </w:rPr>
        <w:t>U ukupnoj zaposlenosti Grada Zagreba udjel zaposlenih u zagrebačkoj prerađivačkoj industriji u 2019. iznosio je 10,16 %, u poljoprivredi, šumarstvu i ribarstvu je bilo najmanje zaposlenih, i to 0,27 %, dok je najveći udjel od gospodarskih djelatnosti imala trgovina na veliko i malo te popravak motornih vozila i motocikala, i to 18,44%. Udjeli ostalih gospodarskih djelatnosti kreću se u rasponu od 5 do 8%. U financijskim djelatnostima i djelatnostima osiguranja zaposleno je 4,86%, u prijevozu i skladištenju zaposleno je 4,58%, u informacijama i komunikacijama 6,51%, u građevinarstvu 5,73% te u stručnim, znanstvenim i tehničkim djelatnostima 8,29%. Nekadašnje prvenstvo Zagreba po zaposlenosti u industriji danas su preuzele negospodarske djelatnosti (uprava, obrazovanje, zdravstvo i sl.), a od gospodarskih trgovina. Na području Grada Zagreba od 2010. godine prisutan je trend smanjenja broja zaposlenih u gospodarskim te porast u negospodarskim djelatnostima, prvenstveno u državnim službama i lokalnoj samoupravi. Promatrajući strukturu zaposlenog stanovništva po sektorima djelatnosti vidljiv je nastavak već započetih tendencija glede tercijarizacije djelatnosti. Statistika bilježi da su u Gradu Zagrebu prostorno najviše koncentrirane djelatnosti tercijarnog sektora, te da je ondje najveća koncentracija gospodarskih subjekata i gospodarskih aktivnosti.</w:t>
      </w:r>
    </w:p>
    <w:p w14:paraId="472834C1" w14:textId="77777777" w:rsidR="00E87AC6" w:rsidRDefault="00E87AC6" w:rsidP="00E87AC6">
      <w:pPr>
        <w:widowControl w:val="0"/>
        <w:autoSpaceDE w:val="0"/>
        <w:autoSpaceDN w:val="0"/>
        <w:adjustRightInd w:val="0"/>
        <w:spacing w:after="200" w:line="240" w:lineRule="auto"/>
        <w:jc w:val="both"/>
        <w:rPr>
          <w:rFonts w:ascii="Calibri" w:eastAsia="Calibri" w:hAnsi="Calibri" w:cs="Calibri"/>
          <w:bCs/>
        </w:rPr>
      </w:pPr>
      <w:r w:rsidRPr="002F347A">
        <w:rPr>
          <w:rFonts w:ascii="Calibri" w:eastAsia="Calibri" w:hAnsi="Calibri" w:cs="Calibri"/>
          <w:b/>
        </w:rPr>
        <w:t>Zaposlenost i plaće kod poduzetnika Grada Zagreba</w:t>
      </w:r>
      <w:r w:rsidRPr="002F347A">
        <w:rPr>
          <w:rFonts w:ascii="Calibri" w:eastAsia="Calibri" w:hAnsi="Calibri" w:cs="Calibri"/>
          <w:bCs/>
        </w:rPr>
        <w:t>. U Gradu Zagrebu u 2019. godini poslovalo je 40.877 mikro, 3.997 malih, 567 srednjih i 167 velikih poduzetnika sa ukupno 372.776 zaposlenih.</w:t>
      </w:r>
    </w:p>
    <w:p w14:paraId="02F5E552" w14:textId="7E735133" w:rsidR="00E87AC6" w:rsidRDefault="00782E62" w:rsidP="00E2286C">
      <w:pPr>
        <w:pStyle w:val="Opisslike"/>
        <w:rPr>
          <w:rFonts w:ascii="Calibri" w:eastAsia="Calibri" w:hAnsi="Calibri" w:cs="Calibri"/>
          <w:bCs/>
        </w:rPr>
      </w:pPr>
      <w:r>
        <w:t xml:space="preserve">Tablica </w:t>
      </w:r>
      <w:r w:rsidR="00751C19">
        <w:fldChar w:fldCharType="begin"/>
      </w:r>
      <w:r w:rsidR="00751C19">
        <w:instrText xml:space="preserve"> SEQ Tablica \* ARABIC </w:instrText>
      </w:r>
      <w:r w:rsidR="00751C19">
        <w:fldChar w:fldCharType="separate"/>
      </w:r>
      <w:r w:rsidR="00803E25">
        <w:rPr>
          <w:noProof/>
        </w:rPr>
        <w:t>17</w:t>
      </w:r>
      <w:r w:rsidR="00751C19">
        <w:rPr>
          <w:noProof/>
        </w:rPr>
        <w:fldChar w:fldCharType="end"/>
      </w:r>
      <w:r>
        <w:t xml:space="preserve">. </w:t>
      </w:r>
      <w:r w:rsidRPr="009F2751">
        <w:t xml:space="preserve">Broj zaposlenih kod poduzetnika Grada Zagreba u </w:t>
      </w:r>
      <w:r w:rsidR="00851AEF" w:rsidRPr="009F2751">
        <w:t>2019.</w:t>
      </w:r>
      <w:r w:rsidRPr="009F2751">
        <w:t xml:space="preserve">.godini po veličini </w:t>
      </w:r>
      <w:r w:rsidR="00E87AC6" w:rsidRPr="00BB3C70">
        <w:rPr>
          <w:noProof/>
        </w:rPr>
        <w:drawing>
          <wp:inline distT="0" distB="0" distL="0" distR="0" wp14:anchorId="20BFA345" wp14:editId="72E74416">
            <wp:extent cx="5753100" cy="19812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2E6B2AF8" w14:textId="77777777" w:rsidR="00E87AC6" w:rsidRPr="00E6491F" w:rsidRDefault="00E87AC6" w:rsidP="00E87AC6">
      <w:pPr>
        <w:widowControl w:val="0"/>
        <w:autoSpaceDE w:val="0"/>
        <w:autoSpaceDN w:val="0"/>
        <w:adjustRightInd w:val="0"/>
        <w:spacing w:after="200" w:line="240" w:lineRule="auto"/>
        <w:jc w:val="both"/>
        <w:rPr>
          <w:rFonts w:ascii="Calibri" w:eastAsia="Calibri" w:hAnsi="Calibri" w:cs="Calibri"/>
          <w:bCs/>
          <w:sz w:val="18"/>
          <w:szCs w:val="18"/>
        </w:rPr>
      </w:pPr>
      <w:r w:rsidRPr="00E6491F">
        <w:rPr>
          <w:rFonts w:ascii="Calibri" w:eastAsia="Calibri" w:hAnsi="Calibri" w:cs="Calibri"/>
          <w:bCs/>
          <w:sz w:val="18"/>
          <w:szCs w:val="18"/>
        </w:rPr>
        <w:t>Izvor: Fina, Analiza financijskih rezultata poslovanja poduzetnika Grada Zagreba u 2019. godini</w:t>
      </w:r>
    </w:p>
    <w:p w14:paraId="605C3E11" w14:textId="77777777" w:rsidR="00E87AC6" w:rsidRDefault="00E87AC6" w:rsidP="00E87AC6">
      <w:pPr>
        <w:widowControl w:val="0"/>
        <w:autoSpaceDE w:val="0"/>
        <w:autoSpaceDN w:val="0"/>
        <w:adjustRightInd w:val="0"/>
        <w:spacing w:after="200" w:line="240" w:lineRule="auto"/>
        <w:jc w:val="both"/>
        <w:rPr>
          <w:rFonts w:ascii="Calibri" w:eastAsia="Calibri" w:hAnsi="Calibri" w:cs="Calibri"/>
        </w:rPr>
      </w:pPr>
      <w:r w:rsidRPr="002F347A">
        <w:rPr>
          <w:rFonts w:ascii="Calibri" w:eastAsia="Calibri" w:hAnsi="Calibri" w:cs="Calibri"/>
        </w:rPr>
        <w:t>Veliki su poduzetnici imali 136.314 zaposlenih, što je u prosjeku 816 zaposlenih po poduzetniku. Mikro poduzetnici su imali 94.733 zaposlenih, što je u prosjeku 2,3 zaposlenih po poduzetniku</w:t>
      </w:r>
      <w:r>
        <w:rPr>
          <w:rFonts w:ascii="Calibri" w:eastAsia="Calibri" w:hAnsi="Calibri" w:cs="Calibri"/>
        </w:rPr>
        <w:t xml:space="preserve">. </w:t>
      </w:r>
      <w:r w:rsidRPr="002F347A">
        <w:rPr>
          <w:rFonts w:ascii="Calibri" w:eastAsia="Calibri" w:hAnsi="Calibri" w:cs="Calibri"/>
        </w:rPr>
        <w:t>Kod malih poduzetnika prosječan broj zaposlenih po poduze</w:t>
      </w:r>
      <w:r>
        <w:rPr>
          <w:rFonts w:ascii="Calibri" w:eastAsia="Calibri" w:hAnsi="Calibri" w:cs="Calibri"/>
        </w:rPr>
        <w:t>t</w:t>
      </w:r>
      <w:r w:rsidRPr="002F347A">
        <w:rPr>
          <w:rFonts w:ascii="Calibri" w:eastAsia="Calibri" w:hAnsi="Calibri" w:cs="Calibri"/>
        </w:rPr>
        <w:t xml:space="preserve">niku bio je 18,8, a kod srednjih taj je prosjek iznosio 117,6 zaposlenih po poduzetniku. </w:t>
      </w:r>
    </w:p>
    <w:p w14:paraId="4DC5F814" w14:textId="77777777" w:rsidR="00E87AC6" w:rsidRPr="002F347A" w:rsidRDefault="00E87AC6" w:rsidP="00E87AC6">
      <w:pPr>
        <w:widowControl w:val="0"/>
        <w:autoSpaceDE w:val="0"/>
        <w:autoSpaceDN w:val="0"/>
        <w:adjustRightInd w:val="0"/>
        <w:spacing w:after="200" w:line="240" w:lineRule="auto"/>
        <w:jc w:val="both"/>
        <w:rPr>
          <w:rFonts w:ascii="Calibri" w:eastAsia="Calibri" w:hAnsi="Calibri" w:cs="Calibri"/>
        </w:rPr>
      </w:pPr>
      <w:r>
        <w:rPr>
          <w:rFonts w:ascii="Calibri" w:eastAsia="Calibri" w:hAnsi="Calibri" w:cs="Calibri"/>
        </w:rPr>
        <w:t xml:space="preserve">Što se tiče broja zaposlenih po vlasništvu </w:t>
      </w:r>
      <w:r w:rsidRPr="002F347A">
        <w:rPr>
          <w:rFonts w:ascii="Calibri" w:eastAsia="Calibri" w:hAnsi="Calibri" w:cs="Calibri"/>
        </w:rPr>
        <w:t>u 2019. godini</w:t>
      </w:r>
      <w:r>
        <w:rPr>
          <w:rFonts w:ascii="Calibri" w:eastAsia="Calibri" w:hAnsi="Calibri" w:cs="Calibri"/>
        </w:rPr>
        <w:t xml:space="preserve"> </w:t>
      </w:r>
      <w:r w:rsidRPr="002F347A">
        <w:rPr>
          <w:rFonts w:ascii="Calibri" w:eastAsia="Calibri" w:hAnsi="Calibri" w:cs="Calibri"/>
        </w:rPr>
        <w:t xml:space="preserve"> </w:t>
      </w:r>
      <w:r>
        <w:rPr>
          <w:rFonts w:ascii="Calibri" w:eastAsia="Calibri" w:hAnsi="Calibri" w:cs="Calibri"/>
        </w:rPr>
        <w:t>n</w:t>
      </w:r>
      <w:r w:rsidRPr="008C7AA8">
        <w:rPr>
          <w:rFonts w:ascii="Calibri" w:eastAsia="Calibri" w:hAnsi="Calibri" w:cs="Calibri"/>
        </w:rPr>
        <w:t>ajveći broj bilježe poduzetnici privatnog vlasništva (</w:t>
      </w:r>
      <w:r>
        <w:rPr>
          <w:rFonts w:ascii="Calibri" w:eastAsia="Calibri" w:hAnsi="Calibri" w:cs="Calibri"/>
        </w:rPr>
        <w:t>75,9%</w:t>
      </w:r>
      <w:r w:rsidRPr="008C7AA8">
        <w:rPr>
          <w:rFonts w:ascii="Calibri" w:eastAsia="Calibri" w:hAnsi="Calibri" w:cs="Calibri"/>
        </w:rPr>
        <w:t>)</w:t>
      </w:r>
      <w:r>
        <w:rPr>
          <w:rFonts w:ascii="Calibri" w:eastAsia="Calibri" w:hAnsi="Calibri" w:cs="Calibri"/>
        </w:rPr>
        <w:t xml:space="preserve">, a koji  </w:t>
      </w:r>
      <w:r w:rsidRPr="008C7AA8">
        <w:rPr>
          <w:rFonts w:ascii="Calibri" w:eastAsia="Calibri" w:hAnsi="Calibri" w:cs="Calibri"/>
        </w:rPr>
        <w:t xml:space="preserve">u prosjeku </w:t>
      </w:r>
      <w:r>
        <w:rPr>
          <w:rFonts w:ascii="Calibri" w:eastAsia="Calibri" w:hAnsi="Calibri" w:cs="Calibri"/>
        </w:rPr>
        <w:t xml:space="preserve">imaju </w:t>
      </w:r>
      <w:r w:rsidRPr="008C7AA8">
        <w:rPr>
          <w:rFonts w:ascii="Calibri" w:eastAsia="Calibri" w:hAnsi="Calibri" w:cs="Calibri"/>
        </w:rPr>
        <w:t xml:space="preserve">6,2 zaposlenih po poduzetniku. </w:t>
      </w:r>
      <w:r>
        <w:rPr>
          <w:rFonts w:ascii="Calibri" w:eastAsia="Calibri" w:hAnsi="Calibri" w:cs="Calibri"/>
        </w:rPr>
        <w:t>Kod p</w:t>
      </w:r>
      <w:r w:rsidRPr="002F347A">
        <w:rPr>
          <w:rFonts w:ascii="Calibri" w:eastAsia="Calibri" w:hAnsi="Calibri" w:cs="Calibri"/>
        </w:rPr>
        <w:t>oduzetni</w:t>
      </w:r>
      <w:r>
        <w:rPr>
          <w:rFonts w:ascii="Calibri" w:eastAsia="Calibri" w:hAnsi="Calibri" w:cs="Calibri"/>
        </w:rPr>
        <w:t>ka</w:t>
      </w:r>
      <w:r w:rsidRPr="002F347A">
        <w:rPr>
          <w:rFonts w:ascii="Calibri" w:eastAsia="Calibri" w:hAnsi="Calibri" w:cs="Calibri"/>
        </w:rPr>
        <w:t xml:space="preserve"> u državnom vlasništvu</w:t>
      </w:r>
      <w:r>
        <w:rPr>
          <w:rFonts w:ascii="Calibri" w:eastAsia="Calibri" w:hAnsi="Calibri" w:cs="Calibri"/>
        </w:rPr>
        <w:t xml:space="preserve"> bilježimo 18% zaposlenih i oni imaju </w:t>
      </w:r>
      <w:r w:rsidRPr="002F347A">
        <w:rPr>
          <w:rFonts w:ascii="Calibri" w:eastAsia="Calibri" w:hAnsi="Calibri" w:cs="Calibri"/>
        </w:rPr>
        <w:t xml:space="preserve"> u prosjeku 554,4 zaposlena po poduzetniku. Najmanji je prosječan broj zaposlenih kod zadružnih poduzetnika (0,8 zaposleni po poduzetniku), dok je kod mješovitih poduzetnika</w:t>
      </w:r>
      <w:r>
        <w:rPr>
          <w:rFonts w:ascii="Calibri" w:eastAsia="Calibri" w:hAnsi="Calibri" w:cs="Calibri"/>
        </w:rPr>
        <w:t xml:space="preserve"> </w:t>
      </w:r>
      <w:r w:rsidRPr="002F347A">
        <w:rPr>
          <w:rFonts w:ascii="Calibri" w:eastAsia="Calibri" w:hAnsi="Calibri" w:cs="Calibri"/>
        </w:rPr>
        <w:t>taj prosjek 275,1 zaposleni po poduzetniku.</w:t>
      </w:r>
    </w:p>
    <w:p w14:paraId="3ECAF24E" w14:textId="77777777" w:rsidR="00E87AC6" w:rsidRDefault="00E87AC6" w:rsidP="00E87AC6">
      <w:pPr>
        <w:widowControl w:val="0"/>
        <w:autoSpaceDE w:val="0"/>
        <w:autoSpaceDN w:val="0"/>
        <w:adjustRightInd w:val="0"/>
        <w:spacing w:after="200" w:line="240" w:lineRule="auto"/>
        <w:jc w:val="both"/>
        <w:rPr>
          <w:rFonts w:ascii="Calibri" w:eastAsia="Calibri" w:hAnsi="Calibri" w:cs="Calibri"/>
        </w:rPr>
      </w:pPr>
      <w:r w:rsidRPr="009408F4">
        <w:rPr>
          <w:rFonts w:ascii="Calibri" w:eastAsia="Calibri" w:hAnsi="Calibri" w:cs="Calibri"/>
        </w:rPr>
        <w:t xml:space="preserve">Srednji poduzetnici Grada Zagreba, njih ukupno 567, u 2019. godini obračunali su za 66.655 zaposlenih </w:t>
      </w:r>
      <w:bookmarkStart w:id="87" w:name="_Hlk68685404"/>
      <w:r w:rsidRPr="009408F4">
        <w:rPr>
          <w:rFonts w:ascii="Calibri" w:eastAsia="Calibri" w:hAnsi="Calibri" w:cs="Calibri"/>
        </w:rPr>
        <w:t xml:space="preserve">prosječnu mjesečnu neto plaću </w:t>
      </w:r>
      <w:bookmarkEnd w:id="87"/>
      <w:r w:rsidRPr="009408F4">
        <w:rPr>
          <w:rFonts w:ascii="Calibri" w:eastAsia="Calibri" w:hAnsi="Calibri" w:cs="Calibri"/>
        </w:rPr>
        <w:t xml:space="preserve">u iznosu od 7.148 kuna. Navedena plaća bila je za 7,3% veća od prosječne mjesečne plaće svih poduzetnika Grada Zagreba i za 22,9% veća od prosjeka srednjih poduzetnika na razini Hrvatske. Najveća prosječna mjesečna neto plaća obračunata je zaposlenima kod 167 velikih poduzetnika (8.050 kuna), što je 20,9% više od prosjeka zaposlenih kod poduzetnika na razini Grada Zagreba (6.661 kuna). Kod malih poduzetnika zaposleni su imali prosječnu mjesečnu neto plaću od 6.580 kuna, a mikro </w:t>
      </w:r>
      <w:r w:rsidRPr="002F347A">
        <w:rPr>
          <w:rFonts w:ascii="Calibri" w:eastAsia="Calibri" w:hAnsi="Calibri" w:cs="Calibri"/>
        </w:rPr>
        <w:t>poduzetnici svojim su zaposlenima obračunali najmanju prosječnu mjesečnu neto plaću (4.384 kune), manju od prosjeka na razini svih poduzetnika županije za 34,2%, a te je kod njih udio troškova za neto plaće u ukupnim rashodima najveći, s udjelom od 9,9%.</w:t>
      </w:r>
    </w:p>
    <w:p w14:paraId="0ABE686A" w14:textId="77777777" w:rsidR="00E87AC6" w:rsidRDefault="00E87AC6" w:rsidP="00E87AC6">
      <w:pPr>
        <w:widowControl w:val="0"/>
        <w:autoSpaceDE w:val="0"/>
        <w:autoSpaceDN w:val="0"/>
        <w:adjustRightInd w:val="0"/>
        <w:spacing w:after="200" w:line="240" w:lineRule="auto"/>
        <w:jc w:val="both"/>
        <w:rPr>
          <w:rFonts w:ascii="Calibri" w:eastAsia="Calibri" w:hAnsi="Calibri" w:cs="Calibri"/>
        </w:rPr>
      </w:pPr>
    </w:p>
    <w:tbl>
      <w:tblPr>
        <w:tblW w:w="5000" w:type="pct"/>
        <w:tblLook w:val="01E0" w:firstRow="1" w:lastRow="1" w:firstColumn="1" w:lastColumn="1" w:noHBand="0" w:noVBand="0"/>
      </w:tblPr>
      <w:tblGrid>
        <w:gridCol w:w="4536"/>
        <w:gridCol w:w="4536"/>
      </w:tblGrid>
      <w:tr w:rsidR="00E87AC6" w:rsidRPr="001D4EF3" w14:paraId="07F997AB" w14:textId="77777777" w:rsidTr="004838D7">
        <w:trPr>
          <w:trHeight w:val="3544"/>
        </w:trPr>
        <w:tc>
          <w:tcPr>
            <w:tcW w:w="2500" w:type="pct"/>
            <w:shd w:val="clear" w:color="auto" w:fill="CCCCCC"/>
          </w:tcPr>
          <w:p w14:paraId="45B86853" w14:textId="77777777" w:rsidR="00E87AC6" w:rsidRPr="001D4EF3" w:rsidRDefault="00E87AC6" w:rsidP="004838D7">
            <w:pPr>
              <w:spacing w:before="60" w:after="60" w:line="276" w:lineRule="auto"/>
              <w:jc w:val="both"/>
              <w:rPr>
                <w:rFonts w:ascii="Calibri" w:eastAsia="Calibri" w:hAnsi="Calibri" w:cs="Calibri"/>
                <w:b/>
                <w:sz w:val="18"/>
                <w:szCs w:val="18"/>
              </w:rPr>
            </w:pPr>
            <w:r w:rsidRPr="001D4EF3">
              <w:rPr>
                <w:rFonts w:ascii="Calibri" w:eastAsia="Calibri" w:hAnsi="Calibri" w:cs="Calibri"/>
                <w:b/>
                <w:sz w:val="18"/>
                <w:szCs w:val="18"/>
              </w:rPr>
              <w:t>RAZVOJNI PROBLEMI</w:t>
            </w:r>
          </w:p>
          <w:p w14:paraId="4E870C5F"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nedostatne investicije privatnog sektora</w:t>
            </w:r>
          </w:p>
          <w:p w14:paraId="2DF278A5"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niska inozemna izravna ulaganja</w:t>
            </w:r>
          </w:p>
          <w:p w14:paraId="4A0B2D81"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premalo investicija u proizvodnju i greenfield projekte</w:t>
            </w:r>
          </w:p>
          <w:p w14:paraId="29DD865B"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nedostatna financijska sredstva za realizaciju razvojnih projekata</w:t>
            </w:r>
          </w:p>
          <w:p w14:paraId="32781864"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 xml:space="preserve">nedovoljna konkurentnost u odnosu na usporedive gradove u EU </w:t>
            </w:r>
          </w:p>
          <w:p w14:paraId="444C8B2C"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nedostatna usmjerenost na proizvode i usluge veće dodane vrijednosti i višeg tehnološkog stupnja obrade</w:t>
            </w:r>
          </w:p>
          <w:p w14:paraId="4783DE77"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 xml:space="preserve">nedostatna suradnja akademskog, poslovnog i javnog sektora u jačanju inovativnosti i konkurentnosti </w:t>
            </w:r>
          </w:p>
          <w:p w14:paraId="28FA6003"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nedovoljna povezanost i umreženost poduzetnika kako bi se osigurala veća konkurentnost na tržištu</w:t>
            </w:r>
          </w:p>
          <w:p w14:paraId="28421255"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nedovoljna digitalizacija uprave i javnih servisa</w:t>
            </w:r>
          </w:p>
          <w:p w14:paraId="09C6060C"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bCs/>
                <w:sz w:val="18"/>
                <w:szCs w:val="18"/>
              </w:rPr>
              <w:t>izvoz Grada Zagreba i dalje znatno manji od uvoza</w:t>
            </w:r>
          </w:p>
          <w:p w14:paraId="0CE2B28F"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nedostatna proizvodnja za izvozna tržišta</w:t>
            </w:r>
          </w:p>
          <w:p w14:paraId="6FE8D444"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izražena je strukturna nezaposlenost-kvalifikacijska struktura nezaposlene radne snage u mnogim slučajevima ne odgovara potrebama tržišta rada</w:t>
            </w:r>
          </w:p>
          <w:p w14:paraId="52241702"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velik je udjel nezaposlenih starije dobi koji se teško prilagođavaju zahtjevima tržišta</w:t>
            </w:r>
          </w:p>
          <w:p w14:paraId="4D938D8E"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1D4EF3">
              <w:rPr>
                <w:rFonts w:ascii="Calibri" w:eastAsia="Calibri" w:hAnsi="Calibri" w:cs="Calibri"/>
                <w:color w:val="000000"/>
                <w:sz w:val="18"/>
                <w:szCs w:val="18"/>
              </w:rPr>
              <w:t>nedovoljna je uključenost lokalne razine u programe za poticanjem zapošljavanja u okviru Državnog zavoda za zapošljavanje</w:t>
            </w:r>
          </w:p>
          <w:p w14:paraId="30AA54A8"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
                <w:sz w:val="18"/>
                <w:szCs w:val="18"/>
              </w:rPr>
            </w:pPr>
            <w:r w:rsidRPr="001D4EF3">
              <w:rPr>
                <w:rFonts w:ascii="Calibri" w:eastAsia="Calibri" w:hAnsi="Calibri" w:cs="Calibri"/>
                <w:color w:val="000000"/>
                <w:sz w:val="18"/>
                <w:szCs w:val="18"/>
              </w:rPr>
              <w:t>nepostojanje cjelovite politike za poticanje zapošljavanja i samozapošljavanja mladih visoko obrazovanih osoba u onim dijelovima gospodarstva koji svoj rast i razvoj zasnivaju na znanju i inovacijama</w:t>
            </w:r>
          </w:p>
          <w:p w14:paraId="117E833B" w14:textId="7777777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
                <w:sz w:val="18"/>
                <w:szCs w:val="18"/>
              </w:rPr>
            </w:pPr>
            <w:r w:rsidRPr="001D4EF3">
              <w:rPr>
                <w:rFonts w:ascii="Calibri" w:eastAsia="Calibri" w:hAnsi="Calibri" w:cs="Calibri"/>
                <w:bCs/>
                <w:sz w:val="18"/>
                <w:szCs w:val="18"/>
              </w:rPr>
              <w:t>nedostatna svijest o važnosti društvenog poduzetništva</w:t>
            </w:r>
          </w:p>
          <w:p w14:paraId="3D7D2BE0" w14:textId="77777777" w:rsidR="00E87AC6" w:rsidRPr="001D4EF3" w:rsidRDefault="00E87AC6" w:rsidP="004838D7">
            <w:pPr>
              <w:tabs>
                <w:tab w:val="num" w:pos="720"/>
              </w:tabs>
              <w:spacing w:before="60" w:after="60" w:line="240" w:lineRule="auto"/>
              <w:ind w:left="284" w:right="-2"/>
              <w:rPr>
                <w:rFonts w:ascii="Calibri" w:eastAsia="Calibri" w:hAnsi="Calibri" w:cs="Calibri"/>
                <w:b/>
                <w:sz w:val="18"/>
                <w:szCs w:val="18"/>
              </w:rPr>
            </w:pPr>
          </w:p>
        </w:tc>
        <w:tc>
          <w:tcPr>
            <w:tcW w:w="2500" w:type="pct"/>
            <w:shd w:val="clear" w:color="auto" w:fill="99CCFF"/>
          </w:tcPr>
          <w:p w14:paraId="0609081F" w14:textId="77777777" w:rsidR="00E87AC6" w:rsidRPr="001D4EF3" w:rsidRDefault="00E87AC6" w:rsidP="004838D7">
            <w:pPr>
              <w:spacing w:before="60" w:after="60" w:line="276" w:lineRule="auto"/>
              <w:jc w:val="both"/>
              <w:rPr>
                <w:rFonts w:ascii="Calibri" w:eastAsia="Calibri" w:hAnsi="Calibri" w:cs="Calibri"/>
                <w:b/>
                <w:sz w:val="18"/>
                <w:szCs w:val="18"/>
              </w:rPr>
            </w:pPr>
            <w:r w:rsidRPr="001D4EF3">
              <w:rPr>
                <w:rFonts w:ascii="Calibri" w:eastAsia="Calibri" w:hAnsi="Calibri" w:cs="Calibri"/>
                <w:b/>
                <w:sz w:val="18"/>
                <w:szCs w:val="18"/>
              </w:rPr>
              <w:t>RAZVOJNE POTREBE</w:t>
            </w:r>
          </w:p>
          <w:p w14:paraId="23893547" w14:textId="471AAFAA" w:rsidR="00E87AC6" w:rsidRPr="001D4EF3" w:rsidRDefault="00E87AC6" w:rsidP="00E87AC6">
            <w:pPr>
              <w:numPr>
                <w:ilvl w:val="0"/>
                <w:numId w:val="2"/>
              </w:numPr>
              <w:tabs>
                <w:tab w:val="num" w:pos="284"/>
                <w:tab w:val="num" w:pos="540"/>
              </w:tabs>
              <w:spacing w:after="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poboljša</w:t>
            </w:r>
            <w:r w:rsidR="00FD411A">
              <w:rPr>
                <w:rFonts w:ascii="Calibri" w:eastAsia="Calibri" w:hAnsi="Calibri" w:cs="Calibri"/>
                <w:bCs/>
                <w:color w:val="000000"/>
                <w:sz w:val="18"/>
                <w:szCs w:val="18"/>
              </w:rPr>
              <w:t>ti</w:t>
            </w:r>
            <w:r w:rsidRPr="001D4EF3">
              <w:rPr>
                <w:rFonts w:ascii="Calibri" w:eastAsia="Calibri" w:hAnsi="Calibri" w:cs="Calibri"/>
                <w:bCs/>
                <w:color w:val="000000"/>
                <w:sz w:val="18"/>
                <w:szCs w:val="18"/>
              </w:rPr>
              <w:t xml:space="preserve"> investicijsk</w:t>
            </w:r>
            <w:r w:rsidR="00FD411A">
              <w:rPr>
                <w:rFonts w:ascii="Calibri" w:eastAsia="Calibri" w:hAnsi="Calibri" w:cs="Calibri"/>
                <w:bCs/>
                <w:color w:val="000000"/>
                <w:sz w:val="18"/>
                <w:szCs w:val="18"/>
              </w:rPr>
              <w:t>o</w:t>
            </w:r>
            <w:r w:rsidRPr="001D4EF3">
              <w:rPr>
                <w:rFonts w:ascii="Calibri" w:eastAsia="Calibri" w:hAnsi="Calibri" w:cs="Calibri"/>
                <w:bCs/>
                <w:color w:val="000000"/>
                <w:sz w:val="18"/>
                <w:szCs w:val="18"/>
              </w:rPr>
              <w:t xml:space="preserve"> okruženj</w:t>
            </w:r>
            <w:r w:rsidR="00FD411A">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u cilju privlačenja</w:t>
            </w:r>
          </w:p>
          <w:p w14:paraId="61CD981E" w14:textId="77777777" w:rsidR="00E87AC6" w:rsidRPr="001D4EF3" w:rsidRDefault="00E87AC6" w:rsidP="004838D7">
            <w:pPr>
              <w:tabs>
                <w:tab w:val="num" w:pos="720"/>
              </w:tabs>
              <w:spacing w:after="0" w:line="240" w:lineRule="auto"/>
              <w:ind w:left="284" w:right="-2"/>
              <w:rPr>
                <w:rFonts w:ascii="Calibri" w:eastAsia="Calibri" w:hAnsi="Calibri" w:cs="Calibri"/>
                <w:bCs/>
                <w:color w:val="000000"/>
                <w:sz w:val="18"/>
                <w:szCs w:val="18"/>
              </w:rPr>
            </w:pPr>
            <w:r w:rsidRPr="001D4EF3">
              <w:rPr>
                <w:rFonts w:ascii="Calibri" w:eastAsia="Calibri" w:hAnsi="Calibri" w:cs="Calibri"/>
                <w:bCs/>
                <w:color w:val="000000"/>
                <w:sz w:val="18"/>
                <w:szCs w:val="18"/>
              </w:rPr>
              <w:t xml:space="preserve">investicija privatnog sektora i inozemnih izravnih ulaganja  </w:t>
            </w:r>
          </w:p>
          <w:p w14:paraId="2751A100" w14:textId="30A3EC96"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sz w:val="18"/>
                <w:szCs w:val="18"/>
              </w:rPr>
              <w:t>privla</w:t>
            </w:r>
            <w:r w:rsidR="00FD411A">
              <w:rPr>
                <w:rFonts w:ascii="Calibri" w:eastAsia="Calibri" w:hAnsi="Calibri" w:cs="Calibri"/>
                <w:bCs/>
                <w:sz w:val="18"/>
                <w:szCs w:val="18"/>
              </w:rPr>
              <w:t>čiti</w:t>
            </w:r>
            <w:r w:rsidRPr="001D4EF3">
              <w:rPr>
                <w:rFonts w:ascii="Calibri" w:eastAsia="Calibri" w:hAnsi="Calibri" w:cs="Calibri"/>
                <w:bCs/>
                <w:sz w:val="18"/>
                <w:szCs w:val="18"/>
              </w:rPr>
              <w:t xml:space="preserve"> investicij</w:t>
            </w:r>
            <w:r w:rsidR="00FD411A">
              <w:rPr>
                <w:rFonts w:ascii="Calibri" w:eastAsia="Calibri" w:hAnsi="Calibri" w:cs="Calibri"/>
                <w:bCs/>
                <w:sz w:val="18"/>
                <w:szCs w:val="18"/>
              </w:rPr>
              <w:t>e</w:t>
            </w:r>
            <w:r w:rsidRPr="001D4EF3">
              <w:rPr>
                <w:rFonts w:ascii="Calibri" w:eastAsia="Calibri" w:hAnsi="Calibri" w:cs="Calibri"/>
                <w:bCs/>
                <w:sz w:val="18"/>
                <w:szCs w:val="18"/>
              </w:rPr>
              <w:t xml:space="preserve"> temelje na inovacijama, znanju i naprednim tehnologijama</w:t>
            </w:r>
          </w:p>
          <w:p w14:paraId="019A3846" w14:textId="113E46C5"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s</w:t>
            </w:r>
            <w:r w:rsidR="00FD411A">
              <w:rPr>
                <w:rFonts w:ascii="Calibri" w:eastAsia="Calibri" w:hAnsi="Calibri" w:cs="Calibri"/>
                <w:bCs/>
                <w:color w:val="000000"/>
                <w:sz w:val="18"/>
                <w:szCs w:val="18"/>
              </w:rPr>
              <w:t>rediti</w:t>
            </w:r>
            <w:r w:rsidRPr="001D4EF3">
              <w:rPr>
                <w:rFonts w:ascii="Calibri" w:eastAsia="Calibri" w:hAnsi="Calibri" w:cs="Calibri"/>
                <w:bCs/>
                <w:color w:val="000000"/>
                <w:sz w:val="18"/>
                <w:szCs w:val="18"/>
              </w:rPr>
              <w:t xml:space="preserve"> imovinsko-pravn</w:t>
            </w:r>
            <w:r w:rsidR="00FD411A">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odnos</w:t>
            </w:r>
            <w:r w:rsidR="00FD411A">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na nekretninama i uskla</w:t>
            </w:r>
            <w:r w:rsidR="00FD411A">
              <w:rPr>
                <w:rFonts w:ascii="Calibri" w:eastAsia="Calibri" w:hAnsi="Calibri" w:cs="Calibri"/>
                <w:bCs/>
                <w:color w:val="000000"/>
                <w:sz w:val="18"/>
                <w:szCs w:val="18"/>
              </w:rPr>
              <w:t>diti</w:t>
            </w:r>
            <w:r w:rsidRPr="001D4EF3">
              <w:rPr>
                <w:rFonts w:ascii="Calibri" w:eastAsia="Calibri" w:hAnsi="Calibri" w:cs="Calibri"/>
                <w:bCs/>
                <w:color w:val="000000"/>
                <w:sz w:val="18"/>
                <w:szCs w:val="18"/>
              </w:rPr>
              <w:t xml:space="preserve"> zemljišnoknjižno i katastarsko</w:t>
            </w:r>
            <w:r w:rsidR="00FD411A">
              <w:rPr>
                <w:rFonts w:ascii="Calibri" w:eastAsia="Calibri" w:hAnsi="Calibri" w:cs="Calibri"/>
                <w:bCs/>
                <w:color w:val="000000"/>
                <w:sz w:val="18"/>
                <w:szCs w:val="18"/>
              </w:rPr>
              <w:t xml:space="preserve"> </w:t>
            </w:r>
            <w:r w:rsidRPr="001D4EF3">
              <w:rPr>
                <w:rFonts w:ascii="Calibri" w:eastAsia="Calibri" w:hAnsi="Calibri" w:cs="Calibri"/>
                <w:bCs/>
                <w:color w:val="000000"/>
                <w:sz w:val="18"/>
                <w:szCs w:val="18"/>
              </w:rPr>
              <w:t>stanj</w:t>
            </w:r>
            <w:r w:rsidR="00FD411A">
              <w:rPr>
                <w:rFonts w:ascii="Calibri" w:eastAsia="Calibri" w:hAnsi="Calibri" w:cs="Calibri"/>
                <w:bCs/>
                <w:color w:val="000000"/>
                <w:sz w:val="18"/>
                <w:szCs w:val="18"/>
              </w:rPr>
              <w:t>e</w:t>
            </w:r>
            <w:r w:rsidRPr="001D4EF3">
              <w:rPr>
                <w:rFonts w:ascii="Calibri" w:eastAsia="Calibri" w:hAnsi="Calibri" w:cs="Calibri"/>
                <w:bCs/>
                <w:color w:val="000000"/>
                <w:sz w:val="18"/>
                <w:szCs w:val="18"/>
              </w:rPr>
              <w:t>, s ciljem nesmetane provedbe poduzetničkih projekata i investicija</w:t>
            </w:r>
            <w:r w:rsidRPr="001D4EF3">
              <w:rPr>
                <w:rFonts w:ascii="Calibri" w:eastAsia="Calibri" w:hAnsi="Calibri" w:cs="Calibri"/>
                <w:bCs/>
                <w:sz w:val="18"/>
                <w:szCs w:val="18"/>
              </w:rPr>
              <w:t xml:space="preserve"> </w:t>
            </w:r>
          </w:p>
          <w:p w14:paraId="146D7C8C" w14:textId="2F13F801"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ubr</w:t>
            </w:r>
            <w:r w:rsidR="00FD411A">
              <w:rPr>
                <w:rFonts w:ascii="Calibri" w:eastAsia="Calibri" w:hAnsi="Calibri" w:cs="Calibri"/>
                <w:bCs/>
                <w:color w:val="000000"/>
                <w:sz w:val="18"/>
                <w:szCs w:val="18"/>
              </w:rPr>
              <w:t>zati</w:t>
            </w:r>
            <w:r w:rsidRPr="001D4EF3">
              <w:rPr>
                <w:rFonts w:ascii="Calibri" w:eastAsia="Calibri" w:hAnsi="Calibri" w:cs="Calibri"/>
                <w:bCs/>
                <w:color w:val="000000"/>
                <w:sz w:val="18"/>
                <w:szCs w:val="18"/>
              </w:rPr>
              <w:t xml:space="preserve"> korištenj</w:t>
            </w:r>
            <w:r w:rsidR="00FD411A">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sredstava fondova EU u cilju javnih investicija odnosno implementacije razvojnih projekata</w:t>
            </w:r>
          </w:p>
          <w:p w14:paraId="474FB34B" w14:textId="3AFA2BD3"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jača</w:t>
            </w:r>
            <w:r w:rsidR="00FD411A">
              <w:rPr>
                <w:rFonts w:ascii="Calibri" w:eastAsia="Calibri" w:hAnsi="Calibri" w:cs="Calibri"/>
                <w:bCs/>
                <w:color w:val="000000"/>
                <w:sz w:val="18"/>
                <w:szCs w:val="18"/>
              </w:rPr>
              <w:t xml:space="preserve">ti </w:t>
            </w:r>
            <w:r w:rsidRPr="001D4EF3">
              <w:rPr>
                <w:rFonts w:ascii="Calibri" w:eastAsia="Calibri" w:hAnsi="Calibri" w:cs="Calibri"/>
                <w:bCs/>
                <w:color w:val="000000"/>
                <w:sz w:val="18"/>
                <w:szCs w:val="18"/>
              </w:rPr>
              <w:t xml:space="preserve">konkurentnost poduzetnika pružanjem potpora za podizanje tehnološke razine i kapaciteta za razvoj i proizvodnju proizvoda više dodane vrijednosti </w:t>
            </w:r>
          </w:p>
          <w:p w14:paraId="579E1E92" w14:textId="2DD2A609"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potica</w:t>
            </w:r>
            <w:r w:rsidR="00C84107">
              <w:rPr>
                <w:rFonts w:ascii="Calibri" w:eastAsia="Calibri" w:hAnsi="Calibri" w:cs="Calibri"/>
                <w:bCs/>
                <w:color w:val="000000"/>
                <w:sz w:val="18"/>
                <w:szCs w:val="18"/>
              </w:rPr>
              <w:t>ti</w:t>
            </w:r>
            <w:r w:rsidRPr="001D4EF3">
              <w:rPr>
                <w:rFonts w:ascii="Calibri" w:eastAsia="Calibri" w:hAnsi="Calibri" w:cs="Calibri"/>
                <w:bCs/>
                <w:color w:val="000000"/>
                <w:sz w:val="18"/>
                <w:szCs w:val="18"/>
              </w:rPr>
              <w:t xml:space="preserve"> primjene pametne specijalizacije u poduzetništvu u funkciji jačanja ukupne konkurentnosti</w:t>
            </w:r>
          </w:p>
          <w:p w14:paraId="6807B2C9" w14:textId="1E8BD78F"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razv</w:t>
            </w:r>
            <w:r w:rsidR="00C84107">
              <w:rPr>
                <w:rFonts w:ascii="Calibri" w:eastAsia="Calibri" w:hAnsi="Calibri" w:cs="Calibri"/>
                <w:bCs/>
                <w:color w:val="000000"/>
                <w:sz w:val="18"/>
                <w:szCs w:val="18"/>
              </w:rPr>
              <w:t>iti</w:t>
            </w:r>
            <w:r w:rsidRPr="001D4EF3">
              <w:rPr>
                <w:rFonts w:ascii="Calibri" w:eastAsia="Calibri" w:hAnsi="Calibri" w:cs="Calibri"/>
                <w:bCs/>
                <w:color w:val="000000"/>
                <w:sz w:val="18"/>
                <w:szCs w:val="18"/>
              </w:rPr>
              <w:t xml:space="preserve"> tehnološke i poslovne infrastrukture koj</w:t>
            </w:r>
            <w:r w:rsidR="00C84107">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će poduprijeti i poboljšati umreženost poduzetnika, posebno malih i srednjih, s istraživačkim i razvojnim institucijama (i međusobno) u cilju jačanja inovativnosti i konkurentnosti</w:t>
            </w:r>
          </w:p>
          <w:p w14:paraId="0A62AA81" w14:textId="26978742"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digitali</w:t>
            </w:r>
            <w:r w:rsidR="00C84107">
              <w:rPr>
                <w:rFonts w:ascii="Calibri" w:eastAsia="Calibri" w:hAnsi="Calibri" w:cs="Calibri"/>
                <w:bCs/>
                <w:color w:val="000000"/>
                <w:sz w:val="18"/>
                <w:szCs w:val="18"/>
              </w:rPr>
              <w:t>zirati</w:t>
            </w:r>
            <w:r w:rsidRPr="001D4EF3">
              <w:rPr>
                <w:rFonts w:ascii="Calibri" w:eastAsia="Calibri" w:hAnsi="Calibri" w:cs="Calibri"/>
                <w:bCs/>
                <w:color w:val="000000"/>
                <w:sz w:val="18"/>
                <w:szCs w:val="18"/>
              </w:rPr>
              <w:t xml:space="preserve"> gradsk</w:t>
            </w:r>
            <w:r w:rsidR="00C84107">
              <w:rPr>
                <w:rFonts w:ascii="Calibri" w:eastAsia="Calibri" w:hAnsi="Calibri" w:cs="Calibri"/>
                <w:bCs/>
                <w:color w:val="000000"/>
                <w:sz w:val="18"/>
                <w:szCs w:val="18"/>
              </w:rPr>
              <w:t>u</w:t>
            </w:r>
            <w:r w:rsidRPr="001D4EF3">
              <w:rPr>
                <w:rFonts w:ascii="Calibri" w:eastAsia="Calibri" w:hAnsi="Calibri" w:cs="Calibri"/>
                <w:bCs/>
                <w:color w:val="000000"/>
                <w:sz w:val="18"/>
                <w:szCs w:val="18"/>
              </w:rPr>
              <w:t xml:space="preserve"> uprav</w:t>
            </w:r>
            <w:r w:rsidR="00C84107">
              <w:rPr>
                <w:rFonts w:ascii="Calibri" w:eastAsia="Calibri" w:hAnsi="Calibri" w:cs="Calibri"/>
                <w:bCs/>
                <w:color w:val="000000"/>
                <w:sz w:val="18"/>
                <w:szCs w:val="18"/>
              </w:rPr>
              <w:t>u</w:t>
            </w:r>
            <w:r w:rsidRPr="001D4EF3">
              <w:rPr>
                <w:rFonts w:ascii="Calibri" w:eastAsia="Calibri" w:hAnsi="Calibri" w:cs="Calibri"/>
                <w:bCs/>
                <w:color w:val="000000"/>
                <w:sz w:val="18"/>
                <w:szCs w:val="18"/>
              </w:rPr>
              <w:t xml:space="preserve"> i njen</w:t>
            </w:r>
            <w:r w:rsidR="00C84107">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servis</w:t>
            </w:r>
            <w:r w:rsidR="00C84107">
              <w:rPr>
                <w:rFonts w:ascii="Calibri" w:eastAsia="Calibri" w:hAnsi="Calibri" w:cs="Calibri"/>
                <w:bCs/>
                <w:color w:val="000000"/>
                <w:sz w:val="18"/>
                <w:szCs w:val="18"/>
              </w:rPr>
              <w:t>e</w:t>
            </w:r>
          </w:p>
          <w:p w14:paraId="0633D668" w14:textId="1CDCEECA"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pruž</w:t>
            </w:r>
            <w:r w:rsidR="00C84107">
              <w:rPr>
                <w:rFonts w:ascii="Calibri" w:eastAsia="Calibri" w:hAnsi="Calibri" w:cs="Calibri"/>
                <w:bCs/>
                <w:color w:val="000000"/>
                <w:sz w:val="18"/>
                <w:szCs w:val="18"/>
              </w:rPr>
              <w:t>ati</w:t>
            </w:r>
            <w:r w:rsidRPr="001D4EF3">
              <w:rPr>
                <w:rFonts w:ascii="Calibri" w:eastAsia="Calibri" w:hAnsi="Calibri" w:cs="Calibri"/>
                <w:bCs/>
                <w:color w:val="000000"/>
                <w:sz w:val="18"/>
                <w:szCs w:val="18"/>
              </w:rPr>
              <w:t xml:space="preserve"> podrške poduzetnicima prilikom internacionalizacije poslovanja posebice kod izvoza proizvoda i usluga visoke dodane vrijednosti</w:t>
            </w:r>
          </w:p>
          <w:p w14:paraId="0DB50876" w14:textId="239E8BC0"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potica</w:t>
            </w:r>
            <w:r w:rsidR="00C84107">
              <w:rPr>
                <w:rFonts w:ascii="Calibri" w:eastAsia="Calibri" w:hAnsi="Calibri" w:cs="Calibri"/>
                <w:bCs/>
                <w:color w:val="000000"/>
                <w:sz w:val="18"/>
                <w:szCs w:val="18"/>
              </w:rPr>
              <w:t>ti</w:t>
            </w:r>
            <w:r w:rsidRPr="001D4EF3">
              <w:rPr>
                <w:rFonts w:ascii="Calibri" w:eastAsia="Calibri" w:hAnsi="Calibri" w:cs="Calibri"/>
                <w:bCs/>
                <w:color w:val="000000"/>
                <w:sz w:val="18"/>
                <w:szCs w:val="18"/>
              </w:rPr>
              <w:t xml:space="preserve"> povezivanj</w:t>
            </w:r>
            <w:r w:rsidR="00C84107">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MSP u klastere radi jačanja njihove konkurentnosti i izvoznog potencijala </w:t>
            </w:r>
          </w:p>
          <w:p w14:paraId="75123E94" w14:textId="433A5D50"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IDFont+F3" w:hAnsi="Calibri" w:cs="Calibri"/>
                <w:bCs/>
                <w:sz w:val="18"/>
                <w:szCs w:val="18"/>
              </w:rPr>
              <w:t>jača</w:t>
            </w:r>
            <w:r w:rsidR="00C84107">
              <w:rPr>
                <w:rFonts w:ascii="Calibri" w:eastAsia="CIDFont+F3" w:hAnsi="Calibri" w:cs="Calibri"/>
                <w:bCs/>
                <w:sz w:val="18"/>
                <w:szCs w:val="18"/>
              </w:rPr>
              <w:t>ti</w:t>
            </w:r>
            <w:r w:rsidRPr="001D4EF3">
              <w:rPr>
                <w:rFonts w:ascii="Calibri" w:eastAsia="CIDFont+F3" w:hAnsi="Calibri" w:cs="Calibri"/>
                <w:bCs/>
                <w:sz w:val="18"/>
                <w:szCs w:val="18"/>
              </w:rPr>
              <w:t xml:space="preserve"> potpore inovativnim poduzećima/inovatorima u promociji i komercijalizaciji inovacija na međunarodnom tržištu</w:t>
            </w:r>
          </w:p>
          <w:p w14:paraId="57F797F2" w14:textId="5014B97C"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IDFont+F3" w:hAnsi="Calibri" w:cs="Calibri"/>
                <w:sz w:val="18"/>
                <w:szCs w:val="18"/>
              </w:rPr>
              <w:t>potica</w:t>
            </w:r>
            <w:r w:rsidR="00C84107">
              <w:rPr>
                <w:rFonts w:ascii="Calibri" w:eastAsia="CIDFont+F3" w:hAnsi="Calibri" w:cs="Calibri"/>
                <w:sz w:val="18"/>
                <w:szCs w:val="18"/>
              </w:rPr>
              <w:t>ti</w:t>
            </w:r>
            <w:r w:rsidRPr="001D4EF3">
              <w:rPr>
                <w:rFonts w:ascii="Calibri" w:eastAsia="CIDFont+F3" w:hAnsi="Calibri" w:cs="Calibri"/>
                <w:sz w:val="18"/>
                <w:szCs w:val="18"/>
              </w:rPr>
              <w:t xml:space="preserve"> suradnj</w:t>
            </w:r>
            <w:r w:rsidR="00C84107">
              <w:rPr>
                <w:rFonts w:ascii="Calibri" w:eastAsia="CIDFont+F3" w:hAnsi="Calibri" w:cs="Calibri"/>
                <w:sz w:val="18"/>
                <w:szCs w:val="18"/>
              </w:rPr>
              <w:t>u</w:t>
            </w:r>
            <w:r w:rsidRPr="001D4EF3">
              <w:rPr>
                <w:rFonts w:ascii="Calibri" w:eastAsia="CIDFont+F3" w:hAnsi="Calibri" w:cs="Calibri"/>
                <w:sz w:val="18"/>
                <w:szCs w:val="18"/>
              </w:rPr>
              <w:t xml:space="preserve"> obrazovnih institucija i poslovnih subjekata radi prilagođavanja potrebama tržišta rada i promocija deficitarnih zanimanja</w:t>
            </w:r>
          </w:p>
          <w:p w14:paraId="1CC9E68C" w14:textId="610BC59A" w:rsidR="003F42F3" w:rsidRPr="001D4EF3" w:rsidRDefault="00E87AC6" w:rsidP="003F42F3">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color w:val="000000"/>
                <w:sz w:val="18"/>
                <w:szCs w:val="18"/>
              </w:rPr>
              <w:t>potica</w:t>
            </w:r>
            <w:r w:rsidR="00C84107">
              <w:rPr>
                <w:rFonts w:ascii="Calibri" w:eastAsia="Calibri" w:hAnsi="Calibri" w:cs="Calibri"/>
                <w:bCs/>
                <w:color w:val="000000"/>
                <w:sz w:val="18"/>
                <w:szCs w:val="18"/>
              </w:rPr>
              <w:t>ti</w:t>
            </w:r>
            <w:r w:rsidRPr="001D4EF3">
              <w:rPr>
                <w:rFonts w:ascii="Calibri" w:eastAsia="Calibri" w:hAnsi="Calibri" w:cs="Calibri"/>
                <w:bCs/>
                <w:color w:val="000000"/>
                <w:sz w:val="18"/>
                <w:szCs w:val="18"/>
              </w:rPr>
              <w:t xml:space="preserve"> mjer</w:t>
            </w:r>
            <w:r w:rsidR="00C84107">
              <w:rPr>
                <w:rFonts w:ascii="Calibri" w:eastAsia="Calibri" w:hAnsi="Calibri" w:cs="Calibri"/>
                <w:bCs/>
                <w:color w:val="000000"/>
                <w:sz w:val="18"/>
                <w:szCs w:val="18"/>
              </w:rPr>
              <w:t>e</w:t>
            </w:r>
            <w:r w:rsidRPr="001D4EF3">
              <w:rPr>
                <w:rFonts w:ascii="Calibri" w:eastAsia="Calibri" w:hAnsi="Calibri" w:cs="Calibri"/>
                <w:bCs/>
                <w:color w:val="000000"/>
                <w:sz w:val="18"/>
                <w:szCs w:val="18"/>
              </w:rPr>
              <w:t xml:space="preserve"> prekvalifikacije i usavršavanja sukladno potrebama tržišta rada i kao priprema za poslove u budućnosti</w:t>
            </w:r>
          </w:p>
          <w:p w14:paraId="4A5B1F5B" w14:textId="3BF45878"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alibri" w:hAnsi="Calibri" w:cs="Calibri"/>
                <w:bCs/>
                <w:sz w:val="18"/>
                <w:szCs w:val="18"/>
              </w:rPr>
              <w:t>potica</w:t>
            </w:r>
            <w:r w:rsidR="00C84107">
              <w:rPr>
                <w:rFonts w:ascii="Calibri" w:eastAsia="Calibri" w:hAnsi="Calibri" w:cs="Calibri"/>
                <w:bCs/>
                <w:sz w:val="18"/>
                <w:szCs w:val="18"/>
              </w:rPr>
              <w:t>ti</w:t>
            </w:r>
            <w:r w:rsidRPr="001D4EF3">
              <w:rPr>
                <w:rFonts w:ascii="Calibri" w:eastAsia="Calibri" w:hAnsi="Calibri" w:cs="Calibri"/>
                <w:bCs/>
                <w:sz w:val="18"/>
                <w:szCs w:val="18"/>
              </w:rPr>
              <w:t xml:space="preserve"> gospodarsk</w:t>
            </w:r>
            <w:r w:rsidR="00C84107">
              <w:rPr>
                <w:rFonts w:ascii="Calibri" w:eastAsia="Calibri" w:hAnsi="Calibri" w:cs="Calibri"/>
                <w:bCs/>
                <w:sz w:val="18"/>
                <w:szCs w:val="18"/>
              </w:rPr>
              <w:t>e</w:t>
            </w:r>
            <w:r w:rsidRPr="001D4EF3">
              <w:rPr>
                <w:rFonts w:ascii="Calibri" w:eastAsia="Calibri" w:hAnsi="Calibri" w:cs="Calibri"/>
                <w:bCs/>
                <w:sz w:val="18"/>
                <w:szCs w:val="18"/>
              </w:rPr>
              <w:t xml:space="preserve"> aktivnosti koje učinkovito iskorištavaju resurse i koriste zelene tehnologije te osiguravaju „zeleno zapošljavanje“ </w:t>
            </w:r>
          </w:p>
          <w:p w14:paraId="24CEBD80" w14:textId="31AF4FB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color w:val="000000"/>
                <w:sz w:val="18"/>
                <w:szCs w:val="18"/>
              </w:rPr>
            </w:pPr>
            <w:r w:rsidRPr="001D4EF3">
              <w:rPr>
                <w:rFonts w:ascii="Calibri" w:eastAsia="CIDFont+F3" w:hAnsi="Calibri" w:cs="Calibri"/>
                <w:sz w:val="18"/>
                <w:szCs w:val="18"/>
              </w:rPr>
              <w:t>promovi</w:t>
            </w:r>
            <w:r w:rsidR="00C84107">
              <w:rPr>
                <w:rFonts w:ascii="Calibri" w:eastAsia="CIDFont+F3" w:hAnsi="Calibri" w:cs="Calibri"/>
                <w:sz w:val="18"/>
                <w:szCs w:val="18"/>
              </w:rPr>
              <w:t>rati</w:t>
            </w:r>
            <w:r w:rsidRPr="001D4EF3">
              <w:rPr>
                <w:rFonts w:ascii="Calibri" w:eastAsia="CIDFont+F3" w:hAnsi="Calibri" w:cs="Calibri"/>
                <w:sz w:val="18"/>
                <w:szCs w:val="18"/>
              </w:rPr>
              <w:t xml:space="preserve"> i provo</w:t>
            </w:r>
            <w:r w:rsidR="00C84107">
              <w:rPr>
                <w:rFonts w:ascii="Calibri" w:eastAsia="CIDFont+F3" w:hAnsi="Calibri" w:cs="Calibri"/>
                <w:sz w:val="18"/>
                <w:szCs w:val="18"/>
              </w:rPr>
              <w:t xml:space="preserve">diti </w:t>
            </w:r>
            <w:r w:rsidRPr="001D4EF3">
              <w:rPr>
                <w:rFonts w:ascii="Calibri" w:eastAsia="CIDFont+F3" w:hAnsi="Calibri" w:cs="Calibri"/>
                <w:sz w:val="18"/>
                <w:szCs w:val="18"/>
              </w:rPr>
              <w:t>postojeć</w:t>
            </w:r>
            <w:r w:rsidR="00C84107">
              <w:rPr>
                <w:rFonts w:ascii="Calibri" w:eastAsia="CIDFont+F3" w:hAnsi="Calibri" w:cs="Calibri"/>
                <w:sz w:val="18"/>
                <w:szCs w:val="18"/>
              </w:rPr>
              <w:t>e</w:t>
            </w:r>
            <w:r w:rsidRPr="001D4EF3">
              <w:rPr>
                <w:rFonts w:ascii="Calibri" w:eastAsia="CIDFont+F3" w:hAnsi="Calibri" w:cs="Calibri"/>
                <w:sz w:val="18"/>
                <w:szCs w:val="18"/>
              </w:rPr>
              <w:t xml:space="preserve"> nacionaln</w:t>
            </w:r>
            <w:r w:rsidR="00C84107">
              <w:rPr>
                <w:rFonts w:ascii="Calibri" w:eastAsia="CIDFont+F3" w:hAnsi="Calibri" w:cs="Calibri"/>
                <w:sz w:val="18"/>
                <w:szCs w:val="18"/>
              </w:rPr>
              <w:t>e</w:t>
            </w:r>
            <w:r w:rsidRPr="001D4EF3">
              <w:rPr>
                <w:rFonts w:ascii="Calibri" w:eastAsia="CIDFont+F3" w:hAnsi="Calibri" w:cs="Calibri"/>
                <w:sz w:val="18"/>
                <w:szCs w:val="18"/>
              </w:rPr>
              <w:t xml:space="preserve"> mjer</w:t>
            </w:r>
            <w:r w:rsidR="00C84107">
              <w:rPr>
                <w:rFonts w:ascii="Calibri" w:eastAsia="CIDFont+F3" w:hAnsi="Calibri" w:cs="Calibri"/>
                <w:sz w:val="18"/>
                <w:szCs w:val="18"/>
              </w:rPr>
              <w:t>e</w:t>
            </w:r>
            <w:r w:rsidRPr="001D4EF3">
              <w:rPr>
                <w:rFonts w:ascii="Calibri" w:eastAsia="CIDFont+F3" w:hAnsi="Calibri" w:cs="Calibri"/>
                <w:sz w:val="18"/>
                <w:szCs w:val="18"/>
              </w:rPr>
              <w:t xml:space="preserve"> aktivne politike zapošljavanja</w:t>
            </w:r>
          </w:p>
          <w:p w14:paraId="2A48B05E" w14:textId="5D599747"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sz w:val="18"/>
                <w:szCs w:val="18"/>
              </w:rPr>
            </w:pPr>
            <w:r w:rsidRPr="001D4EF3">
              <w:rPr>
                <w:rFonts w:ascii="Calibri" w:eastAsia="Calibri" w:hAnsi="Calibri" w:cs="Calibri"/>
                <w:bCs/>
                <w:color w:val="000000"/>
                <w:sz w:val="18"/>
                <w:szCs w:val="18"/>
              </w:rPr>
              <w:t>izrad</w:t>
            </w:r>
            <w:r w:rsidR="00C84107">
              <w:rPr>
                <w:rFonts w:ascii="Calibri" w:eastAsia="Calibri" w:hAnsi="Calibri" w:cs="Calibri"/>
                <w:bCs/>
                <w:color w:val="000000"/>
                <w:sz w:val="18"/>
                <w:szCs w:val="18"/>
              </w:rPr>
              <w:t>iti</w:t>
            </w:r>
            <w:r w:rsidRPr="001D4EF3">
              <w:rPr>
                <w:rFonts w:ascii="Calibri" w:eastAsia="Calibri" w:hAnsi="Calibri" w:cs="Calibri"/>
                <w:bCs/>
                <w:color w:val="000000"/>
                <w:sz w:val="18"/>
                <w:szCs w:val="18"/>
              </w:rPr>
              <w:t xml:space="preserve"> i prov</w:t>
            </w:r>
            <w:r w:rsidR="00C84107">
              <w:rPr>
                <w:rFonts w:ascii="Calibri" w:eastAsia="Calibri" w:hAnsi="Calibri" w:cs="Calibri"/>
                <w:bCs/>
                <w:color w:val="000000"/>
                <w:sz w:val="18"/>
                <w:szCs w:val="18"/>
              </w:rPr>
              <w:t>oditi</w:t>
            </w:r>
            <w:r w:rsidRPr="001D4EF3">
              <w:rPr>
                <w:rFonts w:ascii="Calibri" w:eastAsia="Calibri" w:hAnsi="Calibri" w:cs="Calibri"/>
                <w:bCs/>
                <w:color w:val="000000"/>
                <w:sz w:val="18"/>
                <w:szCs w:val="18"/>
              </w:rPr>
              <w:t xml:space="preserve"> cjelovite politike za poticanje zapošljavanja i samozapošljavanja mladih</w:t>
            </w:r>
          </w:p>
          <w:p w14:paraId="41A2C9F5" w14:textId="5E7DFCB9" w:rsidR="00E87AC6" w:rsidRPr="001D4EF3" w:rsidRDefault="00E87AC6" w:rsidP="00E87AC6">
            <w:pPr>
              <w:numPr>
                <w:ilvl w:val="0"/>
                <w:numId w:val="2"/>
              </w:numPr>
              <w:tabs>
                <w:tab w:val="num" w:pos="284"/>
                <w:tab w:val="num" w:pos="540"/>
              </w:tabs>
              <w:spacing w:before="60" w:after="60" w:line="240" w:lineRule="auto"/>
              <w:ind w:left="284" w:right="-2" w:hanging="284"/>
              <w:rPr>
                <w:rFonts w:ascii="Calibri" w:eastAsia="Calibri" w:hAnsi="Calibri" w:cs="Calibri"/>
                <w:bCs/>
                <w:sz w:val="18"/>
                <w:szCs w:val="18"/>
              </w:rPr>
            </w:pPr>
            <w:r w:rsidRPr="001D4EF3">
              <w:rPr>
                <w:rFonts w:ascii="Calibri" w:eastAsia="Calibri" w:hAnsi="Calibri" w:cs="Calibri"/>
                <w:bCs/>
                <w:sz w:val="18"/>
                <w:szCs w:val="18"/>
              </w:rPr>
              <w:t>promovi</w:t>
            </w:r>
            <w:r w:rsidR="00C84107">
              <w:rPr>
                <w:rFonts w:ascii="Calibri" w:eastAsia="Calibri" w:hAnsi="Calibri" w:cs="Calibri"/>
                <w:bCs/>
                <w:sz w:val="18"/>
                <w:szCs w:val="18"/>
              </w:rPr>
              <w:t>rati</w:t>
            </w:r>
            <w:r w:rsidRPr="001D4EF3">
              <w:rPr>
                <w:rFonts w:ascii="Calibri" w:eastAsia="Calibri" w:hAnsi="Calibri" w:cs="Calibri"/>
                <w:bCs/>
                <w:sz w:val="18"/>
                <w:szCs w:val="18"/>
              </w:rPr>
              <w:t xml:space="preserve"> i pot</w:t>
            </w:r>
            <w:r w:rsidR="00C84107">
              <w:rPr>
                <w:rFonts w:ascii="Calibri" w:eastAsia="Calibri" w:hAnsi="Calibri" w:cs="Calibri"/>
                <w:bCs/>
                <w:sz w:val="18"/>
                <w:szCs w:val="18"/>
              </w:rPr>
              <w:t>icati</w:t>
            </w:r>
            <w:r w:rsidRPr="001D4EF3">
              <w:rPr>
                <w:rFonts w:ascii="Calibri" w:eastAsia="Calibri" w:hAnsi="Calibri" w:cs="Calibri"/>
                <w:bCs/>
                <w:sz w:val="18"/>
                <w:szCs w:val="18"/>
              </w:rPr>
              <w:t xml:space="preserve"> razvo</w:t>
            </w:r>
            <w:r w:rsidR="00C84107">
              <w:rPr>
                <w:rFonts w:ascii="Calibri" w:eastAsia="Calibri" w:hAnsi="Calibri" w:cs="Calibri"/>
                <w:bCs/>
                <w:sz w:val="18"/>
                <w:szCs w:val="18"/>
              </w:rPr>
              <w:t>j</w:t>
            </w:r>
            <w:r w:rsidRPr="001D4EF3">
              <w:rPr>
                <w:rFonts w:ascii="Calibri" w:eastAsia="Calibri" w:hAnsi="Calibri" w:cs="Calibri"/>
                <w:bCs/>
                <w:sz w:val="18"/>
                <w:szCs w:val="18"/>
              </w:rPr>
              <w:t xml:space="preserve"> društvenog poduzetništva u cilju uključivanja na tržište rada socijalno osjetljivih i marginaliziranih skupina</w:t>
            </w:r>
          </w:p>
          <w:p w14:paraId="1D2AA49B" w14:textId="77777777" w:rsidR="00E87AC6" w:rsidRPr="001D4EF3" w:rsidRDefault="00E87AC6" w:rsidP="004838D7">
            <w:pPr>
              <w:tabs>
                <w:tab w:val="num" w:pos="720"/>
              </w:tabs>
              <w:spacing w:before="60" w:after="60" w:line="240" w:lineRule="auto"/>
              <w:ind w:left="284" w:right="-2"/>
              <w:rPr>
                <w:rFonts w:ascii="Calibri" w:eastAsia="Calibri" w:hAnsi="Calibri" w:cs="Calibri"/>
                <w:bCs/>
                <w:sz w:val="18"/>
                <w:szCs w:val="18"/>
              </w:rPr>
            </w:pPr>
          </w:p>
        </w:tc>
      </w:tr>
    </w:tbl>
    <w:p w14:paraId="0D3C27EF" w14:textId="77777777" w:rsidR="00E87AC6" w:rsidRPr="002F347A" w:rsidRDefault="00E87AC6" w:rsidP="00E87AC6">
      <w:pPr>
        <w:widowControl w:val="0"/>
        <w:autoSpaceDE w:val="0"/>
        <w:autoSpaceDN w:val="0"/>
        <w:adjustRightInd w:val="0"/>
        <w:spacing w:after="200" w:line="240" w:lineRule="auto"/>
        <w:jc w:val="both"/>
        <w:rPr>
          <w:rFonts w:ascii="Calibri" w:eastAsia="Calibri" w:hAnsi="Calibri" w:cs="Calibri"/>
        </w:rPr>
      </w:pPr>
    </w:p>
    <w:p w14:paraId="5975AE12" w14:textId="77777777" w:rsidR="00710303" w:rsidRDefault="00710303" w:rsidP="005A25A2">
      <w:pPr>
        <w:pStyle w:val="Stil2"/>
      </w:pPr>
      <w:bookmarkStart w:id="88" w:name="_Toc97123814"/>
    </w:p>
    <w:p w14:paraId="132847BD" w14:textId="0292EC08" w:rsidR="00E87AC6" w:rsidRDefault="00E87AC6" w:rsidP="005A25A2">
      <w:pPr>
        <w:pStyle w:val="Stil2"/>
      </w:pPr>
      <w:r>
        <w:t xml:space="preserve">3.1.11. </w:t>
      </w:r>
      <w:r w:rsidRPr="00C91B1B">
        <w:t>Indeks razvijenosti</w:t>
      </w:r>
      <w:bookmarkEnd w:id="88"/>
      <w:r w:rsidRPr="00C91B1B">
        <w:t xml:space="preserve"> </w:t>
      </w:r>
    </w:p>
    <w:p w14:paraId="4EEB08C4" w14:textId="77777777" w:rsidR="00E87AC6" w:rsidRPr="000C6246" w:rsidRDefault="00E87AC6" w:rsidP="00E87AC6">
      <w:pPr>
        <w:tabs>
          <w:tab w:val="left" w:pos="-720"/>
        </w:tabs>
        <w:suppressAutoHyphens/>
        <w:spacing w:after="0" w:line="240" w:lineRule="auto"/>
        <w:jc w:val="both"/>
        <w:rPr>
          <w:rFonts w:ascii="Calibri" w:eastAsia="Times New Roman" w:hAnsi="Calibri" w:cs="Calibri"/>
          <w:b/>
          <w:bCs/>
          <w:lang w:eastAsia="hr-HR"/>
        </w:rPr>
      </w:pPr>
      <w:r>
        <w:rPr>
          <w:rFonts w:ascii="Calibri" w:eastAsia="Times New Roman" w:hAnsi="Calibri" w:cs="Calibri"/>
          <w:lang w:eastAsia="hr-HR"/>
        </w:rPr>
        <w:t xml:space="preserve">Indeks razvijenosti </w:t>
      </w:r>
      <w:r w:rsidRPr="00C91B1B">
        <w:rPr>
          <w:rFonts w:ascii="Calibri" w:eastAsia="Times New Roman" w:hAnsi="Calibri" w:cs="Calibri"/>
          <w:lang w:eastAsia="hr-HR"/>
        </w:rPr>
        <w:t>je pokazatelj koji se računa radi mjerenja stupnja razvijenosti jedinica lokalne i područne (regionalne) samouprave te služi kako bi se odredio intenzitet poticanja razvoja putem državnih mjera i programa pomoći.  U skladu s ciljevima regionalne politike, razvrstavanje odnosno kategoriziranje teritorijalnih jedinica,</w:t>
      </w:r>
      <w:r w:rsidRPr="00C91B1B">
        <w:rPr>
          <w:rFonts w:ascii="Futura Hv AT" w:eastAsia="Times New Roman" w:hAnsi="Futura Hv AT" w:cs="Times New Roman"/>
          <w:b/>
          <w:bCs/>
          <w:sz w:val="28"/>
          <w:szCs w:val="28"/>
          <w:lang w:eastAsia="hr-HR"/>
        </w:rPr>
        <w:t xml:space="preserve"> </w:t>
      </w:r>
      <w:r w:rsidRPr="00C91B1B">
        <w:rPr>
          <w:rFonts w:ascii="Calibri" w:eastAsia="Times New Roman" w:hAnsi="Calibri" w:cs="Calibri"/>
          <w:lang w:eastAsia="hr-HR"/>
        </w:rPr>
        <w:t>premda koncentrirano na najmanje razvijena područja, potiče razvoj cjelokupnog državnog teritorija i, također, omogućuje kvalitetnije uređenje ključnog pitanja razine regionalnih razvojnih poticaja odnosno  izravno vezivanje intenziteta državnih i EU poticaja sa stupnjem razvijenosti.</w:t>
      </w:r>
    </w:p>
    <w:p w14:paraId="29BC31FA" w14:textId="77777777" w:rsidR="00E87AC6" w:rsidRPr="00C91B1B" w:rsidRDefault="00E87AC6" w:rsidP="00E87AC6">
      <w:pPr>
        <w:tabs>
          <w:tab w:val="left" w:pos="-720"/>
        </w:tabs>
        <w:suppressAutoHyphens/>
        <w:spacing w:after="0" w:line="240" w:lineRule="auto"/>
        <w:jc w:val="both"/>
        <w:rPr>
          <w:rFonts w:ascii="Calibri" w:eastAsia="Times New Roman" w:hAnsi="Calibri" w:cs="Calibri"/>
          <w:lang w:eastAsia="hr-HR"/>
        </w:rPr>
      </w:pPr>
    </w:p>
    <w:p w14:paraId="33D61771" w14:textId="77777777" w:rsidR="00E87AC6" w:rsidRDefault="00E87AC6" w:rsidP="00E87AC6">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 xml:space="preserve">Odlukom Vlade Republike Hrvatske o razvrstavanju jedinica lokalne i područne (regionalne) samouprave prema stupnju razvijenosti (Narodne novine 132/2017) utvrđeno je novo razvrstavanje županija u 4 skupine – 2 ispodprosječne i 2 iznadprosječne skupine, </w:t>
      </w:r>
      <w:r>
        <w:rPr>
          <w:rFonts w:ascii="Calibri" w:eastAsia="Times New Roman" w:hAnsi="Calibri" w:cs="Calibri"/>
          <w:lang w:eastAsia="hr-HR"/>
        </w:rPr>
        <w:t>a</w:t>
      </w:r>
      <w:r w:rsidRPr="00C91B1B">
        <w:rPr>
          <w:rFonts w:ascii="Calibri" w:eastAsia="Times New Roman" w:hAnsi="Calibri" w:cs="Calibri"/>
          <w:lang w:eastAsia="hr-HR"/>
        </w:rPr>
        <w:t xml:space="preserve"> koji se primjenjuje od 1.1.2018. </w:t>
      </w:r>
    </w:p>
    <w:p w14:paraId="68F0E22D" w14:textId="77777777" w:rsidR="004C1C6E" w:rsidRPr="00C91B1B" w:rsidRDefault="004C1C6E" w:rsidP="00E87AC6">
      <w:pPr>
        <w:tabs>
          <w:tab w:val="left" w:pos="-720"/>
        </w:tabs>
        <w:suppressAutoHyphens/>
        <w:spacing w:after="0" w:line="240" w:lineRule="auto"/>
        <w:jc w:val="both"/>
        <w:rPr>
          <w:rFonts w:ascii="Calibri" w:eastAsia="Times New Roman" w:hAnsi="Calibri" w:cs="Calibri"/>
          <w:lang w:eastAsia="hr-HR"/>
        </w:rPr>
      </w:pPr>
    </w:p>
    <w:p w14:paraId="6D14D712" w14:textId="3ECB5F53" w:rsidR="00E87AC6" w:rsidRDefault="004C1C6E"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18</w:t>
      </w:r>
      <w:r w:rsidR="00751C19">
        <w:rPr>
          <w:noProof/>
        </w:rPr>
        <w:fldChar w:fldCharType="end"/>
      </w:r>
      <w:r>
        <w:t xml:space="preserve">. </w:t>
      </w:r>
      <w:r w:rsidRPr="003A06C3">
        <w:t>Vrijednosti indeksa razvijenosti i pokazatelja za izračun indeksa razvijenosti prema modelu izračuna na županijskoj razini (razdoblje 2014.-2016.) za Grad Zagreb</w:t>
      </w:r>
    </w:p>
    <w:p w14:paraId="1B14CE91" w14:textId="77777777" w:rsidR="00CA0FDA" w:rsidRPr="00CA0FDA" w:rsidRDefault="00CA0FDA" w:rsidP="00CA0F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499"/>
        <w:gridCol w:w="1553"/>
        <w:gridCol w:w="1533"/>
        <w:gridCol w:w="1464"/>
        <w:gridCol w:w="1515"/>
      </w:tblGrid>
      <w:tr w:rsidR="00E87AC6" w:rsidRPr="00C91B1B" w14:paraId="3113D53A" w14:textId="77777777" w:rsidTr="004838D7">
        <w:tc>
          <w:tcPr>
            <w:tcW w:w="9288" w:type="dxa"/>
            <w:gridSpan w:val="6"/>
            <w:shd w:val="clear" w:color="auto" w:fill="auto"/>
          </w:tcPr>
          <w:p w14:paraId="538BB10B" w14:textId="77777777" w:rsidR="00E87AC6" w:rsidRPr="00A20A87" w:rsidRDefault="00E87AC6" w:rsidP="004838D7">
            <w:pPr>
              <w:tabs>
                <w:tab w:val="left" w:pos="-720"/>
              </w:tabs>
              <w:suppressAutoHyphens/>
              <w:spacing w:after="0" w:line="240" w:lineRule="auto"/>
              <w:jc w:val="center"/>
              <w:rPr>
                <w:rFonts w:ascii="Calibri" w:eastAsia="Times New Roman" w:hAnsi="Calibri" w:cs="Calibri"/>
                <w:b/>
                <w:bCs/>
                <w:lang w:eastAsia="hr-HR"/>
              </w:rPr>
            </w:pPr>
            <w:r w:rsidRPr="00A20A87">
              <w:rPr>
                <w:rFonts w:ascii="Calibri" w:eastAsia="Times New Roman" w:hAnsi="Calibri" w:cs="Calibri"/>
                <w:b/>
                <w:bCs/>
                <w:lang w:eastAsia="hr-HR"/>
              </w:rPr>
              <w:t>Vrijednosti osnovnih pokazatelja za Grad Zagreb</w:t>
            </w:r>
          </w:p>
        </w:tc>
      </w:tr>
      <w:tr w:rsidR="00E87AC6" w:rsidRPr="00C91B1B" w14:paraId="54A73E41" w14:textId="77777777" w:rsidTr="004838D7">
        <w:tc>
          <w:tcPr>
            <w:tcW w:w="1548" w:type="dxa"/>
            <w:shd w:val="clear" w:color="auto" w:fill="auto"/>
          </w:tcPr>
          <w:p w14:paraId="60E7F0EE"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Prosječni</w:t>
            </w:r>
          </w:p>
          <w:p w14:paraId="3D12B2A7"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dohodak po</w:t>
            </w:r>
          </w:p>
          <w:p w14:paraId="115C827E"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stanovniku</w:t>
            </w:r>
          </w:p>
        </w:tc>
        <w:tc>
          <w:tcPr>
            <w:tcW w:w="1548" w:type="dxa"/>
            <w:shd w:val="clear" w:color="auto" w:fill="auto"/>
          </w:tcPr>
          <w:p w14:paraId="2506DCBD"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Prosječni</w:t>
            </w:r>
          </w:p>
          <w:p w14:paraId="134F04A5"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izvorni prihodi</w:t>
            </w:r>
          </w:p>
          <w:p w14:paraId="5971FA71"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po stanovniku</w:t>
            </w:r>
          </w:p>
        </w:tc>
        <w:tc>
          <w:tcPr>
            <w:tcW w:w="1548" w:type="dxa"/>
            <w:shd w:val="clear" w:color="auto" w:fill="auto"/>
          </w:tcPr>
          <w:p w14:paraId="04A1AC5A"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Prosječna stopa</w:t>
            </w:r>
          </w:p>
          <w:p w14:paraId="495DB05E"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nezaposlenosti</w:t>
            </w:r>
          </w:p>
        </w:tc>
        <w:tc>
          <w:tcPr>
            <w:tcW w:w="1548" w:type="dxa"/>
            <w:shd w:val="clear" w:color="auto" w:fill="auto"/>
          </w:tcPr>
          <w:p w14:paraId="2A43DE6A"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Opće kretanje</w:t>
            </w:r>
          </w:p>
          <w:p w14:paraId="08B8614D"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stanovništva</w:t>
            </w:r>
          </w:p>
          <w:p w14:paraId="247983D1"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(2016./2006.)</w:t>
            </w:r>
          </w:p>
          <w:p w14:paraId="64C2AF48"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p>
        </w:tc>
        <w:tc>
          <w:tcPr>
            <w:tcW w:w="1548" w:type="dxa"/>
            <w:shd w:val="clear" w:color="auto" w:fill="auto"/>
          </w:tcPr>
          <w:p w14:paraId="1BCB4C81"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Indeks</w:t>
            </w:r>
          </w:p>
          <w:p w14:paraId="6142A131"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starenja</w:t>
            </w:r>
          </w:p>
          <w:p w14:paraId="542EB4B5"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(2011.)</w:t>
            </w:r>
          </w:p>
        </w:tc>
        <w:tc>
          <w:tcPr>
            <w:tcW w:w="1548" w:type="dxa"/>
            <w:shd w:val="clear" w:color="auto" w:fill="auto"/>
          </w:tcPr>
          <w:p w14:paraId="1ED770C7"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Stupanj</w:t>
            </w:r>
          </w:p>
          <w:p w14:paraId="4A0E40C8"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obrazovanja</w:t>
            </w:r>
          </w:p>
          <w:p w14:paraId="1FD8253B"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(VSS, 20-65)</w:t>
            </w:r>
          </w:p>
          <w:p w14:paraId="4219037A"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(2011.)</w:t>
            </w:r>
          </w:p>
        </w:tc>
      </w:tr>
      <w:tr w:rsidR="00E87AC6" w:rsidRPr="00C91B1B" w14:paraId="7BF57389" w14:textId="77777777" w:rsidTr="004838D7">
        <w:tc>
          <w:tcPr>
            <w:tcW w:w="1548" w:type="dxa"/>
            <w:shd w:val="clear" w:color="auto" w:fill="auto"/>
          </w:tcPr>
          <w:p w14:paraId="2F0C22C6"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44.733</w:t>
            </w:r>
          </w:p>
        </w:tc>
        <w:tc>
          <w:tcPr>
            <w:tcW w:w="1548" w:type="dxa"/>
            <w:shd w:val="clear" w:color="auto" w:fill="auto"/>
          </w:tcPr>
          <w:p w14:paraId="7F9ED3A0"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6.232,49</w:t>
            </w:r>
          </w:p>
        </w:tc>
        <w:tc>
          <w:tcPr>
            <w:tcW w:w="1548" w:type="dxa"/>
            <w:shd w:val="clear" w:color="auto" w:fill="auto"/>
          </w:tcPr>
          <w:p w14:paraId="0B29AF31"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0,1007</w:t>
            </w:r>
          </w:p>
        </w:tc>
        <w:tc>
          <w:tcPr>
            <w:tcW w:w="1548" w:type="dxa"/>
            <w:shd w:val="clear" w:color="auto" w:fill="auto"/>
          </w:tcPr>
          <w:p w14:paraId="5932AD43"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103,10</w:t>
            </w:r>
          </w:p>
        </w:tc>
        <w:tc>
          <w:tcPr>
            <w:tcW w:w="1548" w:type="dxa"/>
            <w:shd w:val="clear" w:color="auto" w:fill="auto"/>
          </w:tcPr>
          <w:p w14:paraId="082DC19A"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118,9</w:t>
            </w:r>
          </w:p>
        </w:tc>
        <w:tc>
          <w:tcPr>
            <w:tcW w:w="1548" w:type="dxa"/>
            <w:shd w:val="clear" w:color="auto" w:fill="auto"/>
          </w:tcPr>
          <w:p w14:paraId="5E68F7C0"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0,3935</w:t>
            </w:r>
          </w:p>
        </w:tc>
      </w:tr>
    </w:tbl>
    <w:p w14:paraId="125E5977" w14:textId="77777777" w:rsidR="00E87AC6" w:rsidRPr="00C91B1B" w:rsidRDefault="00E87AC6" w:rsidP="00E87AC6">
      <w:pPr>
        <w:tabs>
          <w:tab w:val="left" w:pos="-720"/>
        </w:tabs>
        <w:suppressAutoHyphens/>
        <w:spacing w:after="0" w:line="240" w:lineRule="auto"/>
        <w:jc w:val="both"/>
        <w:rPr>
          <w:rFonts w:ascii="Calibri" w:eastAsia="Times New Roman" w:hAnsi="Calibri" w:cs="Calibri"/>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499"/>
        <w:gridCol w:w="1553"/>
        <w:gridCol w:w="1533"/>
        <w:gridCol w:w="1464"/>
        <w:gridCol w:w="1515"/>
      </w:tblGrid>
      <w:tr w:rsidR="00E87AC6" w:rsidRPr="00C91B1B" w14:paraId="797A2BF0" w14:textId="77777777" w:rsidTr="004838D7">
        <w:tc>
          <w:tcPr>
            <w:tcW w:w="9288" w:type="dxa"/>
            <w:gridSpan w:val="6"/>
            <w:shd w:val="clear" w:color="auto" w:fill="auto"/>
          </w:tcPr>
          <w:p w14:paraId="489AE619" w14:textId="77777777" w:rsidR="00E87AC6" w:rsidRPr="00A20A87" w:rsidRDefault="00E87AC6" w:rsidP="004838D7">
            <w:pPr>
              <w:tabs>
                <w:tab w:val="left" w:pos="-720"/>
              </w:tabs>
              <w:suppressAutoHyphens/>
              <w:spacing w:after="0" w:line="240" w:lineRule="auto"/>
              <w:jc w:val="center"/>
              <w:rPr>
                <w:rFonts w:ascii="Calibri" w:eastAsia="Times New Roman" w:hAnsi="Calibri" w:cs="Calibri"/>
                <w:b/>
                <w:bCs/>
                <w:lang w:eastAsia="hr-HR"/>
              </w:rPr>
            </w:pPr>
            <w:r w:rsidRPr="00A20A87">
              <w:rPr>
                <w:rFonts w:ascii="Calibri" w:eastAsia="Times New Roman" w:hAnsi="Calibri" w:cs="Calibri"/>
                <w:b/>
                <w:bCs/>
                <w:lang w:eastAsia="hr-HR"/>
              </w:rPr>
              <w:t>Vrijednosti standardiziranih pokazatelja za Grad Zagreb</w:t>
            </w:r>
          </w:p>
        </w:tc>
      </w:tr>
      <w:tr w:rsidR="00E87AC6" w:rsidRPr="00C91B1B" w14:paraId="52F84FB7" w14:textId="77777777" w:rsidTr="004838D7">
        <w:tc>
          <w:tcPr>
            <w:tcW w:w="1548" w:type="dxa"/>
            <w:shd w:val="clear" w:color="auto" w:fill="auto"/>
          </w:tcPr>
          <w:p w14:paraId="5EF494BD"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Prosječni</w:t>
            </w:r>
          </w:p>
          <w:p w14:paraId="67FB0EEB"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dohodak po</w:t>
            </w:r>
          </w:p>
          <w:p w14:paraId="25783BAB"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stanovniku</w:t>
            </w:r>
          </w:p>
        </w:tc>
        <w:tc>
          <w:tcPr>
            <w:tcW w:w="1548" w:type="dxa"/>
            <w:shd w:val="clear" w:color="auto" w:fill="auto"/>
          </w:tcPr>
          <w:p w14:paraId="1095D0FC"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Prosječni</w:t>
            </w:r>
          </w:p>
          <w:p w14:paraId="5E7F206C"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izvorni prihodi</w:t>
            </w:r>
          </w:p>
          <w:p w14:paraId="4E0BB702"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po stanovniku</w:t>
            </w:r>
          </w:p>
        </w:tc>
        <w:tc>
          <w:tcPr>
            <w:tcW w:w="1548" w:type="dxa"/>
            <w:shd w:val="clear" w:color="auto" w:fill="auto"/>
          </w:tcPr>
          <w:p w14:paraId="3278B785"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Prosječna stopa</w:t>
            </w:r>
          </w:p>
          <w:p w14:paraId="5C254374"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nezaposlenosti</w:t>
            </w:r>
          </w:p>
        </w:tc>
        <w:tc>
          <w:tcPr>
            <w:tcW w:w="1548" w:type="dxa"/>
            <w:shd w:val="clear" w:color="auto" w:fill="auto"/>
          </w:tcPr>
          <w:p w14:paraId="1C99A6B0"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Opće kretanje</w:t>
            </w:r>
          </w:p>
          <w:p w14:paraId="4D9C76D8"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stanovništva</w:t>
            </w:r>
          </w:p>
          <w:p w14:paraId="06880C32"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(2016./2006.)</w:t>
            </w:r>
          </w:p>
          <w:p w14:paraId="2C4897D5"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p>
        </w:tc>
        <w:tc>
          <w:tcPr>
            <w:tcW w:w="1548" w:type="dxa"/>
            <w:shd w:val="clear" w:color="auto" w:fill="auto"/>
          </w:tcPr>
          <w:p w14:paraId="77F58CA9"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Indeks</w:t>
            </w:r>
          </w:p>
          <w:p w14:paraId="222217C6"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starenja</w:t>
            </w:r>
          </w:p>
          <w:p w14:paraId="10F6BB75"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(2011.)</w:t>
            </w:r>
          </w:p>
        </w:tc>
        <w:tc>
          <w:tcPr>
            <w:tcW w:w="1548" w:type="dxa"/>
            <w:shd w:val="clear" w:color="auto" w:fill="auto"/>
          </w:tcPr>
          <w:p w14:paraId="648237A4"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Stupanj</w:t>
            </w:r>
          </w:p>
          <w:p w14:paraId="729D7AFF"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obrazovanja</w:t>
            </w:r>
          </w:p>
          <w:p w14:paraId="1E848279"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(VSS, 20-65)</w:t>
            </w:r>
          </w:p>
          <w:p w14:paraId="5C8E1CEB"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(2011.)</w:t>
            </w:r>
          </w:p>
        </w:tc>
      </w:tr>
      <w:tr w:rsidR="00E87AC6" w:rsidRPr="00C91B1B" w14:paraId="705394B6" w14:textId="77777777" w:rsidTr="004838D7">
        <w:tc>
          <w:tcPr>
            <w:tcW w:w="1548" w:type="dxa"/>
            <w:shd w:val="clear" w:color="auto" w:fill="auto"/>
          </w:tcPr>
          <w:p w14:paraId="1B171259"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130,94</w:t>
            </w:r>
          </w:p>
        </w:tc>
        <w:tc>
          <w:tcPr>
            <w:tcW w:w="1548" w:type="dxa"/>
            <w:shd w:val="clear" w:color="auto" w:fill="auto"/>
          </w:tcPr>
          <w:p w14:paraId="5F27A544"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123,54</w:t>
            </w:r>
          </w:p>
        </w:tc>
        <w:tc>
          <w:tcPr>
            <w:tcW w:w="1548" w:type="dxa"/>
            <w:shd w:val="clear" w:color="auto" w:fill="auto"/>
          </w:tcPr>
          <w:p w14:paraId="0EFBFFBE"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110,89</w:t>
            </w:r>
          </w:p>
        </w:tc>
        <w:tc>
          <w:tcPr>
            <w:tcW w:w="1548" w:type="dxa"/>
            <w:shd w:val="clear" w:color="auto" w:fill="auto"/>
          </w:tcPr>
          <w:p w14:paraId="748ECDEC"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116,18</w:t>
            </w:r>
          </w:p>
        </w:tc>
        <w:tc>
          <w:tcPr>
            <w:tcW w:w="1548" w:type="dxa"/>
            <w:shd w:val="clear" w:color="auto" w:fill="auto"/>
          </w:tcPr>
          <w:p w14:paraId="257ED5E4"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99,45</w:t>
            </w:r>
          </w:p>
        </w:tc>
        <w:tc>
          <w:tcPr>
            <w:tcW w:w="1548" w:type="dxa"/>
            <w:shd w:val="clear" w:color="auto" w:fill="auto"/>
          </w:tcPr>
          <w:p w14:paraId="0DE048C0" w14:textId="77777777" w:rsidR="00E87AC6" w:rsidRPr="00C91B1B" w:rsidRDefault="00E87AC6" w:rsidP="004838D7">
            <w:pPr>
              <w:tabs>
                <w:tab w:val="left" w:pos="-720"/>
              </w:tabs>
              <w:suppressAutoHyphens/>
              <w:spacing w:after="0" w:line="240" w:lineRule="auto"/>
              <w:jc w:val="both"/>
              <w:rPr>
                <w:rFonts w:ascii="Calibri" w:eastAsia="Times New Roman" w:hAnsi="Calibri" w:cs="Calibri"/>
                <w:lang w:eastAsia="hr-HR"/>
              </w:rPr>
            </w:pPr>
            <w:r w:rsidRPr="00C91B1B">
              <w:rPr>
                <w:rFonts w:ascii="Calibri" w:eastAsia="Times New Roman" w:hAnsi="Calibri" w:cs="Calibri"/>
                <w:lang w:eastAsia="hr-HR"/>
              </w:rPr>
              <w:t>132,24</w:t>
            </w:r>
          </w:p>
        </w:tc>
      </w:tr>
    </w:tbl>
    <w:p w14:paraId="517CF557" w14:textId="77777777" w:rsidR="00E87AC6" w:rsidRPr="00C91B1B" w:rsidRDefault="00E87AC6" w:rsidP="00E87AC6">
      <w:pPr>
        <w:tabs>
          <w:tab w:val="left" w:pos="-720"/>
        </w:tabs>
        <w:suppressAutoHyphens/>
        <w:spacing w:after="0" w:line="240" w:lineRule="auto"/>
        <w:jc w:val="both"/>
        <w:rPr>
          <w:rFonts w:ascii="Calibri" w:eastAsia="Times New Roman" w:hAnsi="Calibri" w:cs="Calibri"/>
          <w:sz w:val="18"/>
          <w:szCs w:val="18"/>
          <w:lang w:eastAsia="hr-HR"/>
        </w:rPr>
      </w:pPr>
    </w:p>
    <w:p w14:paraId="41DCE1BF" w14:textId="77777777" w:rsidR="00E87AC6" w:rsidRPr="00C91B1B" w:rsidRDefault="00E87AC6" w:rsidP="00E87AC6">
      <w:pPr>
        <w:tabs>
          <w:tab w:val="left" w:pos="-720"/>
        </w:tabs>
        <w:suppressAutoHyphens/>
        <w:spacing w:after="0" w:line="240" w:lineRule="auto"/>
        <w:jc w:val="both"/>
        <w:rPr>
          <w:rFonts w:ascii="Calibri" w:eastAsia="Times New Roman" w:hAnsi="Calibri" w:cs="Calibri"/>
          <w:sz w:val="18"/>
          <w:szCs w:val="18"/>
          <w:lang w:eastAsia="hr-HR"/>
        </w:rPr>
      </w:pPr>
      <w:r w:rsidRPr="00C91B1B">
        <w:rPr>
          <w:rFonts w:ascii="Calibri" w:eastAsia="Times New Roman" w:hAnsi="Calibri" w:cs="Calibri"/>
          <w:sz w:val="18"/>
          <w:szCs w:val="18"/>
          <w:lang w:eastAsia="hr-HR"/>
        </w:rPr>
        <w:t>Izvor:https://razvoj.gov.hr/UserDocsImages//O%20ministarstvu/Regionalni%20razvoj/indeks%20razvijenosti//Vrijednosti%20indeksa%20razvijenosti%20i%20pokazatelja%20za%20izra%C4%8Dun%20indeksa%20razvijenosti_jedinice%20podru%C4%8Dne%20(regionalne)%20samouprave.pdf</w:t>
      </w:r>
    </w:p>
    <w:p w14:paraId="51CD3FBE" w14:textId="77777777" w:rsidR="00E87AC6" w:rsidRPr="00C91B1B" w:rsidRDefault="00E87AC6" w:rsidP="00E87AC6">
      <w:pPr>
        <w:tabs>
          <w:tab w:val="left" w:pos="-720"/>
        </w:tabs>
        <w:suppressAutoHyphens/>
        <w:spacing w:after="0" w:line="240" w:lineRule="auto"/>
        <w:jc w:val="both"/>
        <w:rPr>
          <w:rFonts w:ascii="Calibri" w:eastAsia="Times New Roman" w:hAnsi="Calibri" w:cs="Calibri"/>
          <w:sz w:val="18"/>
          <w:szCs w:val="18"/>
          <w:lang w:eastAsia="hr-HR"/>
        </w:rPr>
      </w:pPr>
    </w:p>
    <w:p w14:paraId="4A133051" w14:textId="77777777" w:rsidR="00E87AC6" w:rsidRDefault="00E87AC6" w:rsidP="00E87AC6">
      <w:pPr>
        <w:spacing w:line="240" w:lineRule="auto"/>
        <w:jc w:val="both"/>
      </w:pPr>
      <w:r>
        <w:t>Indeks razvijenosti za trogodišnje razdoblje 2018.-2020. izračunat je kao prilagođeni prosjek standardiziranih vrijednosti odabranih pokazatelja u određenom vremenskom razdoblju (2014.-2016.): prosječni dohodak po stanovniku, prosječna stopa nezaposlenosti, prosječni izvorni prihod jedinica lokalne odnosno područne (regionalne) samouprave po stanovniku, opće kretanja stanovništva i stupanj obrazovanosti stanovništva (tercijarno obrazovanje), indeks starenja. Promjenama iz 2017. godine definirano je da status potpomognutih područja imaju sva područja ispod prosjeka razvijenosti Republike Hrvatske.</w:t>
      </w:r>
    </w:p>
    <w:p w14:paraId="4E36647C" w14:textId="0A2E031E" w:rsidR="00E87AC6" w:rsidRPr="005A7025" w:rsidRDefault="00E87AC6" w:rsidP="00E87AC6">
      <w:pPr>
        <w:spacing w:line="240" w:lineRule="auto"/>
        <w:jc w:val="both"/>
      </w:pPr>
      <w:r w:rsidRPr="00C91B1B">
        <w:t>Grad Zagreb spada</w:t>
      </w:r>
      <w:r>
        <w:t xml:space="preserve"> </w:t>
      </w:r>
      <w:r w:rsidRPr="00C91B1B">
        <w:t xml:space="preserve">u IV. skupinu jedinica područne (regionalne) samouprave koje se prema vrijednosti indeksa nalaze u prvoj polovini iznadprosječno rangiranih jedinica područne (regionalne) samouprave. Indeks razvijenosti Grada Zagreba </w:t>
      </w:r>
      <w:r>
        <w:t xml:space="preserve">je najviši od svih županija u Republici Hrvatskoj i </w:t>
      </w:r>
      <w:r w:rsidRPr="00C91B1B">
        <w:t>iznosi  117,758.</w:t>
      </w:r>
    </w:p>
    <w:p w14:paraId="17B9C1EA" w14:textId="0D0DCAC4" w:rsidR="00E87AC6" w:rsidRPr="003D30A4" w:rsidRDefault="00E87AC6" w:rsidP="005A25A2">
      <w:pPr>
        <w:pStyle w:val="Stil2"/>
      </w:pPr>
      <w:bookmarkStart w:id="89" w:name="_Toc97123815"/>
      <w:r w:rsidRPr="003D30A4">
        <w:t>3.2. TURIZAM</w:t>
      </w:r>
      <w:bookmarkEnd w:id="89"/>
    </w:p>
    <w:p w14:paraId="4C50F1D1"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 xml:space="preserve">Hrvatska je već desetljećima visoko rangirana na listama poželjnih turističkih destinacija, ali to se uglavnom odnosilo na ljetno razdoblje i primorske gradove te nacionalne parkove. U zadnjem desetljeću i Zagreb je konačno našao svoje mjesto među popularnim europskim gradskim destinacijama te, osim što ga ne propuštaju posjetiti turisti kojima je krajnji cilj Jadran, sve je više stranih gostiju tijekom cijele godine pa je Zagreb postao popularna „city break“ destinacija. Promatrano od 2013. godine, u strukturi gospodarstva Grada Zagreba primjetan je pozitivan trend razvoja turizma, čemu svjedoče podaci o turističkom prometu koji od 2013. kontinuirano raste. </w:t>
      </w:r>
    </w:p>
    <w:p w14:paraId="5859C786"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2B8CAF60" w14:textId="28DB360A"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Zagreb je turističko odredište u koje turisti više dolaze individualno nego organizirano što potvrđuju i podaci po kojima je 2019. godine 63% ukupnih turista došlo individualno, ostvarivši 68% ukupnih noćenja</w:t>
      </w:r>
      <w:r w:rsidRPr="003D30A4">
        <w:rPr>
          <w:rFonts w:ascii="Calibri" w:eastAsia="Times New Roman" w:hAnsi="Calibri" w:cs="Calibri"/>
          <w:bCs/>
          <w:vertAlign w:val="superscript"/>
          <w:lang w:eastAsia="hr-HR"/>
        </w:rPr>
        <w:footnoteReference w:id="41"/>
      </w:r>
      <w:r w:rsidRPr="003D30A4">
        <w:rPr>
          <w:rFonts w:ascii="Calibri" w:eastAsia="Times New Roman" w:hAnsi="Calibri" w:cs="Calibri"/>
          <w:bCs/>
          <w:lang w:eastAsia="hr-HR"/>
        </w:rPr>
        <w:t>. Zagreb je u 2019. godini posjetilo 1.454.019 turista koji su ostvarili 2.638.962 noćenja od čega su 83% noćenja ostvarili strani posjetitelji. U zadnjih pet godina najveći broj dolazaka ostvarili su posjetitelji iz Republike Koreje, Sjedinjenih Američkih Država, Njemačke, Italije i Kine</w:t>
      </w:r>
      <w:r w:rsidRPr="003D30A4">
        <w:rPr>
          <w:rFonts w:ascii="Calibri" w:eastAsia="Times New Roman" w:hAnsi="Calibri" w:cs="Calibri"/>
          <w:bCs/>
          <w:vertAlign w:val="superscript"/>
          <w:lang w:eastAsia="hr-HR"/>
        </w:rPr>
        <w:footnoteReference w:id="42"/>
      </w:r>
      <w:r w:rsidRPr="003D30A4">
        <w:rPr>
          <w:rFonts w:ascii="Calibri" w:eastAsia="Times New Roman" w:hAnsi="Calibri" w:cs="Calibri"/>
          <w:bCs/>
          <w:lang w:eastAsia="hr-HR"/>
        </w:rPr>
        <w:t>. Značajka aktualnog razvoja smještajnih kapaciteta u Gradu Zagrebu zasniva se na snažnom rastu jedinica privatnog smještaja. Prema podacima Gradskog ureda za gospodarstvo, energetiku i zaštitu okoliša, broj objekata privatnog smještaja je u zadnjih pet godina porastao za 154%, odnosno od 1.585 na 4.021 objekata. Broj hotela u gradu Zagrebu je u laganom porastu u promatranom razdoblju uz naglasak na hotele visoke kategorije. Prema podacima Turističke zajednice grada Zagreba, u gradu Zagrebu posluju 53 hostela i 68 hotela od čega je 4  hotela kategorije 2*, 34  hotela kategorije 3*,  25 hotela kategorije 4* i 5  hotela kategorije 5*. Usprkos naglom rastu jedinica privatnog smještaja, posjetitelji Grada Zagreba se najčešće odlučuju za hotelski smještaj, u kojem se ostvaruje 64% dolazaka i 83% noćenja</w:t>
      </w:r>
      <w:r w:rsidRPr="003D30A4">
        <w:rPr>
          <w:rFonts w:ascii="Calibri" w:eastAsia="Times New Roman" w:hAnsi="Calibri" w:cs="Calibri"/>
          <w:bCs/>
          <w:vertAlign w:val="superscript"/>
          <w:lang w:eastAsia="hr-HR"/>
        </w:rPr>
        <w:footnoteReference w:id="43"/>
      </w:r>
      <w:r w:rsidRPr="003D30A4">
        <w:rPr>
          <w:rFonts w:ascii="Calibri" w:eastAsia="Times New Roman" w:hAnsi="Calibri" w:cs="Calibri"/>
          <w:bCs/>
          <w:lang w:eastAsia="hr-HR"/>
        </w:rPr>
        <w:t>. Prosječna duljina boravka turista u Zagrebu iznosi 1,8 dana. Velika većina turističkog prometa odvija se u užem centru grada, na području Gornjeg i Donjeg grada, a osim u užem centru, turistički promet odvija se u parku Maksimir i na groblju Mirogoj, koji privlače turiste izvan centra</w:t>
      </w:r>
      <w:r w:rsidRPr="003D30A4">
        <w:rPr>
          <w:rFonts w:ascii="Calibri" w:eastAsia="Times New Roman" w:hAnsi="Calibri" w:cs="Calibri"/>
          <w:bCs/>
          <w:vertAlign w:val="superscript"/>
          <w:lang w:eastAsia="hr-HR"/>
        </w:rPr>
        <w:footnoteReference w:id="44"/>
      </w:r>
      <w:r w:rsidRPr="003D30A4">
        <w:rPr>
          <w:rFonts w:ascii="Calibri" w:eastAsia="Times New Roman" w:hAnsi="Calibri" w:cs="Calibri"/>
          <w:bCs/>
          <w:lang w:eastAsia="hr-HR"/>
        </w:rPr>
        <w:t>. Zagreb posjetiteljima nudi mnogobrojne kulturne i sportske sadržaje uz sve bogatiju gastronomsku ponudu, a najpopularnije lokacije čine: Trg bana Josipa Jelačića, trg Svetog Marka, Katedrala, Kamenita vrta, Zrinjevac, Botanički vrt, park Ribnjak, Europski trg, Britanski trg, Tuškanac, Ilica, park Maksimir, Jarun i Bundek</w:t>
      </w:r>
      <w:r w:rsidRPr="003D30A4">
        <w:rPr>
          <w:rFonts w:ascii="Calibri" w:eastAsia="Times New Roman" w:hAnsi="Calibri" w:cs="Calibri"/>
          <w:bCs/>
          <w:vertAlign w:val="superscript"/>
          <w:lang w:eastAsia="hr-HR"/>
        </w:rPr>
        <w:footnoteReference w:id="45"/>
      </w:r>
      <w:r w:rsidRPr="003D30A4">
        <w:rPr>
          <w:rFonts w:ascii="Calibri" w:eastAsia="Times New Roman" w:hAnsi="Calibri" w:cs="Calibri"/>
          <w:bCs/>
          <w:lang w:eastAsia="hr-HR"/>
        </w:rPr>
        <w:t>. Medvednica pruža dodatnu vrijednost zagrebačkoj turističkoj ponudi, koja će gradnjom žičare i snažnijim oglašavanjem postati atraktivnija i stranim posjetiteljima, vodeći računa o načelima održivog razvoja turističke destinacije.</w:t>
      </w:r>
    </w:p>
    <w:p w14:paraId="4F30BE7B"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highlight w:val="cyan"/>
          <w:lang w:eastAsia="hr-HR"/>
        </w:rPr>
      </w:pPr>
    </w:p>
    <w:p w14:paraId="1C084EE6"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Obilježja</w:t>
      </w:r>
      <w:r w:rsidRPr="003D30A4">
        <w:rPr>
          <w:rFonts w:ascii="Calibri" w:eastAsia="Times New Roman" w:hAnsi="Calibri" w:cs="Calibri"/>
          <w:bCs/>
          <w:vertAlign w:val="superscript"/>
          <w:lang w:eastAsia="hr-HR"/>
        </w:rPr>
        <w:footnoteReference w:id="46"/>
      </w:r>
      <w:r w:rsidRPr="003D30A4">
        <w:rPr>
          <w:rFonts w:ascii="Calibri" w:eastAsia="Times New Roman" w:hAnsi="Calibri" w:cs="Calibri"/>
          <w:bCs/>
          <w:lang w:eastAsia="hr-HR"/>
        </w:rPr>
        <w:t xml:space="preserve"> turista koji posjećuju Zagreb:</w:t>
      </w:r>
    </w:p>
    <w:p w14:paraId="05C79BB5"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više od 50% turista mlađe od 45 godina</w:t>
      </w:r>
    </w:p>
    <w:p w14:paraId="55AD3389"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više od 50% turista ima fakultetsko obrazovanje (i više)</w:t>
      </w:r>
    </w:p>
    <w:p w14:paraId="709F053B"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čak 38% turista putuje samo, ili samo s partnerom (27%)</w:t>
      </w:r>
    </w:p>
    <w:p w14:paraId="1F9888F2"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glavni razlozi dolaska u Zagreb su odmor (53%) i posao (28%),</w:t>
      </w:r>
    </w:p>
    <w:p w14:paraId="39CA5D98"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glavni motiv poslovnog putovanja su poslovni sastanci (65%)</w:t>
      </w:r>
    </w:p>
    <w:p w14:paraId="2375541B"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glavni motiv odmorišnog putovanja su city break (56%) i razgledavanje (18%)</w:t>
      </w:r>
    </w:p>
    <w:p w14:paraId="67285903"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50% turista dolazi po prvi put u Zagreb, a 23% je bilo 7 i više puta</w:t>
      </w:r>
    </w:p>
    <w:p w14:paraId="11EBB3B1"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 xml:space="preserve">50 % turista kao izvor informacija o Zagrebu nalazi na internetu, od toga 67% stranice hrvatskih turističkih ureda </w:t>
      </w:r>
    </w:p>
    <w:p w14:paraId="1A593A7C"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više od 40% turista smještaj rezervira izravno sa smještajnim objektom</w:t>
      </w:r>
    </w:p>
    <w:p w14:paraId="6C256ED3"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više od 70% turista nije koristilo niskotarifne zračne prijevoznike</w:t>
      </w:r>
    </w:p>
    <w:p w14:paraId="7319954D"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više od 30% turista ostaje u Zagrebu do 3 dana</w:t>
      </w:r>
    </w:p>
    <w:p w14:paraId="3781A688"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vrijeme provedeno u Zagrebu najviše provode na gastronomiju, razgledavanje te posjet povijesnim znamenitostima, muzejima i galerijama</w:t>
      </w:r>
    </w:p>
    <w:p w14:paraId="03DE771E"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turisti vrlo visoko ocjenjuju osobnu sigurnost, gostoljubivost lokalnog stanovništva, atmosferu, ljepotu prirode, prilagođenost djeci, gastronomsku ponudu i kulturu i umjetnost</w:t>
      </w:r>
    </w:p>
    <w:p w14:paraId="088C66DC" w14:textId="77777777" w:rsidR="00E87AC6" w:rsidRPr="003D30A4" w:rsidRDefault="00E87AC6" w:rsidP="00E87AC6">
      <w:pPr>
        <w:numPr>
          <w:ilvl w:val="0"/>
          <w:numId w:val="38"/>
        </w:num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turisti su nezadovoljni biciklističkim rutama i stazama, informacijama o zaštićenim prirodnim područjima, prometom te prilagođenosti osobama s posebnim potrebama.</w:t>
      </w:r>
    </w:p>
    <w:p w14:paraId="0D52B8CD"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398850C3"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Analizirajući sezonalnost turističkog prometa</w:t>
      </w:r>
      <w:r w:rsidRPr="003D30A4">
        <w:rPr>
          <w:rFonts w:ascii="Calibri" w:eastAsia="Times New Roman" w:hAnsi="Calibri" w:cs="Calibri"/>
          <w:bCs/>
          <w:vertAlign w:val="superscript"/>
          <w:lang w:eastAsia="hr-HR"/>
        </w:rPr>
        <w:footnoteReference w:id="47"/>
      </w:r>
      <w:r w:rsidRPr="003D30A4">
        <w:rPr>
          <w:rFonts w:ascii="Calibri" w:eastAsia="Times New Roman" w:hAnsi="Calibri" w:cs="Calibri"/>
          <w:bCs/>
          <w:lang w:eastAsia="hr-HR"/>
        </w:rPr>
        <w:t xml:space="preserve"> u Gradu Zagrebu u 2019. godini, vidljiva je razlika u odnosu na Republiku Hrvatsku. Mjeseci koji se smatraju vršnima u RH- srpanj i kolovoz, u GZ generiraju manje od 25%, dok dio od siječnja do lipnja generira oko 40% cjelogodišnje turističkog prometa. Udio Grada Zagreba u nacionalnim turističkim dolascima  iznosi 7,4% a udio noćenja je 2,9%. Prosječna duljina boravka turista u GZ iznosi 1,8 dana. Udio stranih turista u noćenjima je 83%.</w:t>
      </w:r>
    </w:p>
    <w:p w14:paraId="3D8F1CD6"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365208F9"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Analizirajući intenzitet turizma</w:t>
      </w:r>
      <w:r w:rsidRPr="003D30A4">
        <w:rPr>
          <w:rFonts w:ascii="Calibri" w:eastAsia="Times New Roman" w:hAnsi="Calibri" w:cs="Calibri"/>
          <w:bCs/>
          <w:vertAlign w:val="superscript"/>
          <w:lang w:eastAsia="hr-HR"/>
        </w:rPr>
        <w:footnoteReference w:id="48"/>
      </w:r>
      <w:r w:rsidRPr="003D30A4">
        <w:rPr>
          <w:rFonts w:ascii="Calibri" w:eastAsia="Times New Roman" w:hAnsi="Calibri" w:cs="Calibri"/>
          <w:bCs/>
          <w:lang w:eastAsia="hr-HR"/>
        </w:rPr>
        <w:t xml:space="preserve"> u Gradu Zagrebu i 9 odabranih europskih gradova u 2019. godini, upotrjebljavajući podatke o broju stanovnika, površini gradova, broju dolazaka i noćenja te broju kreveta u destinaciji, izračunate su: Stopa turističkog intenziteta ili Intenzitet turističkog prometa (TIR), Stopa turističke penetracije (TPR), Stopa turističke gustoće (TDR) i Koeficijent turističke funkcionalnosti (CTF) te je utvrđeno da Grad Zagreb još nema zabrinjavajući turistički intenzitet te da je u ukupnom poretku od 10 gradova posljednji po svim izračunatim parametrima. Prema izračunu, grad s najvećim turističkim intenzitetom je Amsterdam s 48 bodova dok je Zagreb, s 9 bodova, zadnji. Najbliže Zagrebu je Budimpešta sa 17 bodova.</w:t>
      </w:r>
    </w:p>
    <w:p w14:paraId="042EFA06"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193A692F"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Grad Zagreb kontinuirano ulaže u poboljšanje javne turističke infrastrukture</w:t>
      </w:r>
      <w:r w:rsidRPr="003D30A4">
        <w:rPr>
          <w:rFonts w:ascii="Calibri" w:eastAsia="Times New Roman" w:hAnsi="Calibri" w:cs="Calibri"/>
          <w:bCs/>
          <w:vertAlign w:val="superscript"/>
          <w:lang w:eastAsia="hr-HR"/>
        </w:rPr>
        <w:footnoteReference w:id="49"/>
      </w:r>
      <w:r w:rsidRPr="003D30A4">
        <w:rPr>
          <w:rFonts w:ascii="Calibri" w:eastAsia="Times New Roman" w:hAnsi="Calibri" w:cs="Calibri"/>
          <w:bCs/>
          <w:lang w:eastAsia="hr-HR"/>
        </w:rPr>
        <w:t xml:space="preserve"> u iznosu oko 13 milijuna eura godišnje što varira u odnosu na ulaganja u kapitalne projekte, primjerice u Zagrebačku žičaru, što je razinu ulaganja diglo na 46 milijuna eura u 2019. godini i na 65 milijuna eura u prvih šest mjeseci 2020. godine. Ulaganja u ostalu javnu infrastrukturu iznose oko 35 milijuna eura godišnje.</w:t>
      </w:r>
    </w:p>
    <w:p w14:paraId="70E201F8"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29727564"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 xml:space="preserve">U prva dva mjeseca 2020. godine, prije izbijanja </w:t>
      </w:r>
      <w:r>
        <w:rPr>
          <w:rFonts w:ascii="Calibri" w:eastAsia="Times New Roman" w:hAnsi="Calibri" w:cs="Calibri"/>
          <w:bCs/>
          <w:lang w:eastAsia="hr-HR"/>
        </w:rPr>
        <w:t>epide</w:t>
      </w:r>
      <w:r w:rsidRPr="003D30A4">
        <w:rPr>
          <w:rFonts w:ascii="Calibri" w:eastAsia="Times New Roman" w:hAnsi="Calibri" w:cs="Calibri"/>
          <w:bCs/>
          <w:lang w:eastAsia="hr-HR"/>
        </w:rPr>
        <w:t xml:space="preserve">mije COVID 19 u Republici Hrvatskoj i Europi, zabilježen je nastavak rasta dolazaka od 2,2% i noćenja od 4,1%. No, zbog brzog izbijanja </w:t>
      </w:r>
      <w:r>
        <w:rPr>
          <w:rFonts w:ascii="Calibri" w:eastAsia="Times New Roman" w:hAnsi="Calibri" w:cs="Calibri"/>
          <w:bCs/>
          <w:lang w:eastAsia="hr-HR"/>
        </w:rPr>
        <w:t>epid</w:t>
      </w:r>
      <w:r w:rsidRPr="003D30A4">
        <w:rPr>
          <w:rFonts w:ascii="Calibri" w:eastAsia="Times New Roman" w:hAnsi="Calibri" w:cs="Calibri"/>
          <w:bCs/>
          <w:lang w:eastAsia="hr-HR"/>
        </w:rPr>
        <w:t>emije i razornog potresa koji je grad pogodio u ožujku slijedom kojeg su zatvoreni mnogi hoteli u području užeg centra grada Zagreba, zabilježen je nagli pad turističkog prometa.</w:t>
      </w:r>
    </w:p>
    <w:p w14:paraId="270E3F31"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1E825FA0" w14:textId="28FEFACE" w:rsidR="00E87AC6" w:rsidRPr="003D30A4" w:rsidRDefault="004C1C6E" w:rsidP="00E2286C">
      <w:pPr>
        <w:pStyle w:val="Opisslike"/>
        <w:rPr>
          <w:rFonts w:ascii="Calibri" w:hAnsi="Calibri" w:cs="Calibri"/>
          <w:bCs/>
          <w:lang w:eastAsia="hr-HR"/>
        </w:rPr>
      </w:pPr>
      <w:r>
        <w:t xml:space="preserve">Tablica </w:t>
      </w:r>
      <w:r w:rsidR="00751C19">
        <w:fldChar w:fldCharType="begin"/>
      </w:r>
      <w:r w:rsidR="00751C19">
        <w:instrText xml:space="preserve"> SEQ Tablica \* ARABIC </w:instrText>
      </w:r>
      <w:r w:rsidR="00751C19">
        <w:fldChar w:fldCharType="separate"/>
      </w:r>
      <w:r w:rsidR="00803E25">
        <w:rPr>
          <w:noProof/>
        </w:rPr>
        <w:t>19</w:t>
      </w:r>
      <w:r w:rsidR="00751C19">
        <w:rPr>
          <w:noProof/>
        </w:rPr>
        <w:fldChar w:fldCharType="end"/>
      </w:r>
      <w:r>
        <w:t xml:space="preserve">. </w:t>
      </w:r>
      <w:r w:rsidRPr="00171A32">
        <w:t xml:space="preserve">Usporedba dolazaka i noćenja turista u 2019. i </w:t>
      </w:r>
      <w:r w:rsidR="00A309E9" w:rsidRPr="00171A32">
        <w:t>2020. godini</w:t>
      </w:r>
    </w:p>
    <w:p w14:paraId="0A9B468F"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Calibri" w:hAnsi="Calibri" w:cs="Times New Roman"/>
          <w:noProof/>
        </w:rPr>
        <w:drawing>
          <wp:inline distT="0" distB="0" distL="0" distR="0" wp14:anchorId="2D2BFEC6" wp14:editId="0BD9B24C">
            <wp:extent cx="5683885" cy="120396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3885" cy="1203960"/>
                    </a:xfrm>
                    <a:prstGeom prst="rect">
                      <a:avLst/>
                    </a:prstGeom>
                    <a:noFill/>
                    <a:ln>
                      <a:noFill/>
                    </a:ln>
                  </pic:spPr>
                </pic:pic>
              </a:graphicData>
            </a:graphic>
          </wp:inline>
        </w:drawing>
      </w:r>
    </w:p>
    <w:p w14:paraId="01EE8FBB" w14:textId="77777777" w:rsidR="00E87AC6" w:rsidRPr="003D30A4" w:rsidRDefault="00E87AC6" w:rsidP="00E87AC6">
      <w:pPr>
        <w:spacing w:after="0" w:line="240" w:lineRule="auto"/>
        <w:rPr>
          <w:rFonts w:ascii="Times New Roman" w:hAnsi="Times New Roman" w:cs="Times New Roman"/>
          <w:sz w:val="24"/>
          <w:szCs w:val="24"/>
          <w:lang w:eastAsia="hr-HR"/>
        </w:rPr>
      </w:pPr>
      <w:r w:rsidRPr="003D30A4">
        <w:rPr>
          <w:rFonts w:ascii="Calibri" w:eastAsia="Calibri" w:hAnsi="Calibri" w:cs="Times New Roman"/>
          <w:sz w:val="16"/>
          <w:szCs w:val="16"/>
        </w:rPr>
        <w:t>Izvor: DZS; obrada: GUSPRG – priopćenje Odjela za statističke i analitičke poslove; veljača 2021.</w:t>
      </w:r>
      <w:r w:rsidRPr="003D30A4">
        <w:rPr>
          <w:rFonts w:ascii="Times New Roman" w:eastAsia="Calibri" w:hAnsi="Times New Roman" w:cs="Times New Roman"/>
          <w:sz w:val="24"/>
          <w:szCs w:val="24"/>
          <w:lang w:eastAsia="hr-HR"/>
        </w:rPr>
        <w:t xml:space="preserve"> </w:t>
      </w:r>
    </w:p>
    <w:p w14:paraId="380C99C1"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56734A05"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Od siječnja do prosinca 2020., domaći turisti ostvarili su 115,4 tisuće dolazaka i 239,9 tisuća noćenja, što je pad dolazaka za 52,5% i pad noćenja za 47,0%, u odnosu na isto razdoblje 2019. Strani turisti, od siječnja do prosinca 2020., ostvarili su 227,1 tisuću dolazaka i 540,2 tisuće noćenja, što je pad dolazaka za 81,2% i pad noćenja za 75,3%, u odnosu na isto razdoblje 2019. Uz manju posjećenost, znatno je smanjen broj događanja, a zatvaranje kulturnih ustanova i ugostiteljskih objekata rezultiralo je ukupnim padom turističkog prometa.</w:t>
      </w:r>
    </w:p>
    <w:p w14:paraId="1FEB888C"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p w14:paraId="29E21776"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r w:rsidRPr="003D30A4">
        <w:rPr>
          <w:rFonts w:ascii="Calibri" w:eastAsia="Times New Roman" w:hAnsi="Calibri" w:cs="Calibri"/>
          <w:bCs/>
          <w:lang w:eastAsia="hr-HR"/>
        </w:rPr>
        <w:t>Ukoliko ne postoji odgovarajuća turistička politika upravljanja turističkim prometom u destinaciji, višegodišnji rast turističkog prometa koji sa sobom nosi sve veću koncentraciju turista, ali i turističke ponude, u užem centru grada potencijalno može dovesti do mnogih neželjenih posljedica masovnog turizma poput buke, gužvi, opterećenosti komunalne atmosfere i dr. Grad Zagreb stoga, vodeći se načelima održivog turizma u destinaciji, nužno treba novi strateški okvir razvoja turizma što podrazumijeva: uspostavljanje ravnoteže između okolišnog, gospodarskog i društveno-kulturnog aspekta održivosti. Srednjoročni cilj je što brži oporavak turističkog sektora na razinu prije 2020. godine, a sustavni oporavak moguć je uz kvalitetan sveobuhvatan pristup. S druge strane, kriza predstavlja priliku za ispravljanje uočenih nedostataka ponude koja je previše koncentrirana u uži centar grada, unapređenje turističkih proizvoda kao što su zdravstveni, poslovni, gastronomski i city break te daljnji razvoj kulturne ponude.</w:t>
      </w:r>
    </w:p>
    <w:p w14:paraId="61AAD0F9" w14:textId="77777777" w:rsidR="00E87AC6" w:rsidRPr="003D30A4" w:rsidRDefault="00E87AC6" w:rsidP="00E87AC6">
      <w:pPr>
        <w:tabs>
          <w:tab w:val="left" w:pos="-720"/>
        </w:tabs>
        <w:suppressAutoHyphens/>
        <w:spacing w:after="0" w:line="240" w:lineRule="auto"/>
        <w:ind w:right="-2"/>
        <w:jc w:val="both"/>
        <w:rPr>
          <w:rFonts w:ascii="Calibri" w:eastAsia="Times New Roman" w:hAnsi="Calibri" w:cs="Calibri"/>
          <w:bCs/>
          <w:lang w:eastAsia="hr-HR"/>
        </w:rPr>
      </w:pPr>
    </w:p>
    <w:tbl>
      <w:tblPr>
        <w:tblW w:w="5000" w:type="pct"/>
        <w:tblLook w:val="01E0" w:firstRow="1" w:lastRow="1" w:firstColumn="1" w:lastColumn="1" w:noHBand="0" w:noVBand="0"/>
      </w:tblPr>
      <w:tblGrid>
        <w:gridCol w:w="4536"/>
        <w:gridCol w:w="4536"/>
      </w:tblGrid>
      <w:tr w:rsidR="00E87AC6" w:rsidRPr="003D30A4" w14:paraId="3211C385" w14:textId="77777777" w:rsidTr="004838D7">
        <w:trPr>
          <w:trHeight w:val="437"/>
        </w:trPr>
        <w:tc>
          <w:tcPr>
            <w:tcW w:w="2500" w:type="pct"/>
            <w:shd w:val="clear" w:color="auto" w:fill="CCCCCC"/>
            <w:hideMark/>
          </w:tcPr>
          <w:p w14:paraId="711FC8C1" w14:textId="77777777" w:rsidR="00E87AC6" w:rsidRPr="003D30A4" w:rsidRDefault="00E87AC6" w:rsidP="004838D7">
            <w:pPr>
              <w:spacing w:before="60" w:after="60" w:line="276" w:lineRule="auto"/>
              <w:jc w:val="both"/>
              <w:rPr>
                <w:rFonts w:ascii="Calibri" w:eastAsia="Calibri" w:hAnsi="Calibri" w:cs="Calibri"/>
                <w:b/>
                <w:sz w:val="18"/>
                <w:szCs w:val="18"/>
              </w:rPr>
            </w:pPr>
            <w:bookmarkStart w:id="94" w:name="_Hlk41987130"/>
            <w:r w:rsidRPr="003D30A4">
              <w:rPr>
                <w:rFonts w:ascii="Calibri" w:eastAsia="Calibri" w:hAnsi="Calibri" w:cs="Calibri"/>
                <w:b/>
                <w:sz w:val="18"/>
                <w:szCs w:val="18"/>
              </w:rPr>
              <w:t>RAZVOJNI PROBLEMI</w:t>
            </w:r>
          </w:p>
        </w:tc>
        <w:tc>
          <w:tcPr>
            <w:tcW w:w="2500" w:type="pct"/>
            <w:shd w:val="clear" w:color="auto" w:fill="99CCFF"/>
            <w:hideMark/>
          </w:tcPr>
          <w:p w14:paraId="6B658E52" w14:textId="77777777" w:rsidR="00E87AC6" w:rsidRPr="003D30A4" w:rsidRDefault="00E87AC6" w:rsidP="004838D7">
            <w:pPr>
              <w:spacing w:before="60" w:after="60" w:line="276" w:lineRule="auto"/>
              <w:jc w:val="both"/>
              <w:rPr>
                <w:rFonts w:ascii="Calibri" w:eastAsia="Calibri" w:hAnsi="Calibri" w:cs="Calibri"/>
                <w:b/>
                <w:sz w:val="18"/>
                <w:szCs w:val="18"/>
              </w:rPr>
            </w:pPr>
            <w:r w:rsidRPr="003D30A4">
              <w:rPr>
                <w:rFonts w:ascii="Calibri" w:eastAsia="Calibri" w:hAnsi="Calibri" w:cs="Calibri"/>
                <w:b/>
                <w:sz w:val="18"/>
                <w:szCs w:val="18"/>
              </w:rPr>
              <w:t>RAZVOJNE POTREBE</w:t>
            </w:r>
          </w:p>
        </w:tc>
      </w:tr>
      <w:tr w:rsidR="00E87AC6" w:rsidRPr="003D30A4" w14:paraId="78A673C0" w14:textId="77777777" w:rsidTr="004838D7">
        <w:trPr>
          <w:trHeight w:val="437"/>
        </w:trPr>
        <w:tc>
          <w:tcPr>
            <w:tcW w:w="2500" w:type="pct"/>
            <w:shd w:val="clear" w:color="auto" w:fill="CCCCCC"/>
            <w:hideMark/>
          </w:tcPr>
          <w:p w14:paraId="6E869629"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nepostojanje strateškog razvojnog dokumenta</w:t>
            </w:r>
          </w:p>
          <w:p w14:paraId="3C3BA2B9"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 xml:space="preserve">nedostatak sustava za mjerenje ukupnih učinaka turizma </w:t>
            </w:r>
          </w:p>
          <w:p w14:paraId="56DE688D"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nesustavno praćenje rizika koji utječu na konkurentnost i održivost</w:t>
            </w:r>
          </w:p>
          <w:p w14:paraId="2D5DBECB" w14:textId="77777777" w:rsidR="00E87AC6" w:rsidRPr="00CA0FDA" w:rsidRDefault="00E87AC6" w:rsidP="00CA0FDA">
            <w:pPr>
              <w:numPr>
                <w:ilvl w:val="0"/>
                <w:numId w:val="2"/>
              </w:numPr>
              <w:pBdr>
                <w:bottom w:val="single" w:sz="4" w:space="1" w:color="auto"/>
              </w:pBd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nepostojanje preciznijih informacija o konkurentskom okruženju</w:t>
            </w:r>
          </w:p>
          <w:p w14:paraId="006D35DC"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nedefiniran sustav turističkih proizvoda</w:t>
            </w:r>
          </w:p>
          <w:p w14:paraId="78B7F0AA"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nedovoljna valorizacija turističkih potencijala izvan užeg centra grada</w:t>
            </w:r>
          </w:p>
          <w:p w14:paraId="4398AF5B"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nedostatak inovativnih sadržaja turističke ponude</w:t>
            </w:r>
          </w:p>
          <w:p w14:paraId="538C1657"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 xml:space="preserve">nepostojanje kongresnog centra </w:t>
            </w:r>
          </w:p>
          <w:p w14:paraId="4041F11B" w14:textId="77777777" w:rsidR="00E87AC6" w:rsidRPr="00CA0FDA" w:rsidRDefault="00E87AC6" w:rsidP="00CA0FDA">
            <w:pPr>
              <w:numPr>
                <w:ilvl w:val="0"/>
                <w:numId w:val="2"/>
              </w:numPr>
              <w:pBdr>
                <w:top w:val="single" w:sz="4" w:space="1" w:color="auto"/>
                <w:bottom w:val="single" w:sz="4" w:space="1" w:color="auto"/>
              </w:pBd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manjak stranih investicija u turizmu</w:t>
            </w:r>
          </w:p>
          <w:p w14:paraId="3CCB690F" w14:textId="77777777" w:rsidR="00E87AC6" w:rsidRPr="00CA0FDA" w:rsidRDefault="00E87AC6" w:rsidP="00CA0FDA">
            <w:pPr>
              <w:numPr>
                <w:ilvl w:val="0"/>
                <w:numId w:val="2"/>
              </w:numPr>
              <w:tabs>
                <w:tab w:val="num" w:pos="284"/>
                <w:tab w:val="num" w:pos="540"/>
              </w:tabs>
              <w:spacing w:before="60" w:after="60" w:line="240" w:lineRule="auto"/>
              <w:ind w:left="284" w:right="-2" w:hanging="284"/>
              <w:rPr>
                <w:rFonts w:ascii="Calibri" w:eastAsia="Calibri" w:hAnsi="Calibri" w:cs="Calibri"/>
                <w:color w:val="000000"/>
                <w:sz w:val="18"/>
                <w:szCs w:val="18"/>
              </w:rPr>
            </w:pPr>
            <w:r w:rsidRPr="00CA0FDA">
              <w:rPr>
                <w:rFonts w:ascii="Calibri" w:eastAsia="Calibri" w:hAnsi="Calibri" w:cs="Calibri"/>
                <w:color w:val="000000"/>
                <w:sz w:val="18"/>
                <w:szCs w:val="18"/>
              </w:rPr>
              <w:t>nedostatna avio povezanost, pogotovo low cost kompanija</w:t>
            </w:r>
          </w:p>
          <w:p w14:paraId="628A2C87" w14:textId="77777777" w:rsidR="00E87AC6" w:rsidRPr="00F34CFA" w:rsidRDefault="00E87AC6" w:rsidP="004838D7">
            <w:pPr>
              <w:spacing w:before="60" w:after="60" w:line="276" w:lineRule="auto"/>
              <w:jc w:val="both"/>
              <w:rPr>
                <w:rFonts w:ascii="Calibri" w:eastAsia="Calibri" w:hAnsi="Calibri" w:cs="Calibri"/>
                <w:bCs/>
                <w:sz w:val="18"/>
                <w:szCs w:val="18"/>
              </w:rPr>
            </w:pPr>
          </w:p>
        </w:tc>
        <w:tc>
          <w:tcPr>
            <w:tcW w:w="2500" w:type="pct"/>
            <w:shd w:val="clear" w:color="auto" w:fill="99CCFF"/>
            <w:hideMark/>
          </w:tcPr>
          <w:p w14:paraId="69DB2D34" w14:textId="3D5F668D" w:rsidR="00E87AC6" w:rsidRPr="00F34CFA" w:rsidRDefault="00E87AC6" w:rsidP="00E87AC6">
            <w:pPr>
              <w:numPr>
                <w:ilvl w:val="0"/>
                <w:numId w:val="39"/>
              </w:numPr>
              <w:pBdr>
                <w:bottom w:val="single" w:sz="4" w:space="1" w:color="auto"/>
              </w:pBd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izrad</w:t>
            </w:r>
            <w:r w:rsidR="00CA0FDA">
              <w:rPr>
                <w:rFonts w:ascii="Calibri" w:eastAsia="Calibri" w:hAnsi="Calibri" w:cs="Calibri"/>
                <w:bCs/>
                <w:sz w:val="18"/>
                <w:szCs w:val="18"/>
              </w:rPr>
              <w:t>iti</w:t>
            </w:r>
            <w:r w:rsidRPr="00F34CFA">
              <w:rPr>
                <w:rFonts w:ascii="Calibri" w:eastAsia="Calibri" w:hAnsi="Calibri" w:cs="Calibri"/>
                <w:bCs/>
                <w:sz w:val="18"/>
                <w:szCs w:val="18"/>
              </w:rPr>
              <w:t xml:space="preserve"> stratešk</w:t>
            </w:r>
            <w:r w:rsidR="00CA0FDA">
              <w:rPr>
                <w:rFonts w:ascii="Calibri" w:eastAsia="Calibri" w:hAnsi="Calibri" w:cs="Calibri"/>
                <w:bCs/>
                <w:sz w:val="18"/>
                <w:szCs w:val="18"/>
              </w:rPr>
              <w:t>i</w:t>
            </w:r>
            <w:r w:rsidRPr="00F34CFA">
              <w:rPr>
                <w:rFonts w:ascii="Calibri" w:eastAsia="Calibri" w:hAnsi="Calibri" w:cs="Calibri"/>
                <w:bCs/>
                <w:sz w:val="18"/>
                <w:szCs w:val="18"/>
              </w:rPr>
              <w:t xml:space="preserve"> dokument razvoja turizma grada Zagreba na principima održivosti s uključenim mjerama za njegovu učinkovitu provedbu </w:t>
            </w:r>
          </w:p>
          <w:p w14:paraId="18620EE4" w14:textId="3E18E993" w:rsidR="00E87AC6" w:rsidRPr="00F34CFA" w:rsidRDefault="00523C74" w:rsidP="00E87AC6">
            <w:pPr>
              <w:numPr>
                <w:ilvl w:val="0"/>
                <w:numId w:val="39"/>
              </w:numPr>
              <w:pBdr>
                <w:bottom w:val="single" w:sz="4" w:space="1" w:color="auto"/>
              </w:pBd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izrad</w:t>
            </w:r>
            <w:r w:rsidR="00CA0FDA">
              <w:rPr>
                <w:rFonts w:ascii="Calibri" w:eastAsia="Calibri" w:hAnsi="Calibri" w:cs="Calibri"/>
                <w:bCs/>
                <w:sz w:val="18"/>
                <w:szCs w:val="18"/>
              </w:rPr>
              <w:t>iti</w:t>
            </w:r>
            <w:r w:rsidRPr="00F34CFA">
              <w:rPr>
                <w:rFonts w:ascii="Calibri" w:eastAsia="Calibri" w:hAnsi="Calibri" w:cs="Calibri"/>
                <w:bCs/>
                <w:sz w:val="18"/>
                <w:szCs w:val="18"/>
              </w:rPr>
              <w:t xml:space="preserve"> satelitsk</w:t>
            </w:r>
            <w:r w:rsidR="00CA0FDA">
              <w:rPr>
                <w:rFonts w:ascii="Calibri" w:eastAsia="Calibri" w:hAnsi="Calibri" w:cs="Calibri"/>
                <w:bCs/>
                <w:sz w:val="18"/>
                <w:szCs w:val="18"/>
              </w:rPr>
              <w:t>i</w:t>
            </w:r>
            <w:r w:rsidRPr="00F34CFA">
              <w:rPr>
                <w:rFonts w:ascii="Calibri" w:eastAsia="Calibri" w:hAnsi="Calibri" w:cs="Calibri"/>
                <w:bCs/>
                <w:sz w:val="18"/>
                <w:szCs w:val="18"/>
              </w:rPr>
              <w:t xml:space="preserve"> računa</w:t>
            </w:r>
            <w:r w:rsidR="00BA606E">
              <w:rPr>
                <w:rFonts w:ascii="Calibri" w:eastAsia="Calibri" w:hAnsi="Calibri" w:cs="Calibri"/>
                <w:bCs/>
                <w:sz w:val="18"/>
                <w:szCs w:val="18"/>
              </w:rPr>
              <w:t xml:space="preserve"> za Grad Zagreb</w:t>
            </w:r>
            <w:r w:rsidRPr="00F34CFA">
              <w:rPr>
                <w:rFonts w:ascii="Calibri" w:eastAsia="Calibri" w:hAnsi="Calibri" w:cs="Calibri"/>
                <w:bCs/>
                <w:sz w:val="18"/>
                <w:szCs w:val="18"/>
              </w:rPr>
              <w:t xml:space="preserve"> </w:t>
            </w:r>
            <w:r w:rsidRPr="00F34CFA" w:rsidDel="00523C74">
              <w:rPr>
                <w:rFonts w:ascii="Calibri" w:eastAsia="Calibri" w:hAnsi="Calibri" w:cs="Calibri"/>
                <w:bCs/>
                <w:sz w:val="18"/>
                <w:szCs w:val="18"/>
              </w:rPr>
              <w:t xml:space="preserve"> </w:t>
            </w:r>
            <w:r w:rsidR="00916548">
              <w:rPr>
                <w:rFonts w:ascii="Calibri" w:eastAsia="Calibri" w:hAnsi="Calibri" w:cs="Calibri"/>
                <w:bCs/>
                <w:sz w:val="18"/>
                <w:szCs w:val="18"/>
              </w:rPr>
              <w:t>(</w:t>
            </w:r>
            <w:r w:rsidR="00916548" w:rsidRPr="00916548">
              <w:rPr>
                <w:rFonts w:ascii="Calibri" w:eastAsia="Calibri" w:hAnsi="Calibri" w:cs="Calibri"/>
                <w:bCs/>
                <w:sz w:val="18"/>
                <w:szCs w:val="18"/>
              </w:rPr>
              <w:t>standardizirani statistički okvir pomoću kojega je moguće pratiti ekonomske učinke turizma</w:t>
            </w:r>
            <w:r w:rsidR="00916548">
              <w:rPr>
                <w:rFonts w:ascii="Calibri" w:eastAsia="Calibri" w:hAnsi="Calibri" w:cs="Calibri"/>
                <w:bCs/>
                <w:sz w:val="18"/>
                <w:szCs w:val="18"/>
              </w:rPr>
              <w:t>)</w:t>
            </w:r>
          </w:p>
          <w:p w14:paraId="04E202FE" w14:textId="16321A08"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odre</w:t>
            </w:r>
            <w:r w:rsidR="00CA0FDA">
              <w:rPr>
                <w:rFonts w:ascii="Calibri" w:eastAsia="Calibri" w:hAnsi="Calibri" w:cs="Calibri"/>
                <w:bCs/>
                <w:sz w:val="18"/>
                <w:szCs w:val="18"/>
              </w:rPr>
              <w:t>diti</w:t>
            </w:r>
            <w:r w:rsidRPr="00F34CFA">
              <w:rPr>
                <w:rFonts w:ascii="Calibri" w:eastAsia="Calibri" w:hAnsi="Calibri" w:cs="Calibri"/>
                <w:bCs/>
                <w:sz w:val="18"/>
                <w:szCs w:val="18"/>
              </w:rPr>
              <w:t xml:space="preserve"> prioritet</w:t>
            </w:r>
            <w:r w:rsidR="00CA0FDA">
              <w:rPr>
                <w:rFonts w:ascii="Calibri" w:eastAsia="Calibri" w:hAnsi="Calibri" w:cs="Calibri"/>
                <w:bCs/>
                <w:sz w:val="18"/>
                <w:szCs w:val="18"/>
              </w:rPr>
              <w:t xml:space="preserve">e </w:t>
            </w:r>
            <w:r w:rsidRPr="00F34CFA">
              <w:rPr>
                <w:rFonts w:ascii="Calibri" w:eastAsia="Calibri" w:hAnsi="Calibri" w:cs="Calibri"/>
                <w:bCs/>
                <w:sz w:val="18"/>
                <w:szCs w:val="18"/>
              </w:rPr>
              <w:t xml:space="preserve">turističkih proizvoda i njihovo poticanje </w:t>
            </w:r>
          </w:p>
          <w:p w14:paraId="6D998CA8" w14:textId="70E4F468"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šir</w:t>
            </w:r>
            <w:r w:rsidR="00CA0FDA">
              <w:rPr>
                <w:rFonts w:ascii="Calibri" w:eastAsia="Calibri" w:hAnsi="Calibri" w:cs="Calibri"/>
                <w:bCs/>
                <w:sz w:val="18"/>
                <w:szCs w:val="18"/>
              </w:rPr>
              <w:t xml:space="preserve">iti </w:t>
            </w:r>
            <w:r w:rsidRPr="00F34CFA">
              <w:rPr>
                <w:rFonts w:ascii="Calibri" w:eastAsia="Calibri" w:hAnsi="Calibri" w:cs="Calibri"/>
                <w:bCs/>
                <w:sz w:val="18"/>
                <w:szCs w:val="18"/>
              </w:rPr>
              <w:t>turističke ponude van užeg centra grada  kroz mapiranje i valorizaciju ponude koja može biti uključena u turistički promet</w:t>
            </w:r>
          </w:p>
          <w:p w14:paraId="36B606B0" w14:textId="720EA6BC"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potica</w:t>
            </w:r>
            <w:r w:rsidR="00CA0FDA">
              <w:rPr>
                <w:rFonts w:ascii="Calibri" w:eastAsia="Calibri" w:hAnsi="Calibri" w:cs="Calibri"/>
                <w:bCs/>
                <w:sz w:val="18"/>
                <w:szCs w:val="18"/>
              </w:rPr>
              <w:t>ti</w:t>
            </w:r>
            <w:r w:rsidRPr="00F34CFA">
              <w:rPr>
                <w:rFonts w:ascii="Calibri" w:eastAsia="Calibri" w:hAnsi="Calibri" w:cs="Calibri"/>
                <w:bCs/>
                <w:sz w:val="18"/>
                <w:szCs w:val="18"/>
              </w:rPr>
              <w:t xml:space="preserve"> i razvoj inovativne turističke ponude; razvijanje novih atrakcija posebno onih koje se temelje na unikatnosti</w:t>
            </w:r>
          </w:p>
          <w:p w14:paraId="002B58F2" w14:textId="4AED738D"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obno</w:t>
            </w:r>
            <w:r w:rsidR="00CA0FDA">
              <w:rPr>
                <w:rFonts w:ascii="Calibri" w:eastAsia="Calibri" w:hAnsi="Calibri" w:cs="Calibri"/>
                <w:bCs/>
                <w:sz w:val="18"/>
                <w:szCs w:val="18"/>
              </w:rPr>
              <w:t>viti</w:t>
            </w:r>
            <w:r w:rsidRPr="00F34CFA">
              <w:rPr>
                <w:rFonts w:ascii="Calibri" w:eastAsia="Calibri" w:hAnsi="Calibri" w:cs="Calibri"/>
                <w:bCs/>
                <w:sz w:val="18"/>
                <w:szCs w:val="18"/>
              </w:rPr>
              <w:t>, revitaliz</w:t>
            </w:r>
            <w:r w:rsidR="00CA0FDA">
              <w:rPr>
                <w:rFonts w:ascii="Calibri" w:eastAsia="Calibri" w:hAnsi="Calibri" w:cs="Calibri"/>
                <w:bCs/>
                <w:sz w:val="18"/>
                <w:szCs w:val="18"/>
              </w:rPr>
              <w:t>irati</w:t>
            </w:r>
            <w:r w:rsidRPr="00F34CFA">
              <w:rPr>
                <w:rFonts w:ascii="Calibri" w:eastAsia="Calibri" w:hAnsi="Calibri" w:cs="Calibri"/>
                <w:bCs/>
                <w:sz w:val="18"/>
                <w:szCs w:val="18"/>
              </w:rPr>
              <w:t>, prenam</w:t>
            </w:r>
            <w:r w:rsidR="00CA0FDA">
              <w:rPr>
                <w:rFonts w:ascii="Calibri" w:eastAsia="Calibri" w:hAnsi="Calibri" w:cs="Calibri"/>
                <w:bCs/>
                <w:sz w:val="18"/>
                <w:szCs w:val="18"/>
              </w:rPr>
              <w:t>jeniti</w:t>
            </w:r>
            <w:r w:rsidRPr="00F34CFA">
              <w:rPr>
                <w:rFonts w:ascii="Calibri" w:eastAsia="Calibri" w:hAnsi="Calibri" w:cs="Calibri"/>
                <w:bCs/>
                <w:sz w:val="18"/>
                <w:szCs w:val="18"/>
              </w:rPr>
              <w:t xml:space="preserve"> postojeć</w:t>
            </w:r>
            <w:r w:rsidR="00CA0FDA">
              <w:rPr>
                <w:rFonts w:ascii="Calibri" w:eastAsia="Calibri" w:hAnsi="Calibri" w:cs="Calibri"/>
                <w:bCs/>
                <w:sz w:val="18"/>
                <w:szCs w:val="18"/>
              </w:rPr>
              <w:t>e</w:t>
            </w:r>
            <w:r w:rsidRPr="00F34CFA">
              <w:rPr>
                <w:rFonts w:ascii="Calibri" w:eastAsia="Calibri" w:hAnsi="Calibri" w:cs="Calibri"/>
                <w:bCs/>
                <w:sz w:val="18"/>
                <w:szCs w:val="18"/>
              </w:rPr>
              <w:t xml:space="preserve"> te stvar</w:t>
            </w:r>
            <w:r w:rsidR="00CA0FDA">
              <w:rPr>
                <w:rFonts w:ascii="Calibri" w:eastAsia="Calibri" w:hAnsi="Calibri" w:cs="Calibri"/>
                <w:bCs/>
                <w:sz w:val="18"/>
                <w:szCs w:val="18"/>
              </w:rPr>
              <w:t>ati</w:t>
            </w:r>
            <w:r w:rsidRPr="00F34CFA">
              <w:rPr>
                <w:rFonts w:ascii="Calibri" w:eastAsia="Calibri" w:hAnsi="Calibri" w:cs="Calibri"/>
                <w:bCs/>
                <w:sz w:val="18"/>
                <w:szCs w:val="18"/>
              </w:rPr>
              <w:t xml:space="preserve"> nov</w:t>
            </w:r>
            <w:r w:rsidR="00CA0FDA">
              <w:rPr>
                <w:rFonts w:ascii="Calibri" w:eastAsia="Calibri" w:hAnsi="Calibri" w:cs="Calibri"/>
                <w:bCs/>
                <w:sz w:val="18"/>
                <w:szCs w:val="18"/>
              </w:rPr>
              <w:t>e</w:t>
            </w:r>
            <w:r w:rsidRPr="00F34CFA">
              <w:rPr>
                <w:rFonts w:ascii="Calibri" w:eastAsia="Calibri" w:hAnsi="Calibri" w:cs="Calibri"/>
                <w:bCs/>
                <w:sz w:val="18"/>
                <w:szCs w:val="18"/>
              </w:rPr>
              <w:t>, moder</w:t>
            </w:r>
            <w:r w:rsidR="00CA0FDA">
              <w:rPr>
                <w:rFonts w:ascii="Calibri" w:eastAsia="Calibri" w:hAnsi="Calibri" w:cs="Calibri"/>
                <w:bCs/>
                <w:sz w:val="18"/>
                <w:szCs w:val="18"/>
              </w:rPr>
              <w:t>ne</w:t>
            </w:r>
            <w:r w:rsidRPr="00F34CFA">
              <w:rPr>
                <w:rFonts w:ascii="Calibri" w:eastAsia="Calibri" w:hAnsi="Calibri" w:cs="Calibri"/>
                <w:bCs/>
                <w:sz w:val="18"/>
                <w:szCs w:val="18"/>
              </w:rPr>
              <w:t xml:space="preserve"> i multifunkcional</w:t>
            </w:r>
            <w:r w:rsidR="00CA0FDA">
              <w:rPr>
                <w:rFonts w:ascii="Calibri" w:eastAsia="Calibri" w:hAnsi="Calibri" w:cs="Calibri"/>
                <w:bCs/>
                <w:sz w:val="18"/>
                <w:szCs w:val="18"/>
              </w:rPr>
              <w:t>ne</w:t>
            </w:r>
            <w:r w:rsidRPr="00F34CFA">
              <w:rPr>
                <w:rFonts w:ascii="Calibri" w:eastAsia="Calibri" w:hAnsi="Calibri" w:cs="Calibri"/>
                <w:bCs/>
                <w:sz w:val="18"/>
                <w:szCs w:val="18"/>
              </w:rPr>
              <w:t xml:space="preserve"> globalno značajn</w:t>
            </w:r>
            <w:r w:rsidR="00CA0FDA">
              <w:rPr>
                <w:rFonts w:ascii="Calibri" w:eastAsia="Calibri" w:hAnsi="Calibri" w:cs="Calibri"/>
                <w:bCs/>
                <w:sz w:val="18"/>
                <w:szCs w:val="18"/>
              </w:rPr>
              <w:t xml:space="preserve">e </w:t>
            </w:r>
            <w:r w:rsidRPr="00F34CFA">
              <w:rPr>
                <w:rFonts w:ascii="Calibri" w:eastAsia="Calibri" w:hAnsi="Calibri" w:cs="Calibri"/>
                <w:bCs/>
                <w:sz w:val="18"/>
                <w:szCs w:val="18"/>
              </w:rPr>
              <w:t>turističk</w:t>
            </w:r>
            <w:r w:rsidR="00CA0FDA">
              <w:rPr>
                <w:rFonts w:ascii="Calibri" w:eastAsia="Calibri" w:hAnsi="Calibri" w:cs="Calibri"/>
                <w:bCs/>
                <w:sz w:val="18"/>
                <w:szCs w:val="18"/>
              </w:rPr>
              <w:t>e</w:t>
            </w:r>
            <w:r w:rsidRPr="00F34CFA">
              <w:rPr>
                <w:rFonts w:ascii="Calibri" w:eastAsia="Calibri" w:hAnsi="Calibri" w:cs="Calibri"/>
                <w:bCs/>
                <w:sz w:val="18"/>
                <w:szCs w:val="18"/>
              </w:rPr>
              <w:t xml:space="preserve"> atrakcij</w:t>
            </w:r>
            <w:r w:rsidR="00CA0FDA">
              <w:rPr>
                <w:rFonts w:ascii="Calibri" w:eastAsia="Calibri" w:hAnsi="Calibri" w:cs="Calibri"/>
                <w:bCs/>
                <w:sz w:val="18"/>
                <w:szCs w:val="18"/>
              </w:rPr>
              <w:t>e</w:t>
            </w:r>
            <w:r w:rsidRPr="00F34CFA">
              <w:rPr>
                <w:rFonts w:ascii="Calibri" w:eastAsia="Calibri" w:hAnsi="Calibri" w:cs="Calibri"/>
                <w:bCs/>
                <w:sz w:val="18"/>
                <w:szCs w:val="18"/>
              </w:rPr>
              <w:t xml:space="preserve"> </w:t>
            </w:r>
          </w:p>
          <w:p w14:paraId="19FFE893" w14:textId="04A8FA32"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moderniz</w:t>
            </w:r>
            <w:r w:rsidR="00CA0FDA">
              <w:rPr>
                <w:rFonts w:ascii="Calibri" w:eastAsia="Calibri" w:hAnsi="Calibri" w:cs="Calibri"/>
                <w:bCs/>
                <w:sz w:val="18"/>
                <w:szCs w:val="18"/>
              </w:rPr>
              <w:t>irati</w:t>
            </w:r>
            <w:r w:rsidRPr="00F34CFA">
              <w:rPr>
                <w:rFonts w:ascii="Calibri" w:eastAsia="Calibri" w:hAnsi="Calibri" w:cs="Calibri"/>
                <w:bCs/>
                <w:sz w:val="18"/>
                <w:szCs w:val="18"/>
              </w:rPr>
              <w:t xml:space="preserve"> zagrebačk</w:t>
            </w:r>
            <w:r w:rsidR="00CA0FDA">
              <w:rPr>
                <w:rFonts w:ascii="Calibri" w:eastAsia="Calibri" w:hAnsi="Calibri" w:cs="Calibri"/>
                <w:bCs/>
                <w:sz w:val="18"/>
                <w:szCs w:val="18"/>
              </w:rPr>
              <w:t>e</w:t>
            </w:r>
            <w:r w:rsidRPr="00F34CFA">
              <w:rPr>
                <w:rFonts w:ascii="Calibri" w:eastAsia="Calibri" w:hAnsi="Calibri" w:cs="Calibri"/>
                <w:bCs/>
                <w:sz w:val="18"/>
                <w:szCs w:val="18"/>
              </w:rPr>
              <w:t xml:space="preserve"> tržni</w:t>
            </w:r>
            <w:r w:rsidR="00CA0FDA">
              <w:rPr>
                <w:rFonts w:ascii="Calibri" w:eastAsia="Calibri" w:hAnsi="Calibri" w:cs="Calibri"/>
                <w:bCs/>
                <w:sz w:val="18"/>
                <w:szCs w:val="18"/>
              </w:rPr>
              <w:t>ce</w:t>
            </w:r>
            <w:r w:rsidRPr="00F34CFA">
              <w:rPr>
                <w:rFonts w:ascii="Calibri" w:eastAsia="Calibri" w:hAnsi="Calibri" w:cs="Calibri"/>
                <w:bCs/>
                <w:sz w:val="18"/>
                <w:szCs w:val="18"/>
              </w:rPr>
              <w:t xml:space="preserve"> i uključ</w:t>
            </w:r>
            <w:r w:rsidR="00CA0FDA">
              <w:rPr>
                <w:rFonts w:ascii="Calibri" w:eastAsia="Calibri" w:hAnsi="Calibri" w:cs="Calibri"/>
                <w:bCs/>
                <w:sz w:val="18"/>
                <w:szCs w:val="18"/>
              </w:rPr>
              <w:t>iti</w:t>
            </w:r>
            <w:r w:rsidRPr="00F34CFA">
              <w:rPr>
                <w:rFonts w:ascii="Calibri" w:eastAsia="Calibri" w:hAnsi="Calibri" w:cs="Calibri"/>
                <w:bCs/>
                <w:sz w:val="18"/>
                <w:szCs w:val="18"/>
              </w:rPr>
              <w:t xml:space="preserve"> u kulturnu i turističku ponudu grada kroz razvoj autohtone gastronomske ponude koja će naglasak staviti na suradnju s domaćim proizvođačima i OPG-ima- omogućiti konzumaciju hrane na tržnicama, što je trenutno zakonski nemoguće</w:t>
            </w:r>
          </w:p>
          <w:p w14:paraId="098A0CC6" w14:textId="5408D9E6"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potica</w:t>
            </w:r>
            <w:r w:rsidR="00CA0FDA">
              <w:rPr>
                <w:rFonts w:ascii="Calibri" w:eastAsia="Calibri" w:hAnsi="Calibri" w:cs="Calibri"/>
                <w:bCs/>
                <w:sz w:val="18"/>
                <w:szCs w:val="18"/>
              </w:rPr>
              <w:t>ti</w:t>
            </w:r>
            <w:r w:rsidRPr="00F34CFA">
              <w:rPr>
                <w:rFonts w:ascii="Calibri" w:eastAsia="Calibri" w:hAnsi="Calibri" w:cs="Calibri"/>
                <w:bCs/>
                <w:sz w:val="18"/>
                <w:szCs w:val="18"/>
              </w:rPr>
              <w:t xml:space="preserve"> razvoja pametnog turizma slijedeći pozitivne europske prakse trendova</w:t>
            </w:r>
          </w:p>
          <w:p w14:paraId="1018C0B6" w14:textId="1C12D773" w:rsidR="00E87AC6" w:rsidRPr="00F34CFA" w:rsidRDefault="00E87AC6" w:rsidP="00E87AC6">
            <w:pPr>
              <w:numPr>
                <w:ilvl w:val="0"/>
                <w:numId w:val="39"/>
              </w:numPr>
              <w:pBdr>
                <w:bottom w:val="single" w:sz="4" w:space="1" w:color="auto"/>
              </w:pBd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jač</w:t>
            </w:r>
            <w:r w:rsidR="00CA0FDA">
              <w:rPr>
                <w:rFonts w:ascii="Calibri" w:eastAsia="Calibri" w:hAnsi="Calibri" w:cs="Calibri"/>
                <w:bCs/>
                <w:sz w:val="18"/>
                <w:szCs w:val="18"/>
              </w:rPr>
              <w:t>ati</w:t>
            </w:r>
            <w:r w:rsidRPr="00F34CFA">
              <w:rPr>
                <w:rFonts w:ascii="Calibri" w:eastAsia="Calibri" w:hAnsi="Calibri" w:cs="Calibri"/>
                <w:bCs/>
                <w:sz w:val="18"/>
                <w:szCs w:val="18"/>
              </w:rPr>
              <w:t xml:space="preserve"> konkurentnosti turizma</w:t>
            </w:r>
          </w:p>
          <w:p w14:paraId="20A5B54E" w14:textId="73121F30" w:rsidR="00E87AC6" w:rsidRPr="00564F60" w:rsidRDefault="00E87AC6" w:rsidP="00E87AC6">
            <w:pPr>
              <w:numPr>
                <w:ilvl w:val="0"/>
                <w:numId w:val="39"/>
              </w:numPr>
              <w:pBdr>
                <w:bottom w:val="single" w:sz="4" w:space="1" w:color="auto"/>
              </w:pBd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razv</w:t>
            </w:r>
            <w:r w:rsidR="00B64BF5">
              <w:rPr>
                <w:rFonts w:ascii="Calibri" w:eastAsia="Calibri" w:hAnsi="Calibri" w:cs="Calibri"/>
                <w:bCs/>
                <w:sz w:val="18"/>
                <w:szCs w:val="18"/>
              </w:rPr>
              <w:t>ijati</w:t>
            </w:r>
            <w:r w:rsidRPr="00F34CFA">
              <w:rPr>
                <w:rFonts w:ascii="Calibri" w:eastAsia="Calibri" w:hAnsi="Calibri" w:cs="Calibri"/>
                <w:bCs/>
                <w:sz w:val="18"/>
                <w:szCs w:val="18"/>
              </w:rPr>
              <w:t xml:space="preserve"> i prom</w:t>
            </w:r>
            <w:r w:rsidR="00B64BF5">
              <w:rPr>
                <w:rFonts w:ascii="Calibri" w:eastAsia="Calibri" w:hAnsi="Calibri" w:cs="Calibri"/>
                <w:bCs/>
                <w:sz w:val="18"/>
                <w:szCs w:val="18"/>
              </w:rPr>
              <w:t>ovirati</w:t>
            </w:r>
            <w:r w:rsidRPr="00F34CFA">
              <w:rPr>
                <w:rFonts w:ascii="Calibri" w:eastAsia="Calibri" w:hAnsi="Calibri" w:cs="Calibri"/>
                <w:bCs/>
                <w:sz w:val="18"/>
                <w:szCs w:val="18"/>
              </w:rPr>
              <w:t xml:space="preserve"> Grada Zagreb kao centar poslovnog, kulturnog, zdravstvenog turizma što bi stvorilo preduvjete za jačanje gospodarstva te razvoj </w:t>
            </w:r>
            <w:r w:rsidRPr="00564F60">
              <w:rPr>
                <w:rFonts w:ascii="Calibri" w:eastAsia="Calibri" w:hAnsi="Calibri" w:cs="Calibri"/>
                <w:bCs/>
                <w:sz w:val="18"/>
                <w:szCs w:val="18"/>
              </w:rPr>
              <w:t xml:space="preserve">turizma 365 dana u godini </w:t>
            </w:r>
          </w:p>
          <w:p w14:paraId="10293D4C" w14:textId="6760166D"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564F60">
              <w:rPr>
                <w:rFonts w:ascii="Calibri" w:eastAsia="Calibri" w:hAnsi="Calibri" w:cs="Calibri"/>
                <w:bCs/>
                <w:sz w:val="18"/>
                <w:szCs w:val="18"/>
              </w:rPr>
              <w:t>izrad</w:t>
            </w:r>
            <w:r w:rsidR="00B64BF5" w:rsidRPr="00564F60">
              <w:rPr>
                <w:rFonts w:ascii="Calibri" w:eastAsia="Calibri" w:hAnsi="Calibri" w:cs="Calibri"/>
                <w:bCs/>
                <w:sz w:val="18"/>
                <w:szCs w:val="18"/>
              </w:rPr>
              <w:t>iti</w:t>
            </w:r>
            <w:r w:rsidRPr="00F34CFA">
              <w:rPr>
                <w:rFonts w:ascii="Calibri" w:eastAsia="Calibri" w:hAnsi="Calibri" w:cs="Calibri"/>
                <w:bCs/>
                <w:sz w:val="18"/>
                <w:szCs w:val="18"/>
              </w:rPr>
              <w:t xml:space="preserve"> karte investicijskih mogućnosti iz sektora turizma</w:t>
            </w:r>
          </w:p>
          <w:p w14:paraId="19214F00" w14:textId="4283223E"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stvar</w:t>
            </w:r>
            <w:r w:rsidR="00B64BF5">
              <w:rPr>
                <w:rFonts w:ascii="Calibri" w:eastAsia="Calibri" w:hAnsi="Calibri" w:cs="Calibri"/>
                <w:bCs/>
                <w:sz w:val="18"/>
                <w:szCs w:val="18"/>
              </w:rPr>
              <w:t>ati</w:t>
            </w:r>
            <w:r w:rsidRPr="00F34CFA">
              <w:rPr>
                <w:rFonts w:ascii="Calibri" w:eastAsia="Calibri" w:hAnsi="Calibri" w:cs="Calibri"/>
                <w:bCs/>
                <w:sz w:val="18"/>
                <w:szCs w:val="18"/>
              </w:rPr>
              <w:t xml:space="preserve"> pozitivne klime za privlačenje stranih investitora s područja turizma</w:t>
            </w:r>
          </w:p>
          <w:p w14:paraId="2DE063EE" w14:textId="420C3067" w:rsidR="00E87AC6" w:rsidRPr="00F34CFA" w:rsidRDefault="00E87AC6" w:rsidP="00E87AC6">
            <w:pPr>
              <w:numPr>
                <w:ilvl w:val="0"/>
                <w:numId w:val="39"/>
              </w:numPr>
              <w:pBdr>
                <w:bottom w:val="single" w:sz="4" w:space="1" w:color="auto"/>
              </w:pBd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potica</w:t>
            </w:r>
            <w:r w:rsidR="00B64BF5">
              <w:rPr>
                <w:rFonts w:ascii="Calibri" w:eastAsia="Calibri" w:hAnsi="Calibri" w:cs="Calibri"/>
                <w:bCs/>
                <w:sz w:val="18"/>
                <w:szCs w:val="18"/>
              </w:rPr>
              <w:t>ti</w:t>
            </w:r>
            <w:r w:rsidRPr="00F34CFA">
              <w:rPr>
                <w:rFonts w:ascii="Calibri" w:eastAsia="Calibri" w:hAnsi="Calibri" w:cs="Calibri"/>
                <w:bCs/>
                <w:sz w:val="18"/>
                <w:szCs w:val="18"/>
              </w:rPr>
              <w:t xml:space="preserve"> JPP-a za razvoj turističke infrastrukture i ponude </w:t>
            </w:r>
          </w:p>
          <w:p w14:paraId="14666C64" w14:textId="53D72E14"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razv</w:t>
            </w:r>
            <w:r w:rsidR="00B64BF5">
              <w:rPr>
                <w:rFonts w:ascii="Calibri" w:eastAsia="Calibri" w:hAnsi="Calibri" w:cs="Calibri"/>
                <w:bCs/>
                <w:sz w:val="18"/>
                <w:szCs w:val="18"/>
              </w:rPr>
              <w:t>ijati</w:t>
            </w:r>
            <w:r w:rsidRPr="00F34CFA">
              <w:rPr>
                <w:rFonts w:ascii="Calibri" w:eastAsia="Calibri" w:hAnsi="Calibri" w:cs="Calibri"/>
                <w:bCs/>
                <w:sz w:val="18"/>
                <w:szCs w:val="18"/>
              </w:rPr>
              <w:t xml:space="preserve"> prometne infrastrukture </w:t>
            </w:r>
          </w:p>
          <w:p w14:paraId="38590462" w14:textId="5183970C" w:rsidR="00E87AC6" w:rsidRPr="00F34CFA" w:rsidRDefault="00E87AC6" w:rsidP="00E87AC6">
            <w:pPr>
              <w:numPr>
                <w:ilvl w:val="0"/>
                <w:numId w:val="39"/>
              </w:numPr>
              <w:tabs>
                <w:tab w:val="num" w:pos="284"/>
                <w:tab w:val="num" w:pos="540"/>
              </w:tabs>
              <w:spacing w:before="60" w:after="60" w:line="240" w:lineRule="auto"/>
              <w:ind w:left="284" w:right="-2" w:hanging="284"/>
              <w:rPr>
                <w:rFonts w:ascii="Calibri" w:eastAsia="Calibri" w:hAnsi="Calibri" w:cs="Calibri"/>
                <w:bCs/>
                <w:sz w:val="18"/>
                <w:szCs w:val="18"/>
              </w:rPr>
            </w:pPr>
            <w:r w:rsidRPr="00F34CFA">
              <w:rPr>
                <w:rFonts w:ascii="Calibri" w:eastAsia="Calibri" w:hAnsi="Calibri" w:cs="Calibri"/>
                <w:bCs/>
                <w:sz w:val="18"/>
                <w:szCs w:val="18"/>
              </w:rPr>
              <w:t>pobolj</w:t>
            </w:r>
            <w:r w:rsidR="00B64BF5">
              <w:rPr>
                <w:rFonts w:ascii="Calibri" w:eastAsia="Calibri" w:hAnsi="Calibri" w:cs="Calibri"/>
                <w:bCs/>
                <w:sz w:val="18"/>
                <w:szCs w:val="18"/>
              </w:rPr>
              <w:t>šati</w:t>
            </w:r>
            <w:r w:rsidRPr="00F34CFA">
              <w:rPr>
                <w:rFonts w:ascii="Calibri" w:eastAsia="Calibri" w:hAnsi="Calibri" w:cs="Calibri"/>
                <w:bCs/>
                <w:sz w:val="18"/>
                <w:szCs w:val="18"/>
              </w:rPr>
              <w:t xml:space="preserve"> prometn</w:t>
            </w:r>
            <w:r w:rsidR="00B64BF5">
              <w:rPr>
                <w:rFonts w:ascii="Calibri" w:eastAsia="Calibri" w:hAnsi="Calibri" w:cs="Calibri"/>
                <w:bCs/>
                <w:sz w:val="18"/>
                <w:szCs w:val="18"/>
              </w:rPr>
              <w:t>u</w:t>
            </w:r>
            <w:r w:rsidRPr="00F34CFA">
              <w:rPr>
                <w:rFonts w:ascii="Calibri" w:eastAsia="Calibri" w:hAnsi="Calibri" w:cs="Calibri"/>
                <w:bCs/>
                <w:sz w:val="18"/>
                <w:szCs w:val="18"/>
              </w:rPr>
              <w:t xml:space="preserve"> avio povezanost Grada Zagreba s europskim gradovima</w:t>
            </w:r>
          </w:p>
          <w:p w14:paraId="4A09E517" w14:textId="77777777" w:rsidR="00E87AC6" w:rsidRPr="00F34CFA" w:rsidRDefault="00E87AC6" w:rsidP="004838D7">
            <w:pPr>
              <w:spacing w:before="60" w:after="60" w:line="276" w:lineRule="auto"/>
              <w:jc w:val="both"/>
              <w:rPr>
                <w:rFonts w:ascii="Calibri" w:eastAsia="Calibri" w:hAnsi="Calibri" w:cs="Calibri"/>
                <w:bCs/>
                <w:sz w:val="18"/>
                <w:szCs w:val="18"/>
              </w:rPr>
            </w:pPr>
          </w:p>
        </w:tc>
      </w:tr>
    </w:tbl>
    <w:p w14:paraId="24B38922" w14:textId="77777777" w:rsidR="00E87AC6" w:rsidRDefault="00E87AC6" w:rsidP="00E87AC6">
      <w:pPr>
        <w:tabs>
          <w:tab w:val="num" w:pos="720"/>
        </w:tabs>
        <w:spacing w:before="60" w:after="60" w:line="240" w:lineRule="auto"/>
        <w:ind w:left="284" w:right="-2"/>
        <w:rPr>
          <w:rFonts w:ascii="Calibri" w:eastAsia="Calibri" w:hAnsi="Calibri" w:cs="Calibri"/>
          <w:sz w:val="18"/>
          <w:szCs w:val="18"/>
        </w:rPr>
      </w:pPr>
    </w:p>
    <w:p w14:paraId="16A0A4E9" w14:textId="77777777" w:rsidR="00E87AC6" w:rsidRDefault="00E87AC6" w:rsidP="00E87AC6">
      <w:pPr>
        <w:tabs>
          <w:tab w:val="num" w:pos="720"/>
        </w:tabs>
        <w:spacing w:before="60" w:after="60" w:line="240" w:lineRule="auto"/>
        <w:ind w:left="284" w:right="-2"/>
        <w:rPr>
          <w:rFonts w:ascii="Calibri" w:eastAsia="Calibri" w:hAnsi="Calibri" w:cs="Calibri"/>
          <w:sz w:val="18"/>
          <w:szCs w:val="18"/>
        </w:rPr>
      </w:pPr>
    </w:p>
    <w:p w14:paraId="2BE34408" w14:textId="77777777" w:rsidR="00E87AC6" w:rsidRPr="00BE198E" w:rsidRDefault="00E87AC6" w:rsidP="00C45A8C">
      <w:pPr>
        <w:pStyle w:val="Stil2"/>
      </w:pPr>
      <w:bookmarkStart w:id="95" w:name="_Toc97123816"/>
      <w:r w:rsidRPr="00BE198E">
        <w:t>3.3. POLJOPRIVREDA, ŠUMARSTVO I LOVSTVO</w:t>
      </w:r>
      <w:bookmarkEnd w:id="95"/>
    </w:p>
    <w:p w14:paraId="48B5A206" w14:textId="77777777" w:rsidR="00E87AC6" w:rsidRPr="00BE198E" w:rsidRDefault="00E87AC6" w:rsidP="00C45A8C">
      <w:pPr>
        <w:pStyle w:val="Stil2"/>
      </w:pPr>
      <w:bookmarkStart w:id="96" w:name="_Toc97123817"/>
      <w:r w:rsidRPr="00BE198E">
        <w:t>3.3.1. Stanje poljoprivredne proizvodnje i ruralnog prostora</w:t>
      </w:r>
      <w:bookmarkEnd w:id="96"/>
    </w:p>
    <w:p w14:paraId="7B15A614" w14:textId="77777777" w:rsidR="00E87AC6" w:rsidRPr="00BE198E" w:rsidRDefault="00E87AC6" w:rsidP="00E87AC6">
      <w:pPr>
        <w:spacing w:after="200" w:line="240" w:lineRule="auto"/>
        <w:jc w:val="both"/>
        <w:rPr>
          <w:rFonts w:ascii="Calibri" w:eastAsia="Calibri" w:hAnsi="Calibri" w:cs="Calibri"/>
          <w:lang w:eastAsia="x-none"/>
        </w:rPr>
      </w:pPr>
      <w:r w:rsidRPr="00BE198E">
        <w:rPr>
          <w:rFonts w:ascii="Calibri" w:eastAsia="Calibri" w:hAnsi="Calibri" w:cs="Calibri"/>
          <w:lang w:eastAsia="x-none"/>
        </w:rPr>
        <w:t>Od ukupno 641,32 km</w:t>
      </w:r>
      <w:r w:rsidRPr="00BE198E">
        <w:rPr>
          <w:rFonts w:ascii="Calibri" w:eastAsia="Calibri" w:hAnsi="Calibri" w:cs="Calibri"/>
          <w:vertAlign w:val="superscript"/>
          <w:lang w:eastAsia="x-none"/>
        </w:rPr>
        <w:t>2</w:t>
      </w:r>
      <w:r w:rsidRPr="00BE198E">
        <w:rPr>
          <w:rFonts w:ascii="Calibri" w:eastAsia="Calibri" w:hAnsi="Calibri" w:cs="Calibri"/>
          <w:lang w:eastAsia="x-none"/>
        </w:rPr>
        <w:t xml:space="preserve"> koliko obuhvaća područje Grada Zagreba, približno dvije trećine površine nalaze se izvan građevinskog područja naselja Grada Zagreba. Jedna trećina odnosno 21.732,80 ha ili 33,9 % ukupne površine Grada je poljoprivredno zemljište. Poljoprivredna proizvodnja se danas odvija na oko 14.300,00 ha poljoprivrednih površina, </w:t>
      </w:r>
      <w:r>
        <w:rPr>
          <w:rFonts w:ascii="Calibri" w:eastAsia="Calibri" w:hAnsi="Calibri" w:cs="Calibri"/>
          <w:lang w:eastAsia="x-none"/>
        </w:rPr>
        <w:t xml:space="preserve">a </w:t>
      </w:r>
      <w:r w:rsidRPr="00BE198E">
        <w:rPr>
          <w:rFonts w:ascii="Calibri" w:eastAsia="Calibri" w:hAnsi="Calibri" w:cs="Calibri"/>
          <w:lang w:eastAsia="x-none"/>
        </w:rPr>
        <w:t>najvećim dijelom je koncentrirana u sjeveroistočnom i južnom dijelu Grada Zagreba. Na temelju provedene inventarizacije poljoprivrednog zemljišta te procjene pogodnosti poljoprivrednog zemljišta, klime i reljefa za pojedine vrste proizvodnje, na području Grada Zagreba postoje uvjeti i prioritetne zone u prostoru za razvoj pov</w:t>
      </w:r>
      <w:r>
        <w:rPr>
          <w:rFonts w:ascii="Calibri" w:eastAsia="Calibri" w:hAnsi="Calibri" w:cs="Calibri"/>
          <w:lang w:eastAsia="x-none"/>
        </w:rPr>
        <w:t>rtlarske</w:t>
      </w:r>
      <w:r w:rsidRPr="00BE198E">
        <w:rPr>
          <w:rFonts w:ascii="Calibri" w:eastAsia="Calibri" w:hAnsi="Calibri" w:cs="Calibri"/>
          <w:lang w:eastAsia="x-none"/>
        </w:rPr>
        <w:t>, ratarske, stočarske, vinogradarske i voćarske proizvodnje. Sadašnja struktura korištenja zemljišta je: 70 % ratarske kulture, 22% su livade u službi stočarske proizvodnje,</w:t>
      </w:r>
      <w:r>
        <w:rPr>
          <w:rFonts w:ascii="Calibri" w:eastAsia="Calibri" w:hAnsi="Calibri" w:cs="Calibri"/>
          <w:lang w:eastAsia="x-none"/>
        </w:rPr>
        <w:t xml:space="preserve"> </w:t>
      </w:r>
      <w:r w:rsidRPr="00BE198E">
        <w:rPr>
          <w:rFonts w:ascii="Calibri" w:eastAsia="Calibri" w:hAnsi="Calibri" w:cs="Calibri"/>
          <w:lang w:eastAsia="x-none"/>
        </w:rPr>
        <w:t>dok se preostali dio zemljišta koristi u svrhu povr</w:t>
      </w:r>
      <w:r>
        <w:rPr>
          <w:rFonts w:ascii="Calibri" w:eastAsia="Calibri" w:hAnsi="Calibri" w:cs="Calibri"/>
          <w:lang w:eastAsia="x-none"/>
        </w:rPr>
        <w:t>tlarstva</w:t>
      </w:r>
      <w:r w:rsidRPr="00BE198E">
        <w:rPr>
          <w:rFonts w:ascii="Calibri" w:eastAsia="Calibri" w:hAnsi="Calibri" w:cs="Calibri"/>
          <w:lang w:eastAsia="x-none"/>
        </w:rPr>
        <w:t>, voćarske i vinogradarske proizvodnje</w:t>
      </w:r>
      <w:r w:rsidRPr="00BE198E" w:rsidDel="0056251A">
        <w:rPr>
          <w:rFonts w:ascii="Calibri" w:eastAsia="Calibri" w:hAnsi="Calibri" w:cs="Calibri"/>
          <w:lang w:eastAsia="x-none"/>
        </w:rPr>
        <w:t xml:space="preserve"> </w:t>
      </w:r>
      <w:r w:rsidRPr="00BE198E">
        <w:rPr>
          <w:rFonts w:ascii="Calibri" w:eastAsia="Calibri" w:hAnsi="Calibri" w:cs="Calibri"/>
          <w:lang w:eastAsia="x-none"/>
        </w:rPr>
        <w:t xml:space="preserve">. Vlasnička struktura pokazuje da se u vlasništvu države nalazi manji dio zemljišta od oko 20 %, dok je u privatnome vlasništvu veći dio od oko 80 %. Iznimno je nepovoljna veličina privatnog posjeda i rascjepkanost parcela, prosječna veličina posjeda je 3,5 ha. Gotovo 75 % </w:t>
      </w:r>
      <w:r>
        <w:rPr>
          <w:rFonts w:ascii="Calibri" w:eastAsia="Calibri" w:hAnsi="Calibri" w:cs="Calibri"/>
          <w:lang w:eastAsia="x-none"/>
        </w:rPr>
        <w:t xml:space="preserve">poljoprivrednih </w:t>
      </w:r>
      <w:r w:rsidRPr="00BE198E">
        <w:rPr>
          <w:rFonts w:ascii="Calibri" w:eastAsia="Calibri" w:hAnsi="Calibri" w:cs="Calibri"/>
          <w:lang w:eastAsia="x-none"/>
        </w:rPr>
        <w:t>gospodarstava na području Grada Zagreba ima manje od 5,0 ha zemljišta.</w:t>
      </w:r>
    </w:p>
    <w:p w14:paraId="08914EAC" w14:textId="77777777" w:rsidR="00E87AC6" w:rsidRDefault="00E87AC6" w:rsidP="00E87AC6">
      <w:pPr>
        <w:spacing w:after="200" w:line="240" w:lineRule="auto"/>
        <w:jc w:val="both"/>
        <w:rPr>
          <w:rFonts w:ascii="Calibri" w:eastAsia="Calibri" w:hAnsi="Calibri" w:cs="Calibri"/>
          <w:lang w:eastAsia="x-none"/>
        </w:rPr>
      </w:pPr>
      <w:r w:rsidRPr="00BE198E">
        <w:rPr>
          <w:rFonts w:ascii="Calibri" w:eastAsia="Calibri" w:hAnsi="Calibri" w:cs="Calibri"/>
          <w:lang w:eastAsia="x-none"/>
        </w:rPr>
        <w:t>Prema podacima iz Upisnika poljoprivrednika Agencije za plaćanja u poljoprivredi, ribarstvu i ruralnom razvoju na području Grada Zagreba u 2020. je bilo upisano 6.362 poljoprivrednih gospodarstava.  Najveći dio gospodarstva po strukturi čine obiteljska gospodarstva i to 5.895, dok preostali dio čine obrti, trgovačka društva</w:t>
      </w:r>
      <w:r>
        <w:rPr>
          <w:rFonts w:ascii="Calibri" w:eastAsia="Calibri" w:hAnsi="Calibri" w:cs="Calibri"/>
          <w:lang w:eastAsia="x-none"/>
        </w:rPr>
        <w:t xml:space="preserve"> i</w:t>
      </w:r>
      <w:r w:rsidRPr="00BE198E">
        <w:rPr>
          <w:rFonts w:ascii="Calibri" w:eastAsia="Calibri" w:hAnsi="Calibri" w:cs="Calibri"/>
          <w:lang w:eastAsia="x-none"/>
        </w:rPr>
        <w:t xml:space="preserve"> zadruge. Ukupna prijavljena površina poljoprivrednog zemljišta u ARKOD sustavu 2020. koju su koristila ta poljoprivredna gospodarstva iznosila je 7.692ha. </w:t>
      </w:r>
      <w:r>
        <w:rPr>
          <w:rFonts w:ascii="Calibri" w:eastAsia="Calibri" w:hAnsi="Calibri" w:cs="Calibri"/>
          <w:lang w:eastAsia="x-none"/>
        </w:rPr>
        <w:t>N</w:t>
      </w:r>
      <w:r w:rsidRPr="00BE198E">
        <w:rPr>
          <w:rFonts w:ascii="Calibri" w:eastAsia="Calibri" w:hAnsi="Calibri" w:cs="Calibri"/>
          <w:lang w:eastAsia="x-none"/>
        </w:rPr>
        <w:t>ajviše je poljoprivrednog zemljišta pod oranicama (5.384 ha) i livadama (1.691 ha). Pod površinom od 268,38 ha nalaze se voćnjaci, vinogradi na površini od 87,13 ha dok staklenici na površini od 40,98 ha. Suvremena poljoprivredna proizvodnja, naglašeno voćarstvo i povrćarstvo, za sigurne i kvalitetne prinose zahtjeva navodnjavanje. Karakteristika današnjeg navodnjavanja poljoprivrednih površina je nedostatak projektne dokumentacije, pedološke osnove i analize uvjeta navodnjavanja kao i istraživanja zahvata vode i motrenja stanja podzemnih voda.</w:t>
      </w:r>
    </w:p>
    <w:p w14:paraId="4983C445" w14:textId="77777777" w:rsidR="00E87AC6" w:rsidRPr="00BE198E" w:rsidRDefault="00E87AC6" w:rsidP="00E87AC6">
      <w:pPr>
        <w:spacing w:after="200" w:line="240" w:lineRule="auto"/>
        <w:jc w:val="both"/>
        <w:rPr>
          <w:rFonts w:ascii="Calibri" w:eastAsia="Calibri" w:hAnsi="Calibri" w:cs="Calibri"/>
          <w:lang w:eastAsia="x-none"/>
        </w:rPr>
      </w:pPr>
      <w:r w:rsidRPr="00BE198E">
        <w:rPr>
          <w:rFonts w:ascii="Calibri" w:eastAsia="Calibri" w:hAnsi="Calibri" w:cs="Calibri"/>
          <w:lang w:eastAsia="x-none"/>
        </w:rPr>
        <w:t>Na području Grada Zagreba evidentirano je ukupno 2.293</w:t>
      </w:r>
      <w:r>
        <w:rPr>
          <w:rFonts w:ascii="Calibri" w:eastAsia="Calibri" w:hAnsi="Calibri" w:cs="Calibri"/>
          <w:lang w:eastAsia="x-none"/>
        </w:rPr>
        <w:t xml:space="preserve"> </w:t>
      </w:r>
      <w:r w:rsidRPr="00BE198E">
        <w:rPr>
          <w:rFonts w:ascii="Calibri" w:eastAsia="Calibri" w:hAnsi="Calibri" w:cs="Calibri"/>
          <w:lang w:eastAsia="x-none"/>
        </w:rPr>
        <w:t xml:space="preserve">farmi različitog stočnog fonda (prema Hrvatskom centru za hranu, JRDŽ-u, 2020). Od životinja u najvećem broju uzgajaju se svinje, 7.231 komada, ovce 1.337 komada, goveda 3.350, pčele – broj pčelinjih zajednica 1.287, dok se u manjem broju uzgajaju konji te koze.  </w:t>
      </w:r>
    </w:p>
    <w:p w14:paraId="53043A98" w14:textId="77777777" w:rsidR="00BC280C" w:rsidRPr="00750CDE" w:rsidRDefault="00BC280C" w:rsidP="00BC280C">
      <w:pPr>
        <w:pStyle w:val="Odlomakpopisa"/>
        <w:spacing w:line="240" w:lineRule="auto"/>
        <w:ind w:left="0"/>
        <w:contextualSpacing w:val="0"/>
        <w:jc w:val="both"/>
        <w:rPr>
          <w:rFonts w:ascii="Calibri" w:eastAsia="Calibri" w:hAnsi="Calibri" w:cs="Calibri"/>
          <w:lang w:eastAsia="x-none"/>
        </w:rPr>
      </w:pPr>
      <w:r w:rsidRPr="00E82C00">
        <w:rPr>
          <w:rFonts w:cs="Calibri"/>
        </w:rPr>
        <w:t>Na području Grada Zagreba nalazi se 13 gradskih vrtova s više od 2000 vrtnih parcela na površini od 22,57 ha</w:t>
      </w:r>
      <w:r>
        <w:rPr>
          <w:rFonts w:cs="Calibri"/>
        </w:rPr>
        <w:t>.</w:t>
      </w:r>
      <w:r w:rsidRPr="00BE198E">
        <w:rPr>
          <w:rFonts w:ascii="Calibri" w:eastAsia="Calibri" w:hAnsi="Calibri" w:cs="Calibri"/>
          <w:lang w:eastAsia="x-none"/>
        </w:rPr>
        <w:t xml:space="preserve"> </w:t>
      </w:r>
      <w:r w:rsidRPr="00750CDE">
        <w:rPr>
          <w:rFonts w:ascii="Calibri" w:eastAsia="Calibri" w:hAnsi="Calibri" w:cs="Calibri"/>
          <w:lang w:eastAsia="x-none"/>
        </w:rPr>
        <w:t xml:space="preserve">Od 2013. godine provodi se projekt „Gradski vrtovi“ s ciljem da se građanima omogući korištenje obradivog zemljišta u gradu u svrhu proizvodnje hrane (povrća i jagodičastog voća), začinskog bilja i cvijeća za vlastite potrebe. </w:t>
      </w:r>
    </w:p>
    <w:p w14:paraId="5F0D7636" w14:textId="4B754C1B" w:rsidR="00E87AC6" w:rsidRDefault="00E87AC6" w:rsidP="00E87AC6">
      <w:pPr>
        <w:spacing w:after="200" w:line="240" w:lineRule="auto"/>
        <w:jc w:val="both"/>
        <w:rPr>
          <w:rFonts w:ascii="Calibri" w:eastAsia="Calibri" w:hAnsi="Calibri" w:cs="Calibri"/>
          <w:lang w:eastAsia="x-none"/>
        </w:rPr>
      </w:pPr>
      <w:r w:rsidRPr="00BE198E">
        <w:rPr>
          <w:rFonts w:ascii="Calibri" w:eastAsia="Calibri" w:hAnsi="Calibri" w:cs="Calibri"/>
          <w:lang w:eastAsia="x-none"/>
        </w:rPr>
        <w:t>Prema podacima iz ARKOD baze podataka na dan 31.12.2020. Grad Zagreb je u razdoblju 2016.-2020. godine izdvojio znatna sredstva za poticanje poljoprivredne proizvodnje te su u tu sv</w:t>
      </w:r>
      <w:r>
        <w:rPr>
          <w:rFonts w:ascii="Calibri" w:eastAsia="Calibri" w:hAnsi="Calibri" w:cs="Calibri"/>
          <w:lang w:eastAsia="x-none"/>
        </w:rPr>
        <w:t>r</w:t>
      </w:r>
      <w:r w:rsidRPr="00BE198E">
        <w:rPr>
          <w:rFonts w:ascii="Calibri" w:eastAsia="Calibri" w:hAnsi="Calibri" w:cs="Calibri"/>
          <w:lang w:eastAsia="x-none"/>
        </w:rPr>
        <w:t xml:space="preserve">hu isplaćena sredstva u iznosu od 29.307.159,43 kuna u vidu potpora za razvoj primarne poljoprivredne proizvodnje, preradu i promociju poljoprivrednih proizvoda. </w:t>
      </w:r>
      <w:r w:rsidRPr="007E1DAC">
        <w:rPr>
          <w:rFonts w:ascii="Calibri" w:eastAsia="Calibri" w:hAnsi="Calibri" w:cs="Calibri"/>
          <w:lang w:eastAsia="x-none"/>
        </w:rPr>
        <w:t xml:space="preserve">Uslijed proglašenja epidemije bolesti COVID-19 početkom 2020. godine, te nakon toga i obustave rada tržnica brojni mali poljoprivredni proizvođači ostali su bez mogućnosti izravnog trženja svojih poljoprivrednih proizvoda </w:t>
      </w:r>
      <w:r>
        <w:rPr>
          <w:rFonts w:ascii="Calibri" w:eastAsia="Calibri" w:hAnsi="Calibri" w:cs="Calibri"/>
          <w:lang w:eastAsia="x-none"/>
        </w:rPr>
        <w:t xml:space="preserve">te je </w:t>
      </w:r>
      <w:r w:rsidRPr="007E1DAC">
        <w:rPr>
          <w:rFonts w:ascii="Calibri" w:eastAsia="Calibri" w:hAnsi="Calibri" w:cs="Calibri"/>
          <w:lang w:eastAsia="x-none"/>
        </w:rPr>
        <w:t xml:space="preserve">Gradska skupština Grada Zagreba donijela Odluku o potporama Grada Zagreba radi ublažavanja negativnih posljedica uzrokovanih </w:t>
      </w:r>
      <w:r>
        <w:rPr>
          <w:rFonts w:ascii="Calibri" w:eastAsia="Calibri" w:hAnsi="Calibri" w:cs="Calibri"/>
          <w:lang w:eastAsia="x-none"/>
        </w:rPr>
        <w:t>epi</w:t>
      </w:r>
      <w:r w:rsidRPr="007E1DAC">
        <w:rPr>
          <w:rFonts w:ascii="Calibri" w:eastAsia="Calibri" w:hAnsi="Calibri" w:cs="Calibri"/>
          <w:lang w:eastAsia="x-none"/>
        </w:rPr>
        <w:t xml:space="preserve">demijom COVID-19 na izravno trženje poljoprivrednim proizvodima. </w:t>
      </w:r>
    </w:p>
    <w:p w14:paraId="00DFD36F" w14:textId="77777777" w:rsidR="0019215D" w:rsidRPr="00750CDE" w:rsidRDefault="0019215D" w:rsidP="0019215D">
      <w:pPr>
        <w:spacing w:after="200" w:line="240" w:lineRule="auto"/>
        <w:jc w:val="both"/>
        <w:rPr>
          <w:rFonts w:ascii="Calibri" w:eastAsia="Calibri" w:hAnsi="Calibri" w:cs="Calibri"/>
          <w:lang w:eastAsia="x-none"/>
        </w:rPr>
      </w:pPr>
      <w:r>
        <w:rPr>
          <w:rFonts w:cs="Calibri"/>
        </w:rPr>
        <w:t xml:space="preserve">S ciljem razvoja održivog sustava urbane prehrane pokrenut je projekt „Plavi ceker“. </w:t>
      </w:r>
      <w:r w:rsidRPr="00E82C00">
        <w:rPr>
          <w:rFonts w:cs="Calibri"/>
        </w:rPr>
        <w:t>„Plavi ceker“ je  OZNAKA - namijenjena označavanju, isticanju i promociji najkvalitetnijih poljoprivredno-prehrambenih proizvoda proizvedenih na području Republike Hrvatske. Grad Zagreb ovim projektom želi iskazati pomoć malim i srednjim proizvođačima u plasmanu njihovih visokokvalitetnih proizvoda na zagrebačko tržište što je vidljivo iz slogana: „ od hrvatskog polja do zagrebačkog stola  - jamči Zagreb“.</w:t>
      </w:r>
      <w:r>
        <w:rPr>
          <w:rFonts w:cs="Calibri"/>
        </w:rPr>
        <w:t xml:space="preserve"> </w:t>
      </w:r>
    </w:p>
    <w:tbl>
      <w:tblPr>
        <w:tblW w:w="0" w:type="auto"/>
        <w:tblLook w:val="01E0" w:firstRow="1" w:lastRow="1" w:firstColumn="1" w:lastColumn="1" w:noHBand="0" w:noVBand="0"/>
      </w:tblPr>
      <w:tblGrid>
        <w:gridCol w:w="4540"/>
        <w:gridCol w:w="4532"/>
      </w:tblGrid>
      <w:tr w:rsidR="00E87AC6" w:rsidRPr="00BE198E" w14:paraId="52109CCC" w14:textId="77777777" w:rsidTr="004838D7">
        <w:tc>
          <w:tcPr>
            <w:tcW w:w="4540" w:type="dxa"/>
            <w:shd w:val="clear" w:color="auto" w:fill="D9D9D9"/>
          </w:tcPr>
          <w:p w14:paraId="227CEC15" w14:textId="77777777" w:rsidR="00E87AC6" w:rsidRPr="00BE198E" w:rsidRDefault="00E87AC6" w:rsidP="004838D7">
            <w:pPr>
              <w:spacing w:before="60" w:after="60" w:line="276" w:lineRule="auto"/>
              <w:jc w:val="both"/>
              <w:rPr>
                <w:rFonts w:ascii="Calibri" w:eastAsia="Calibri" w:hAnsi="Calibri" w:cs="Calibri"/>
                <w:b/>
                <w:color w:val="000000"/>
                <w:sz w:val="18"/>
                <w:szCs w:val="18"/>
              </w:rPr>
            </w:pPr>
            <w:r w:rsidRPr="00BE198E">
              <w:rPr>
                <w:rFonts w:ascii="Calibri" w:eastAsia="Calibri" w:hAnsi="Calibri" w:cs="Calibri"/>
                <w:b/>
                <w:color w:val="000000"/>
                <w:sz w:val="18"/>
                <w:szCs w:val="18"/>
              </w:rPr>
              <w:t>RAZVOJNI PROBLEMI</w:t>
            </w:r>
          </w:p>
          <w:p w14:paraId="2D799BC6" w14:textId="77777777" w:rsidR="00E87AC6" w:rsidRDefault="00E87AC6" w:rsidP="00E87AC6">
            <w:pPr>
              <w:pStyle w:val="Odlomakpopisa"/>
              <w:numPr>
                <w:ilvl w:val="0"/>
                <w:numId w:val="1"/>
              </w:numPr>
              <w:rPr>
                <w:rFonts w:ascii="Calibri" w:eastAsia="Calibri" w:hAnsi="Calibri" w:cs="Calibri"/>
                <w:sz w:val="18"/>
                <w:szCs w:val="18"/>
              </w:rPr>
            </w:pPr>
            <w:r w:rsidRPr="003363AC">
              <w:rPr>
                <w:rFonts w:ascii="Calibri" w:eastAsia="Calibri" w:hAnsi="Calibri" w:cs="Calibri"/>
                <w:sz w:val="18"/>
                <w:szCs w:val="18"/>
              </w:rPr>
              <w:t xml:space="preserve">mala prosječna </w:t>
            </w:r>
            <w:r>
              <w:rPr>
                <w:rFonts w:ascii="Calibri" w:eastAsia="Calibri" w:hAnsi="Calibri" w:cs="Calibri"/>
                <w:sz w:val="18"/>
                <w:szCs w:val="18"/>
              </w:rPr>
              <w:t xml:space="preserve">zemljišna </w:t>
            </w:r>
            <w:r w:rsidRPr="003363AC">
              <w:rPr>
                <w:rFonts w:ascii="Calibri" w:eastAsia="Calibri" w:hAnsi="Calibri" w:cs="Calibri"/>
                <w:sz w:val="18"/>
                <w:szCs w:val="18"/>
              </w:rPr>
              <w:t>površina po gospodarstvu koja ne dopušta brz rast na temeljima ekonomije razmjera te usitnjenost i rascjepkanost posjeda</w:t>
            </w:r>
          </w:p>
          <w:p w14:paraId="2D59D2F9" w14:textId="77777777" w:rsidR="00E87AC6" w:rsidRDefault="00E87AC6" w:rsidP="00E87AC6">
            <w:pPr>
              <w:pStyle w:val="Odlomakpopisa"/>
              <w:numPr>
                <w:ilvl w:val="0"/>
                <w:numId w:val="1"/>
              </w:numPr>
              <w:spacing w:after="0"/>
              <w:rPr>
                <w:rFonts w:ascii="Calibri" w:eastAsia="Calibri" w:hAnsi="Calibri" w:cs="Calibri"/>
                <w:sz w:val="18"/>
                <w:szCs w:val="18"/>
              </w:rPr>
            </w:pPr>
            <w:r w:rsidRPr="00F34CFA">
              <w:rPr>
                <w:rFonts w:ascii="Calibri" w:eastAsia="Calibri" w:hAnsi="Calibri" w:cs="Calibri"/>
                <w:sz w:val="18"/>
                <w:szCs w:val="18"/>
              </w:rPr>
              <w:t>slaba zainteresiranost mladih za poljoprivredu</w:t>
            </w:r>
          </w:p>
          <w:p w14:paraId="69FF5E57" w14:textId="77777777" w:rsidR="00E87AC6" w:rsidRDefault="00E87AC6" w:rsidP="00E87AC6">
            <w:pPr>
              <w:pStyle w:val="Odlomakpopisa"/>
              <w:numPr>
                <w:ilvl w:val="0"/>
                <w:numId w:val="1"/>
              </w:numPr>
              <w:spacing w:after="0"/>
              <w:rPr>
                <w:rFonts w:ascii="Calibri" w:eastAsia="Calibri" w:hAnsi="Calibri" w:cs="Calibri"/>
                <w:sz w:val="18"/>
                <w:szCs w:val="18"/>
              </w:rPr>
            </w:pPr>
            <w:r w:rsidRPr="00F34CFA">
              <w:rPr>
                <w:rFonts w:ascii="Calibri" w:eastAsia="Calibri" w:hAnsi="Calibri" w:cs="Calibri"/>
                <w:sz w:val="18"/>
                <w:szCs w:val="18"/>
              </w:rPr>
              <w:t>nedovoljna zainteresiranost i znanje za bavljenje poljoprivrednom proizvodnjom u eko održivom sustavu gospodarenja</w:t>
            </w:r>
          </w:p>
          <w:p w14:paraId="04D31F2D" w14:textId="77777777" w:rsidR="00E87AC6" w:rsidRPr="00F34CFA" w:rsidRDefault="00E87AC6" w:rsidP="00E87AC6">
            <w:pPr>
              <w:pStyle w:val="Odlomakpopisa"/>
              <w:numPr>
                <w:ilvl w:val="0"/>
                <w:numId w:val="1"/>
              </w:numPr>
              <w:spacing w:after="0"/>
              <w:rPr>
                <w:rFonts w:ascii="Calibri" w:eastAsia="Calibri" w:hAnsi="Calibri" w:cs="Calibri"/>
                <w:sz w:val="18"/>
                <w:szCs w:val="18"/>
              </w:rPr>
            </w:pPr>
            <w:r w:rsidRPr="00F34CFA">
              <w:rPr>
                <w:rFonts w:ascii="Calibri" w:eastAsia="Calibri" w:hAnsi="Calibri" w:cs="Calibri"/>
                <w:sz w:val="18"/>
                <w:szCs w:val="18"/>
              </w:rPr>
              <w:t>nemogućnost korištenja sredstava iz Programa ruralnog razvoja kad su u pitanju mjere s investicijskim karakterom (4 i 6) ukoliko je lokacija proizvodnje Grad Zagreb zbog načina bodovanja stupnja razvijenosti županije ulaganja</w:t>
            </w:r>
          </w:p>
          <w:p w14:paraId="325FC695" w14:textId="77777777"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sidRPr="00BE198E">
              <w:rPr>
                <w:rFonts w:ascii="Calibri" w:eastAsia="Calibri" w:hAnsi="Calibri" w:cs="Calibri"/>
                <w:sz w:val="18"/>
                <w:szCs w:val="18"/>
              </w:rPr>
              <w:t xml:space="preserve">nedostatak novih lokacija za gradske vrtove na prostorima u vlasništvu Grada </w:t>
            </w:r>
          </w:p>
          <w:p w14:paraId="1F5215AD" w14:textId="77777777" w:rsidR="00E87AC6" w:rsidRPr="0062690C" w:rsidRDefault="00E87AC6" w:rsidP="00E87AC6">
            <w:pPr>
              <w:numPr>
                <w:ilvl w:val="0"/>
                <w:numId w:val="1"/>
              </w:numPr>
              <w:spacing w:before="60" w:after="60" w:line="240" w:lineRule="auto"/>
              <w:contextualSpacing/>
              <w:jc w:val="both"/>
              <w:rPr>
                <w:rFonts w:ascii="Calibri" w:eastAsia="Calibri" w:hAnsi="Calibri" w:cs="Calibri"/>
                <w:sz w:val="18"/>
                <w:szCs w:val="18"/>
              </w:rPr>
            </w:pPr>
            <w:r>
              <w:rPr>
                <w:rFonts w:ascii="Calibri" w:eastAsia="Calibri" w:hAnsi="Calibri" w:cs="Calibri"/>
                <w:sz w:val="18"/>
                <w:szCs w:val="18"/>
              </w:rPr>
              <w:t>n</w:t>
            </w:r>
            <w:r w:rsidRPr="0062690C">
              <w:rPr>
                <w:rFonts w:ascii="Calibri" w:eastAsia="Calibri" w:hAnsi="Calibri" w:cs="Calibri"/>
                <w:sz w:val="18"/>
                <w:szCs w:val="18"/>
              </w:rPr>
              <w:t>eusklađenost stvarnih potreba i mogućnosti s</w:t>
            </w:r>
          </w:p>
          <w:p w14:paraId="2B1655A1" w14:textId="77777777" w:rsidR="00E87AC6" w:rsidRPr="00BE198E" w:rsidRDefault="00E87AC6" w:rsidP="004838D7">
            <w:pPr>
              <w:spacing w:before="60" w:after="60" w:line="240" w:lineRule="auto"/>
              <w:ind w:left="720"/>
              <w:contextualSpacing/>
              <w:jc w:val="both"/>
              <w:rPr>
                <w:rFonts w:ascii="Calibri" w:eastAsia="Calibri" w:hAnsi="Calibri" w:cs="Calibri"/>
                <w:sz w:val="18"/>
                <w:szCs w:val="18"/>
              </w:rPr>
            </w:pPr>
            <w:r w:rsidRPr="0062690C">
              <w:rPr>
                <w:rFonts w:ascii="Calibri" w:eastAsia="Calibri" w:hAnsi="Calibri" w:cs="Calibri"/>
                <w:sz w:val="18"/>
                <w:szCs w:val="18"/>
              </w:rPr>
              <w:t>normativima u prostorno‐planskoj dokumentaciji</w:t>
            </w:r>
            <w:r>
              <w:rPr>
                <w:rFonts w:ascii="Calibri" w:eastAsia="Calibri" w:hAnsi="Calibri" w:cs="Calibri"/>
                <w:sz w:val="18"/>
                <w:szCs w:val="18"/>
              </w:rPr>
              <w:t xml:space="preserve"> </w:t>
            </w:r>
          </w:p>
          <w:p w14:paraId="12DFDBC8" w14:textId="77777777"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sidRPr="00BE198E">
              <w:rPr>
                <w:rFonts w:ascii="Calibri" w:eastAsia="Calibri" w:hAnsi="Calibri" w:cs="Calibri"/>
                <w:sz w:val="18"/>
                <w:szCs w:val="18"/>
              </w:rPr>
              <w:t>needuciranost o značenju deklaracija i označavanju proizvoda, nepovjerljivost i nesnalaženje potrošača</w:t>
            </w:r>
          </w:p>
          <w:p w14:paraId="30FF366A" w14:textId="77777777"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sidRPr="00BE198E">
              <w:rPr>
                <w:rFonts w:ascii="Calibri" w:eastAsia="Calibri" w:hAnsi="Calibri" w:cs="Calibri"/>
                <w:sz w:val="18"/>
                <w:szCs w:val="18"/>
              </w:rPr>
              <w:t>velik broj malih proizvođača sa diferenciranom i nestandardiziranom  ponudom,</w:t>
            </w:r>
          </w:p>
          <w:p w14:paraId="49D7412C" w14:textId="77777777"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sidRPr="00BE198E">
              <w:rPr>
                <w:rFonts w:ascii="Calibri" w:eastAsia="Calibri" w:hAnsi="Calibri" w:cs="Calibri"/>
                <w:sz w:val="18"/>
                <w:szCs w:val="18"/>
              </w:rPr>
              <w:t>neorganiziranost proizvođača - mali broj proizvođačkih organizacija, zadruga i drugih oblika udruživanja,</w:t>
            </w:r>
          </w:p>
          <w:p w14:paraId="61EC0575" w14:textId="77777777"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sidRPr="00BE198E">
              <w:rPr>
                <w:rFonts w:ascii="Calibri" w:eastAsia="Calibri" w:hAnsi="Calibri" w:cs="Calibri"/>
                <w:sz w:val="18"/>
                <w:szCs w:val="18"/>
              </w:rPr>
              <w:t>nedostatak prepoznatljivih distributivnih kanala sa naglaskom na domaće, provjereno i kvalitetno,</w:t>
            </w:r>
          </w:p>
          <w:p w14:paraId="369A367E" w14:textId="77777777" w:rsidR="00E87AC6" w:rsidRDefault="00E87AC6" w:rsidP="00E87AC6">
            <w:pPr>
              <w:numPr>
                <w:ilvl w:val="0"/>
                <w:numId w:val="1"/>
              </w:numPr>
              <w:spacing w:before="60" w:after="60" w:line="240" w:lineRule="auto"/>
              <w:contextualSpacing/>
              <w:jc w:val="both"/>
              <w:rPr>
                <w:rFonts w:ascii="Calibri" w:eastAsia="Calibri" w:hAnsi="Calibri" w:cs="Calibri"/>
                <w:sz w:val="18"/>
                <w:szCs w:val="18"/>
              </w:rPr>
            </w:pPr>
            <w:r w:rsidRPr="00BE198E">
              <w:rPr>
                <w:rFonts w:ascii="Calibri" w:eastAsia="Calibri" w:hAnsi="Calibri" w:cs="Calibri"/>
                <w:sz w:val="18"/>
                <w:szCs w:val="18"/>
              </w:rPr>
              <w:t>loše gospodarenje viškovima i otpadom od hrane</w:t>
            </w:r>
          </w:p>
          <w:p w14:paraId="55294335" w14:textId="77777777" w:rsidR="00E87AC6" w:rsidRPr="0062690C" w:rsidRDefault="00E87AC6" w:rsidP="00E87AC6">
            <w:pPr>
              <w:numPr>
                <w:ilvl w:val="0"/>
                <w:numId w:val="1"/>
              </w:numPr>
              <w:spacing w:before="60" w:after="60" w:line="240" w:lineRule="auto"/>
              <w:contextualSpacing/>
              <w:jc w:val="both"/>
              <w:rPr>
                <w:rFonts w:ascii="Calibri" w:eastAsia="Calibri" w:hAnsi="Calibri" w:cs="Calibri"/>
                <w:sz w:val="18"/>
                <w:szCs w:val="18"/>
              </w:rPr>
            </w:pPr>
            <w:r>
              <w:rPr>
                <w:rFonts w:ascii="Calibri" w:eastAsia="Calibri" w:hAnsi="Calibri" w:cs="Calibri"/>
                <w:sz w:val="18"/>
                <w:szCs w:val="18"/>
              </w:rPr>
              <w:t>u</w:t>
            </w:r>
            <w:r w:rsidRPr="0062690C">
              <w:rPr>
                <w:rFonts w:ascii="Calibri" w:eastAsia="Calibri" w:hAnsi="Calibri" w:cs="Calibri"/>
                <w:sz w:val="18"/>
                <w:szCs w:val="18"/>
              </w:rPr>
              <w:t>brzana urbanizacija koja mijenja vizuru ruralnog prostora te stvara potencijalne konfliktne situacije među starosjediocima i novim stanovnicima</w:t>
            </w:r>
          </w:p>
          <w:p w14:paraId="2B043461" w14:textId="77777777" w:rsidR="00E87AC6" w:rsidRPr="0062690C" w:rsidRDefault="00E87AC6" w:rsidP="00E87AC6">
            <w:pPr>
              <w:numPr>
                <w:ilvl w:val="0"/>
                <w:numId w:val="1"/>
              </w:numPr>
              <w:spacing w:before="60" w:after="60" w:line="240" w:lineRule="auto"/>
              <w:contextualSpacing/>
              <w:jc w:val="both"/>
              <w:rPr>
                <w:rFonts w:ascii="Calibri" w:eastAsia="Calibri" w:hAnsi="Calibri" w:cs="Calibri"/>
                <w:sz w:val="18"/>
                <w:szCs w:val="18"/>
              </w:rPr>
            </w:pPr>
            <w:r>
              <w:rPr>
                <w:rFonts w:ascii="Calibri" w:eastAsia="Calibri" w:hAnsi="Calibri" w:cs="Calibri"/>
                <w:sz w:val="18"/>
                <w:szCs w:val="18"/>
              </w:rPr>
              <w:t>p</w:t>
            </w:r>
            <w:r w:rsidRPr="0062690C">
              <w:rPr>
                <w:rFonts w:ascii="Calibri" w:eastAsia="Calibri" w:hAnsi="Calibri" w:cs="Calibri"/>
                <w:sz w:val="18"/>
                <w:szCs w:val="18"/>
              </w:rPr>
              <w:t>roizvodna i tržišna neorganiziranost proizvođača</w:t>
            </w:r>
          </w:p>
          <w:p w14:paraId="5B5A24D5" w14:textId="77777777" w:rsidR="00E87AC6" w:rsidRPr="00BE198E" w:rsidRDefault="00E87AC6" w:rsidP="004838D7">
            <w:pPr>
              <w:spacing w:before="60" w:after="60" w:line="240" w:lineRule="auto"/>
              <w:ind w:left="720"/>
              <w:contextualSpacing/>
              <w:jc w:val="both"/>
              <w:rPr>
                <w:rFonts w:ascii="Calibri" w:eastAsia="Calibri" w:hAnsi="Calibri" w:cs="Calibri"/>
                <w:sz w:val="18"/>
                <w:szCs w:val="18"/>
              </w:rPr>
            </w:pPr>
          </w:p>
          <w:p w14:paraId="2C43F70A" w14:textId="77777777" w:rsidR="00E87AC6" w:rsidRPr="00BE198E" w:rsidRDefault="00E87AC6" w:rsidP="004838D7">
            <w:pPr>
              <w:spacing w:before="60" w:after="60" w:line="240" w:lineRule="auto"/>
              <w:ind w:left="720"/>
              <w:contextualSpacing/>
              <w:jc w:val="both"/>
              <w:rPr>
                <w:rFonts w:ascii="Calibri" w:eastAsia="Calibri" w:hAnsi="Calibri" w:cs="Calibri"/>
                <w:sz w:val="18"/>
                <w:szCs w:val="18"/>
              </w:rPr>
            </w:pPr>
          </w:p>
          <w:p w14:paraId="4669178B" w14:textId="77777777" w:rsidR="00E87AC6" w:rsidRPr="00BE198E" w:rsidRDefault="00E87AC6" w:rsidP="004838D7">
            <w:pPr>
              <w:spacing w:before="60" w:after="60" w:line="276" w:lineRule="auto"/>
              <w:jc w:val="both"/>
              <w:rPr>
                <w:rFonts w:ascii="Calibri" w:eastAsia="Calibri" w:hAnsi="Calibri" w:cs="Calibri"/>
                <w:b/>
                <w:color w:val="000000"/>
                <w:sz w:val="20"/>
                <w:szCs w:val="20"/>
              </w:rPr>
            </w:pPr>
          </w:p>
        </w:tc>
        <w:tc>
          <w:tcPr>
            <w:tcW w:w="4532" w:type="dxa"/>
            <w:shd w:val="clear" w:color="auto" w:fill="99CCFF"/>
          </w:tcPr>
          <w:p w14:paraId="48B91254" w14:textId="77777777" w:rsidR="00E87AC6" w:rsidRPr="00BE198E" w:rsidRDefault="00E87AC6" w:rsidP="004838D7">
            <w:pPr>
              <w:spacing w:before="60" w:after="60" w:line="276" w:lineRule="auto"/>
              <w:jc w:val="both"/>
              <w:rPr>
                <w:rFonts w:ascii="Calibri" w:eastAsia="Calibri" w:hAnsi="Calibri" w:cs="Calibri"/>
                <w:b/>
                <w:color w:val="000000"/>
                <w:sz w:val="18"/>
                <w:szCs w:val="18"/>
              </w:rPr>
            </w:pPr>
            <w:r w:rsidRPr="00BE198E">
              <w:rPr>
                <w:rFonts w:ascii="Calibri" w:eastAsia="Calibri" w:hAnsi="Calibri" w:cs="Calibri"/>
                <w:b/>
                <w:color w:val="000000"/>
                <w:sz w:val="18"/>
                <w:szCs w:val="18"/>
              </w:rPr>
              <w:t>RAZVOJNE POTREBE</w:t>
            </w:r>
          </w:p>
          <w:p w14:paraId="7F00EA64" w14:textId="77777777" w:rsidR="00E87AC6" w:rsidRDefault="00E87AC6" w:rsidP="00E87AC6">
            <w:pPr>
              <w:pStyle w:val="Odlomakpopisa"/>
              <w:numPr>
                <w:ilvl w:val="0"/>
                <w:numId w:val="41"/>
              </w:numPr>
              <w:spacing w:after="0"/>
              <w:rPr>
                <w:rFonts w:ascii="Calibri" w:eastAsia="Calibri" w:hAnsi="Calibri" w:cs="Calibri"/>
                <w:sz w:val="18"/>
                <w:szCs w:val="18"/>
              </w:rPr>
            </w:pPr>
            <w:r w:rsidRPr="00174456">
              <w:rPr>
                <w:rFonts w:ascii="Calibri" w:eastAsia="Calibri" w:hAnsi="Calibri" w:cs="Calibri"/>
                <w:sz w:val="18"/>
                <w:szCs w:val="18"/>
              </w:rPr>
              <w:t>okrupnjavanje i uređenje zemljišta - provedba komasacije, otkup privatnog zemljišta te dodjela državnog zemljišta u zakup</w:t>
            </w:r>
          </w:p>
          <w:p w14:paraId="612D0246" w14:textId="6F539166" w:rsidR="00E87AC6" w:rsidRDefault="00E87AC6" w:rsidP="00E87AC6">
            <w:pPr>
              <w:pStyle w:val="Odlomakpopisa"/>
              <w:numPr>
                <w:ilvl w:val="0"/>
                <w:numId w:val="41"/>
              </w:numPr>
              <w:spacing w:after="0"/>
              <w:rPr>
                <w:rFonts w:ascii="Calibri" w:eastAsia="Calibri" w:hAnsi="Calibri" w:cs="Calibri"/>
                <w:sz w:val="18"/>
                <w:szCs w:val="18"/>
              </w:rPr>
            </w:pPr>
            <w:r w:rsidRPr="00E1480B">
              <w:rPr>
                <w:rFonts w:ascii="Calibri" w:eastAsia="Calibri" w:hAnsi="Calibri" w:cs="Calibri"/>
                <w:sz w:val="18"/>
                <w:szCs w:val="18"/>
              </w:rPr>
              <w:t>stvar</w:t>
            </w:r>
            <w:r w:rsidR="00E457A3">
              <w:rPr>
                <w:rFonts w:ascii="Calibri" w:eastAsia="Calibri" w:hAnsi="Calibri" w:cs="Calibri"/>
                <w:sz w:val="18"/>
                <w:szCs w:val="18"/>
              </w:rPr>
              <w:t>ati</w:t>
            </w:r>
            <w:r w:rsidRPr="00E1480B">
              <w:rPr>
                <w:rFonts w:ascii="Calibri" w:eastAsia="Calibri" w:hAnsi="Calibri" w:cs="Calibri"/>
                <w:sz w:val="18"/>
                <w:szCs w:val="18"/>
              </w:rPr>
              <w:t xml:space="preserve"> posebn</w:t>
            </w:r>
            <w:r w:rsidR="00E457A3">
              <w:rPr>
                <w:rFonts w:ascii="Calibri" w:eastAsia="Calibri" w:hAnsi="Calibri" w:cs="Calibri"/>
                <w:sz w:val="18"/>
                <w:szCs w:val="18"/>
              </w:rPr>
              <w:t>e</w:t>
            </w:r>
            <w:r w:rsidRPr="00E1480B">
              <w:rPr>
                <w:rFonts w:ascii="Calibri" w:eastAsia="Calibri" w:hAnsi="Calibri" w:cs="Calibri"/>
                <w:sz w:val="18"/>
                <w:szCs w:val="18"/>
              </w:rPr>
              <w:t xml:space="preserve"> poticajn</w:t>
            </w:r>
            <w:r w:rsidR="00E457A3">
              <w:rPr>
                <w:rFonts w:ascii="Calibri" w:eastAsia="Calibri" w:hAnsi="Calibri" w:cs="Calibri"/>
                <w:sz w:val="18"/>
                <w:szCs w:val="18"/>
              </w:rPr>
              <w:t>e</w:t>
            </w:r>
            <w:r w:rsidRPr="00E1480B">
              <w:rPr>
                <w:rFonts w:ascii="Calibri" w:eastAsia="Calibri" w:hAnsi="Calibri" w:cs="Calibri"/>
                <w:sz w:val="18"/>
                <w:szCs w:val="18"/>
              </w:rPr>
              <w:t xml:space="preserve"> program</w:t>
            </w:r>
            <w:r w:rsidR="00E457A3">
              <w:rPr>
                <w:rFonts w:ascii="Calibri" w:eastAsia="Calibri" w:hAnsi="Calibri" w:cs="Calibri"/>
                <w:sz w:val="18"/>
                <w:szCs w:val="18"/>
              </w:rPr>
              <w:t>e</w:t>
            </w:r>
            <w:r w:rsidRPr="00E1480B">
              <w:rPr>
                <w:rFonts w:ascii="Calibri" w:eastAsia="Calibri" w:hAnsi="Calibri" w:cs="Calibri"/>
                <w:sz w:val="18"/>
                <w:szCs w:val="18"/>
              </w:rPr>
              <w:t xml:space="preserve"> za</w:t>
            </w:r>
            <w:r w:rsidR="00E457A3">
              <w:rPr>
                <w:rFonts w:ascii="Calibri" w:eastAsia="Calibri" w:hAnsi="Calibri" w:cs="Calibri"/>
                <w:sz w:val="18"/>
                <w:szCs w:val="18"/>
              </w:rPr>
              <w:t xml:space="preserve"> </w:t>
            </w:r>
            <w:r w:rsidRPr="00E1480B">
              <w:rPr>
                <w:rFonts w:ascii="Calibri" w:eastAsia="Calibri" w:hAnsi="Calibri" w:cs="Calibri"/>
                <w:sz w:val="18"/>
                <w:szCs w:val="18"/>
              </w:rPr>
              <w:t>učenike i studente poljoprivrednog smjera kako bi započeli vlastitu poljoprivrednu proizvodnju</w:t>
            </w:r>
          </w:p>
          <w:p w14:paraId="16BD32B1" w14:textId="07EAAF6D" w:rsidR="00E87AC6" w:rsidRDefault="00E87AC6" w:rsidP="00E87AC6">
            <w:pPr>
              <w:pStyle w:val="Odlomakpopisa"/>
              <w:numPr>
                <w:ilvl w:val="0"/>
                <w:numId w:val="41"/>
              </w:numPr>
              <w:spacing w:after="0"/>
              <w:rPr>
                <w:rFonts w:ascii="Calibri" w:eastAsia="Calibri" w:hAnsi="Calibri" w:cs="Calibri"/>
                <w:sz w:val="18"/>
                <w:szCs w:val="18"/>
              </w:rPr>
            </w:pPr>
            <w:r w:rsidRPr="00E1480B">
              <w:rPr>
                <w:rFonts w:ascii="Calibri" w:eastAsia="Calibri" w:hAnsi="Calibri" w:cs="Calibri"/>
                <w:sz w:val="18"/>
                <w:szCs w:val="18"/>
              </w:rPr>
              <w:t>poveća</w:t>
            </w:r>
            <w:r w:rsidR="00E457A3">
              <w:rPr>
                <w:rFonts w:ascii="Calibri" w:eastAsia="Calibri" w:hAnsi="Calibri" w:cs="Calibri"/>
                <w:sz w:val="18"/>
                <w:szCs w:val="18"/>
              </w:rPr>
              <w:t>ti</w:t>
            </w:r>
            <w:r w:rsidRPr="00E1480B">
              <w:rPr>
                <w:rFonts w:ascii="Calibri" w:eastAsia="Calibri" w:hAnsi="Calibri" w:cs="Calibri"/>
                <w:sz w:val="18"/>
                <w:szCs w:val="18"/>
              </w:rPr>
              <w:t xml:space="preserve"> znanj</w:t>
            </w:r>
            <w:r w:rsidR="00E457A3">
              <w:rPr>
                <w:rFonts w:ascii="Calibri" w:eastAsia="Calibri" w:hAnsi="Calibri" w:cs="Calibri"/>
                <w:sz w:val="18"/>
                <w:szCs w:val="18"/>
              </w:rPr>
              <w:t>e</w:t>
            </w:r>
            <w:r w:rsidRPr="00E1480B">
              <w:rPr>
                <w:rFonts w:ascii="Calibri" w:eastAsia="Calibri" w:hAnsi="Calibri" w:cs="Calibri"/>
                <w:sz w:val="18"/>
                <w:szCs w:val="18"/>
              </w:rPr>
              <w:t xml:space="preserve"> /stručn</w:t>
            </w:r>
            <w:r w:rsidR="00E457A3">
              <w:rPr>
                <w:rFonts w:ascii="Calibri" w:eastAsia="Calibri" w:hAnsi="Calibri" w:cs="Calibri"/>
                <w:sz w:val="18"/>
                <w:szCs w:val="18"/>
              </w:rPr>
              <w:t>u</w:t>
            </w:r>
            <w:r w:rsidRPr="00E1480B">
              <w:rPr>
                <w:rFonts w:ascii="Calibri" w:eastAsia="Calibri" w:hAnsi="Calibri" w:cs="Calibri"/>
                <w:sz w:val="18"/>
                <w:szCs w:val="18"/>
              </w:rPr>
              <w:t xml:space="preserve"> sprem</w:t>
            </w:r>
            <w:r w:rsidR="00E457A3">
              <w:rPr>
                <w:rFonts w:ascii="Calibri" w:eastAsia="Calibri" w:hAnsi="Calibri" w:cs="Calibri"/>
                <w:sz w:val="18"/>
                <w:szCs w:val="18"/>
              </w:rPr>
              <w:t>u</w:t>
            </w:r>
            <w:r w:rsidRPr="00E1480B">
              <w:rPr>
                <w:rFonts w:ascii="Calibri" w:eastAsia="Calibri" w:hAnsi="Calibri" w:cs="Calibri"/>
                <w:sz w:val="18"/>
                <w:szCs w:val="18"/>
              </w:rPr>
              <w:t>/ stručn</w:t>
            </w:r>
            <w:r w:rsidR="00E457A3">
              <w:rPr>
                <w:rFonts w:ascii="Calibri" w:eastAsia="Calibri" w:hAnsi="Calibri" w:cs="Calibri"/>
                <w:sz w:val="18"/>
                <w:szCs w:val="18"/>
              </w:rPr>
              <w:t>u</w:t>
            </w:r>
            <w:r w:rsidRPr="00E1480B">
              <w:rPr>
                <w:rFonts w:ascii="Calibri" w:eastAsia="Calibri" w:hAnsi="Calibri" w:cs="Calibri"/>
                <w:sz w:val="18"/>
                <w:szCs w:val="18"/>
              </w:rPr>
              <w:t xml:space="preserve"> osposobljenosti poljoprivrednika</w:t>
            </w:r>
          </w:p>
          <w:p w14:paraId="734E5C0E" w14:textId="7DAAAF4F" w:rsidR="00E87AC6" w:rsidRPr="00AD4CC3" w:rsidRDefault="00E87AC6" w:rsidP="00E87AC6">
            <w:pPr>
              <w:pStyle w:val="Odlomakpopisa"/>
              <w:numPr>
                <w:ilvl w:val="0"/>
                <w:numId w:val="41"/>
              </w:numPr>
              <w:spacing w:after="0"/>
              <w:rPr>
                <w:rFonts w:ascii="Calibri" w:eastAsia="Calibri" w:hAnsi="Calibri" w:cs="Calibri"/>
                <w:sz w:val="18"/>
                <w:szCs w:val="18"/>
              </w:rPr>
            </w:pPr>
            <w:r w:rsidRPr="00E1480B">
              <w:rPr>
                <w:rFonts w:ascii="Calibri" w:eastAsia="Calibri" w:hAnsi="Calibri" w:cs="Calibri"/>
                <w:sz w:val="18"/>
                <w:szCs w:val="18"/>
              </w:rPr>
              <w:t>defini</w:t>
            </w:r>
            <w:r w:rsidR="00E457A3">
              <w:rPr>
                <w:rFonts w:ascii="Calibri" w:eastAsia="Calibri" w:hAnsi="Calibri" w:cs="Calibri"/>
                <w:sz w:val="18"/>
                <w:szCs w:val="18"/>
              </w:rPr>
              <w:t>rati</w:t>
            </w:r>
            <w:r w:rsidRPr="00E1480B">
              <w:rPr>
                <w:rFonts w:ascii="Calibri" w:eastAsia="Calibri" w:hAnsi="Calibri" w:cs="Calibri"/>
                <w:sz w:val="18"/>
                <w:szCs w:val="18"/>
              </w:rPr>
              <w:t xml:space="preserve"> posebn</w:t>
            </w:r>
            <w:r w:rsidR="00E457A3">
              <w:rPr>
                <w:rFonts w:ascii="Calibri" w:eastAsia="Calibri" w:hAnsi="Calibri" w:cs="Calibri"/>
                <w:sz w:val="18"/>
                <w:szCs w:val="18"/>
              </w:rPr>
              <w:t>e</w:t>
            </w:r>
            <w:r w:rsidRPr="00E1480B">
              <w:rPr>
                <w:rFonts w:ascii="Calibri" w:eastAsia="Calibri" w:hAnsi="Calibri" w:cs="Calibri"/>
                <w:sz w:val="18"/>
                <w:szCs w:val="18"/>
              </w:rPr>
              <w:t xml:space="preserve"> potica</w:t>
            </w:r>
            <w:r>
              <w:rPr>
                <w:rFonts w:ascii="Calibri" w:eastAsia="Calibri" w:hAnsi="Calibri" w:cs="Calibri"/>
                <w:sz w:val="18"/>
                <w:szCs w:val="18"/>
              </w:rPr>
              <w:t>j</w:t>
            </w:r>
            <w:r w:rsidRPr="00E1480B">
              <w:rPr>
                <w:rFonts w:ascii="Calibri" w:eastAsia="Calibri" w:hAnsi="Calibri" w:cs="Calibri"/>
                <w:sz w:val="18"/>
                <w:szCs w:val="18"/>
              </w:rPr>
              <w:t>n</w:t>
            </w:r>
            <w:r w:rsidR="00E457A3">
              <w:rPr>
                <w:rFonts w:ascii="Calibri" w:eastAsia="Calibri" w:hAnsi="Calibri" w:cs="Calibri"/>
                <w:sz w:val="18"/>
                <w:szCs w:val="18"/>
              </w:rPr>
              <w:t>e</w:t>
            </w:r>
            <w:r w:rsidRPr="00E1480B">
              <w:rPr>
                <w:rFonts w:ascii="Calibri" w:eastAsia="Calibri" w:hAnsi="Calibri" w:cs="Calibri"/>
                <w:sz w:val="18"/>
                <w:szCs w:val="18"/>
              </w:rPr>
              <w:t xml:space="preserve"> kriterij</w:t>
            </w:r>
            <w:r w:rsidR="00E457A3">
              <w:rPr>
                <w:rFonts w:ascii="Calibri" w:eastAsia="Calibri" w:hAnsi="Calibri" w:cs="Calibri"/>
                <w:sz w:val="18"/>
                <w:szCs w:val="18"/>
              </w:rPr>
              <w:t>e</w:t>
            </w:r>
            <w:r w:rsidRPr="00E1480B">
              <w:rPr>
                <w:rFonts w:ascii="Calibri" w:eastAsia="Calibri" w:hAnsi="Calibri" w:cs="Calibri"/>
                <w:sz w:val="18"/>
                <w:szCs w:val="18"/>
              </w:rPr>
              <w:t xml:space="preserve"> za ekološka gospodarstva </w:t>
            </w:r>
          </w:p>
          <w:p w14:paraId="202E884A" w14:textId="76A07FD0" w:rsidR="00E87AC6" w:rsidRDefault="00E87AC6" w:rsidP="00E87AC6">
            <w:pPr>
              <w:pStyle w:val="Odlomakpopisa"/>
              <w:numPr>
                <w:ilvl w:val="0"/>
                <w:numId w:val="41"/>
              </w:numPr>
              <w:spacing w:after="0"/>
              <w:rPr>
                <w:rFonts w:ascii="Calibri" w:eastAsia="Calibri" w:hAnsi="Calibri" w:cs="Calibri"/>
                <w:sz w:val="18"/>
                <w:szCs w:val="18"/>
              </w:rPr>
            </w:pPr>
            <w:r>
              <w:rPr>
                <w:rFonts w:ascii="Calibri" w:eastAsia="Calibri" w:hAnsi="Calibri" w:cs="Calibri"/>
                <w:sz w:val="18"/>
                <w:szCs w:val="18"/>
              </w:rPr>
              <w:t>uvo</w:t>
            </w:r>
            <w:r w:rsidR="00E457A3">
              <w:rPr>
                <w:rFonts w:ascii="Calibri" w:eastAsia="Calibri" w:hAnsi="Calibri" w:cs="Calibri"/>
                <w:sz w:val="18"/>
                <w:szCs w:val="18"/>
              </w:rPr>
              <w:t>diti</w:t>
            </w:r>
            <w:r>
              <w:rPr>
                <w:rFonts w:ascii="Calibri" w:eastAsia="Calibri" w:hAnsi="Calibri" w:cs="Calibri"/>
                <w:sz w:val="18"/>
                <w:szCs w:val="18"/>
              </w:rPr>
              <w:t xml:space="preserve"> </w:t>
            </w:r>
            <w:r w:rsidRPr="00E1480B">
              <w:rPr>
                <w:rFonts w:ascii="Calibri" w:eastAsia="Calibri" w:hAnsi="Calibri" w:cs="Calibri"/>
                <w:sz w:val="18"/>
                <w:szCs w:val="18"/>
              </w:rPr>
              <w:t>posebn</w:t>
            </w:r>
            <w:r w:rsidR="00E457A3">
              <w:rPr>
                <w:rFonts w:ascii="Calibri" w:eastAsia="Calibri" w:hAnsi="Calibri" w:cs="Calibri"/>
                <w:sz w:val="18"/>
                <w:szCs w:val="18"/>
              </w:rPr>
              <w:t>e</w:t>
            </w:r>
            <w:r w:rsidRPr="00E1480B">
              <w:rPr>
                <w:rFonts w:ascii="Calibri" w:eastAsia="Calibri" w:hAnsi="Calibri" w:cs="Calibri"/>
                <w:sz w:val="18"/>
                <w:szCs w:val="18"/>
              </w:rPr>
              <w:t xml:space="preserve"> poticajn</w:t>
            </w:r>
            <w:r w:rsidR="00E457A3">
              <w:rPr>
                <w:rFonts w:ascii="Calibri" w:eastAsia="Calibri" w:hAnsi="Calibri" w:cs="Calibri"/>
                <w:sz w:val="18"/>
                <w:szCs w:val="18"/>
              </w:rPr>
              <w:t>e</w:t>
            </w:r>
            <w:r w:rsidRPr="00E1480B">
              <w:rPr>
                <w:rFonts w:ascii="Calibri" w:eastAsia="Calibri" w:hAnsi="Calibri" w:cs="Calibri"/>
                <w:sz w:val="18"/>
                <w:szCs w:val="18"/>
              </w:rPr>
              <w:t xml:space="preserve"> mjer</w:t>
            </w:r>
            <w:r w:rsidR="00E457A3">
              <w:rPr>
                <w:rFonts w:ascii="Calibri" w:eastAsia="Calibri" w:hAnsi="Calibri" w:cs="Calibri"/>
                <w:sz w:val="18"/>
                <w:szCs w:val="18"/>
              </w:rPr>
              <w:t>e</w:t>
            </w:r>
            <w:r w:rsidRPr="00E1480B">
              <w:rPr>
                <w:rFonts w:ascii="Calibri" w:eastAsia="Calibri" w:hAnsi="Calibri" w:cs="Calibri"/>
                <w:sz w:val="18"/>
                <w:szCs w:val="18"/>
              </w:rPr>
              <w:t xml:space="preserve"> za proizvođače voća, povrća, ljekovitog bilja i cvijeća</w:t>
            </w:r>
            <w:r>
              <w:rPr>
                <w:rFonts w:ascii="Calibri" w:eastAsia="Calibri" w:hAnsi="Calibri" w:cs="Calibri"/>
                <w:sz w:val="18"/>
                <w:szCs w:val="18"/>
              </w:rPr>
              <w:t>, a</w:t>
            </w:r>
            <w:r w:rsidRPr="00E1480B">
              <w:rPr>
                <w:rFonts w:ascii="Calibri" w:eastAsia="Calibri" w:hAnsi="Calibri" w:cs="Calibri"/>
                <w:sz w:val="18"/>
                <w:szCs w:val="18"/>
              </w:rPr>
              <w:t xml:space="preserve"> koji proizvode u granicama GUP-a Grada Zagreba ili Sesveta</w:t>
            </w:r>
          </w:p>
          <w:p w14:paraId="342F3475" w14:textId="09EFEF5E" w:rsidR="00E87AC6" w:rsidRDefault="00E87AC6" w:rsidP="00E87AC6">
            <w:pPr>
              <w:pStyle w:val="Odlomakpopisa"/>
              <w:numPr>
                <w:ilvl w:val="0"/>
                <w:numId w:val="41"/>
              </w:numPr>
              <w:spacing w:after="0"/>
              <w:rPr>
                <w:rFonts w:ascii="Calibri" w:eastAsia="Calibri" w:hAnsi="Calibri" w:cs="Calibri"/>
                <w:sz w:val="18"/>
                <w:szCs w:val="18"/>
              </w:rPr>
            </w:pPr>
            <w:r w:rsidRPr="00E1480B">
              <w:rPr>
                <w:rFonts w:ascii="Calibri" w:eastAsia="Calibri" w:hAnsi="Calibri" w:cs="Calibri"/>
                <w:sz w:val="18"/>
                <w:szCs w:val="18"/>
              </w:rPr>
              <w:t>uvo</w:t>
            </w:r>
            <w:r w:rsidR="00E457A3">
              <w:rPr>
                <w:rFonts w:ascii="Calibri" w:eastAsia="Calibri" w:hAnsi="Calibri" w:cs="Calibri"/>
                <w:sz w:val="18"/>
                <w:szCs w:val="18"/>
              </w:rPr>
              <w:t>diti</w:t>
            </w:r>
            <w:r w:rsidRPr="00E1480B">
              <w:rPr>
                <w:rFonts w:ascii="Calibri" w:eastAsia="Calibri" w:hAnsi="Calibri" w:cs="Calibri"/>
                <w:sz w:val="18"/>
                <w:szCs w:val="18"/>
              </w:rPr>
              <w:t xml:space="preserve"> županijske savjetodavne službe </w:t>
            </w:r>
          </w:p>
          <w:p w14:paraId="11FC417A" w14:textId="768ED1C7" w:rsidR="00E87AC6" w:rsidRPr="00E1480B" w:rsidRDefault="00E87AC6" w:rsidP="00E87AC6">
            <w:pPr>
              <w:pStyle w:val="Odlomakpopisa"/>
              <w:numPr>
                <w:ilvl w:val="0"/>
                <w:numId w:val="41"/>
              </w:numPr>
              <w:spacing w:after="0"/>
              <w:rPr>
                <w:rFonts w:ascii="Calibri" w:eastAsia="Calibri" w:hAnsi="Calibri" w:cs="Calibri"/>
                <w:sz w:val="18"/>
                <w:szCs w:val="18"/>
              </w:rPr>
            </w:pPr>
            <w:r w:rsidRPr="00E1480B">
              <w:rPr>
                <w:rFonts w:ascii="Calibri" w:eastAsia="Calibri" w:hAnsi="Calibri" w:cs="Calibri"/>
                <w:sz w:val="18"/>
                <w:szCs w:val="18"/>
              </w:rPr>
              <w:t>stvar</w:t>
            </w:r>
            <w:r w:rsidR="00E457A3">
              <w:rPr>
                <w:rFonts w:ascii="Calibri" w:eastAsia="Calibri" w:hAnsi="Calibri" w:cs="Calibri"/>
                <w:sz w:val="18"/>
                <w:szCs w:val="18"/>
              </w:rPr>
              <w:t>ati</w:t>
            </w:r>
            <w:r w:rsidRPr="00E1480B">
              <w:rPr>
                <w:rFonts w:ascii="Calibri" w:eastAsia="Calibri" w:hAnsi="Calibri" w:cs="Calibri"/>
                <w:sz w:val="18"/>
                <w:szCs w:val="18"/>
              </w:rPr>
              <w:t xml:space="preserve"> mogućnosti za korištenje obnovljivih izvora energije za komercijalna poljoprivredna gospodarstva (korištenje biomase ili stajskog gnoja, proizvodnja bioplina) </w:t>
            </w:r>
          </w:p>
          <w:p w14:paraId="1568980D" w14:textId="6CB221B9" w:rsidR="00E87AC6" w:rsidRPr="00BE198E" w:rsidRDefault="00E87AC6" w:rsidP="00E87AC6">
            <w:pPr>
              <w:numPr>
                <w:ilvl w:val="0"/>
                <w:numId w:val="1"/>
              </w:numPr>
              <w:spacing w:after="0" w:line="240" w:lineRule="auto"/>
              <w:contextualSpacing/>
              <w:jc w:val="both"/>
              <w:rPr>
                <w:rFonts w:ascii="Calibri" w:eastAsia="Calibri" w:hAnsi="Calibri" w:cs="Calibri"/>
                <w:sz w:val="18"/>
                <w:szCs w:val="18"/>
              </w:rPr>
            </w:pPr>
            <w:r w:rsidRPr="00BE198E">
              <w:rPr>
                <w:rFonts w:ascii="Calibri" w:eastAsia="Calibri" w:hAnsi="Calibri" w:cs="Calibri"/>
                <w:sz w:val="18"/>
                <w:szCs w:val="18"/>
              </w:rPr>
              <w:t>poveća</w:t>
            </w:r>
            <w:r w:rsidR="00E457A3">
              <w:rPr>
                <w:rFonts w:ascii="Calibri" w:eastAsia="Calibri" w:hAnsi="Calibri" w:cs="Calibri"/>
                <w:sz w:val="18"/>
                <w:szCs w:val="18"/>
              </w:rPr>
              <w:t>ti</w:t>
            </w:r>
            <w:r w:rsidRPr="00BE198E">
              <w:rPr>
                <w:rFonts w:ascii="Calibri" w:eastAsia="Calibri" w:hAnsi="Calibri" w:cs="Calibri"/>
                <w:sz w:val="18"/>
                <w:szCs w:val="18"/>
              </w:rPr>
              <w:t xml:space="preserve"> mogućnosti novih oblika plasmana na zagrebačkom tržištu s obzirom na porast potražnje za hranom proizvedenom u neposrednoj blizini Zagreba ili "domaćom hranom"</w:t>
            </w:r>
          </w:p>
          <w:p w14:paraId="689DDD13" w14:textId="7D453E82" w:rsidR="00E87AC6" w:rsidRDefault="00E87AC6" w:rsidP="00E87AC6">
            <w:pPr>
              <w:pStyle w:val="Odlomakpopisa"/>
              <w:numPr>
                <w:ilvl w:val="0"/>
                <w:numId w:val="1"/>
              </w:numPr>
              <w:spacing w:after="0"/>
              <w:rPr>
                <w:rFonts w:ascii="Calibri" w:eastAsia="Calibri" w:hAnsi="Calibri" w:cs="Calibri"/>
                <w:sz w:val="18"/>
                <w:szCs w:val="18"/>
              </w:rPr>
            </w:pPr>
            <w:r>
              <w:rPr>
                <w:rFonts w:ascii="Calibri" w:eastAsia="Calibri" w:hAnsi="Calibri" w:cs="Calibri"/>
                <w:sz w:val="18"/>
                <w:szCs w:val="18"/>
              </w:rPr>
              <w:t>p</w:t>
            </w:r>
            <w:r w:rsidRPr="00E1480B">
              <w:rPr>
                <w:rFonts w:ascii="Calibri" w:eastAsia="Calibri" w:hAnsi="Calibri" w:cs="Calibri"/>
                <w:sz w:val="18"/>
                <w:szCs w:val="18"/>
              </w:rPr>
              <w:t>rimje</w:t>
            </w:r>
            <w:r w:rsidR="00E457A3">
              <w:rPr>
                <w:rFonts w:ascii="Calibri" w:eastAsia="Calibri" w:hAnsi="Calibri" w:cs="Calibri"/>
                <w:sz w:val="18"/>
                <w:szCs w:val="18"/>
              </w:rPr>
              <w:t>njivati</w:t>
            </w:r>
            <w:r w:rsidRPr="00E1480B">
              <w:rPr>
                <w:rFonts w:ascii="Calibri" w:eastAsia="Calibri" w:hAnsi="Calibri" w:cs="Calibri"/>
                <w:sz w:val="18"/>
                <w:szCs w:val="18"/>
              </w:rPr>
              <w:t xml:space="preserve"> dobre upravljačke prakse za gospodarenje otpadom od hrane i  zbrinjavanje viškova</w:t>
            </w:r>
          </w:p>
          <w:p w14:paraId="0B36FE25" w14:textId="23E6F980" w:rsidR="00E87AC6" w:rsidRDefault="00E87AC6" w:rsidP="00E87AC6">
            <w:pPr>
              <w:pStyle w:val="Odlomakpopisa"/>
              <w:numPr>
                <w:ilvl w:val="0"/>
                <w:numId w:val="1"/>
              </w:numPr>
              <w:spacing w:after="0"/>
              <w:rPr>
                <w:rFonts w:ascii="Calibri" w:eastAsia="Calibri" w:hAnsi="Calibri" w:cs="Calibri"/>
                <w:sz w:val="18"/>
                <w:szCs w:val="18"/>
              </w:rPr>
            </w:pPr>
            <w:r w:rsidRPr="00E1480B">
              <w:rPr>
                <w:rFonts w:ascii="Calibri" w:eastAsia="Calibri" w:hAnsi="Calibri" w:cs="Calibri"/>
                <w:sz w:val="18"/>
                <w:szCs w:val="18"/>
              </w:rPr>
              <w:t>stv</w:t>
            </w:r>
            <w:r w:rsidR="00E457A3">
              <w:rPr>
                <w:rFonts w:ascii="Calibri" w:eastAsia="Calibri" w:hAnsi="Calibri" w:cs="Calibri"/>
                <w:sz w:val="18"/>
                <w:szCs w:val="18"/>
              </w:rPr>
              <w:t>oriti</w:t>
            </w:r>
            <w:r w:rsidRPr="00E1480B">
              <w:rPr>
                <w:rFonts w:ascii="Calibri" w:eastAsia="Calibri" w:hAnsi="Calibri" w:cs="Calibri"/>
                <w:sz w:val="18"/>
                <w:szCs w:val="18"/>
              </w:rPr>
              <w:t xml:space="preserve"> distribucijs</w:t>
            </w:r>
            <w:r w:rsidR="00E457A3">
              <w:rPr>
                <w:rFonts w:ascii="Calibri" w:eastAsia="Calibri" w:hAnsi="Calibri" w:cs="Calibri"/>
                <w:sz w:val="18"/>
                <w:szCs w:val="18"/>
              </w:rPr>
              <w:t>ki</w:t>
            </w:r>
            <w:r w:rsidRPr="00E1480B">
              <w:rPr>
                <w:rFonts w:ascii="Calibri" w:eastAsia="Calibri" w:hAnsi="Calibri" w:cs="Calibri"/>
                <w:sz w:val="18"/>
                <w:szCs w:val="18"/>
              </w:rPr>
              <w:t xml:space="preserve"> cent</w:t>
            </w:r>
            <w:r w:rsidR="00E457A3">
              <w:rPr>
                <w:rFonts w:ascii="Calibri" w:eastAsia="Calibri" w:hAnsi="Calibri" w:cs="Calibri"/>
                <w:sz w:val="18"/>
                <w:szCs w:val="18"/>
              </w:rPr>
              <w:t>ar</w:t>
            </w:r>
            <w:r w:rsidRPr="00E1480B">
              <w:rPr>
                <w:rFonts w:ascii="Calibri" w:eastAsia="Calibri" w:hAnsi="Calibri" w:cs="Calibri"/>
                <w:sz w:val="18"/>
                <w:szCs w:val="18"/>
              </w:rPr>
              <w:t xml:space="preserve"> za plasman poljoprivrednih i šumskih proizvoda i njeno povezivanje s gradskim ustanovama u plasmanu domaćih proizvoda</w:t>
            </w:r>
          </w:p>
          <w:p w14:paraId="57C0758E" w14:textId="67EB3049" w:rsidR="00E87AC6" w:rsidRDefault="00E87AC6" w:rsidP="00E87AC6">
            <w:pPr>
              <w:pStyle w:val="Odlomakpopisa"/>
              <w:numPr>
                <w:ilvl w:val="0"/>
                <w:numId w:val="1"/>
              </w:numPr>
              <w:spacing w:after="0"/>
              <w:rPr>
                <w:rFonts w:ascii="Calibri" w:eastAsia="Calibri" w:hAnsi="Calibri" w:cs="Calibri"/>
                <w:sz w:val="18"/>
                <w:szCs w:val="18"/>
              </w:rPr>
            </w:pPr>
            <w:r w:rsidRPr="00E1480B">
              <w:rPr>
                <w:rFonts w:ascii="Calibri" w:eastAsia="Calibri" w:hAnsi="Calibri" w:cs="Calibri"/>
                <w:sz w:val="18"/>
                <w:szCs w:val="18"/>
              </w:rPr>
              <w:t>podupir</w:t>
            </w:r>
            <w:r w:rsidR="00E457A3">
              <w:rPr>
                <w:rFonts w:ascii="Calibri" w:eastAsia="Calibri" w:hAnsi="Calibri" w:cs="Calibri"/>
                <w:sz w:val="18"/>
                <w:szCs w:val="18"/>
              </w:rPr>
              <w:t>ati</w:t>
            </w:r>
            <w:r w:rsidRPr="00E1480B">
              <w:rPr>
                <w:rFonts w:ascii="Calibri" w:eastAsia="Calibri" w:hAnsi="Calibri" w:cs="Calibri"/>
                <w:sz w:val="18"/>
                <w:szCs w:val="18"/>
              </w:rPr>
              <w:t xml:space="preserve"> sv</w:t>
            </w:r>
            <w:r w:rsidR="00E457A3">
              <w:rPr>
                <w:rFonts w:ascii="Calibri" w:eastAsia="Calibri" w:hAnsi="Calibri" w:cs="Calibri"/>
                <w:sz w:val="18"/>
                <w:szCs w:val="18"/>
              </w:rPr>
              <w:t>e</w:t>
            </w:r>
            <w:r w:rsidRPr="00E1480B">
              <w:rPr>
                <w:rFonts w:ascii="Calibri" w:eastAsia="Calibri" w:hAnsi="Calibri" w:cs="Calibri"/>
                <w:sz w:val="18"/>
                <w:szCs w:val="18"/>
              </w:rPr>
              <w:t xml:space="preserve"> oblik</w:t>
            </w:r>
            <w:r w:rsidR="00E457A3">
              <w:rPr>
                <w:rFonts w:ascii="Calibri" w:eastAsia="Calibri" w:hAnsi="Calibri" w:cs="Calibri"/>
                <w:sz w:val="18"/>
                <w:szCs w:val="18"/>
              </w:rPr>
              <w:t>e</w:t>
            </w:r>
            <w:r w:rsidRPr="00E1480B">
              <w:rPr>
                <w:rFonts w:ascii="Calibri" w:eastAsia="Calibri" w:hAnsi="Calibri" w:cs="Calibri"/>
                <w:sz w:val="18"/>
                <w:szCs w:val="18"/>
              </w:rPr>
              <w:t xml:space="preserve"> prerade poljoprivrednih proizvoda </w:t>
            </w:r>
          </w:p>
          <w:p w14:paraId="0D6AB78F" w14:textId="77777777" w:rsidR="00E87AC6" w:rsidRPr="00E1480B" w:rsidRDefault="00E87AC6" w:rsidP="00E87AC6">
            <w:pPr>
              <w:pStyle w:val="Odlomakpopisa"/>
              <w:numPr>
                <w:ilvl w:val="0"/>
                <w:numId w:val="1"/>
              </w:numPr>
              <w:spacing w:after="0"/>
              <w:rPr>
                <w:rFonts w:ascii="Calibri" w:eastAsia="Calibri" w:hAnsi="Calibri" w:cs="Calibri"/>
                <w:sz w:val="18"/>
                <w:szCs w:val="18"/>
              </w:rPr>
            </w:pPr>
            <w:r w:rsidRPr="00E1480B">
              <w:rPr>
                <w:rFonts w:ascii="Calibri" w:eastAsia="Calibri" w:hAnsi="Calibri" w:cs="Calibri"/>
                <w:sz w:val="18"/>
                <w:szCs w:val="18"/>
              </w:rPr>
              <w:t>povezivanje seljačkih turističkih gospodarstava međužupanijskim tematskim cestama - vinska cesta, sirna cesta</w:t>
            </w:r>
          </w:p>
        </w:tc>
      </w:tr>
      <w:tr w:rsidR="00E87AC6" w:rsidRPr="00BE198E" w14:paraId="0B77E3BB" w14:textId="77777777" w:rsidTr="004838D7">
        <w:trPr>
          <w:trHeight w:val="3083"/>
        </w:trPr>
        <w:tc>
          <w:tcPr>
            <w:tcW w:w="4540" w:type="dxa"/>
            <w:shd w:val="clear" w:color="auto" w:fill="D9D9D9"/>
          </w:tcPr>
          <w:p w14:paraId="625C329F" w14:textId="77777777" w:rsidR="00E87AC6" w:rsidRPr="00BE198E" w:rsidRDefault="00E87AC6" w:rsidP="004838D7">
            <w:pPr>
              <w:spacing w:before="60" w:after="60" w:line="240" w:lineRule="auto"/>
              <w:contextualSpacing/>
              <w:jc w:val="both"/>
              <w:rPr>
                <w:rFonts w:ascii="Calibri" w:eastAsia="Calibri" w:hAnsi="Calibri" w:cs="Calibri"/>
                <w:sz w:val="18"/>
                <w:szCs w:val="18"/>
              </w:rPr>
            </w:pPr>
          </w:p>
        </w:tc>
        <w:tc>
          <w:tcPr>
            <w:tcW w:w="4532" w:type="dxa"/>
            <w:shd w:val="clear" w:color="auto" w:fill="99CCFF"/>
          </w:tcPr>
          <w:p w14:paraId="060EE8EA" w14:textId="69259F1F"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Pr>
                <w:rFonts w:ascii="Calibri" w:eastAsia="Calibri" w:hAnsi="Calibri" w:cs="Calibri"/>
                <w:sz w:val="18"/>
                <w:szCs w:val="18"/>
              </w:rPr>
              <w:t>d</w:t>
            </w:r>
            <w:r w:rsidRPr="00BE198E">
              <w:rPr>
                <w:rFonts w:ascii="Calibri" w:eastAsia="Calibri" w:hAnsi="Calibri" w:cs="Calibri"/>
                <w:sz w:val="18"/>
                <w:szCs w:val="18"/>
              </w:rPr>
              <w:t>efinir</w:t>
            </w:r>
            <w:r w:rsidR="00E457A3">
              <w:rPr>
                <w:rFonts w:ascii="Calibri" w:eastAsia="Calibri" w:hAnsi="Calibri" w:cs="Calibri"/>
                <w:sz w:val="18"/>
                <w:szCs w:val="18"/>
              </w:rPr>
              <w:t>ati</w:t>
            </w:r>
            <w:r w:rsidRPr="00BE198E">
              <w:rPr>
                <w:rFonts w:ascii="Calibri" w:eastAsia="Calibri" w:hAnsi="Calibri" w:cs="Calibri"/>
                <w:sz w:val="18"/>
                <w:szCs w:val="18"/>
              </w:rPr>
              <w:t xml:space="preserve"> nov</w:t>
            </w:r>
            <w:r w:rsidR="00E457A3">
              <w:rPr>
                <w:rFonts w:ascii="Calibri" w:eastAsia="Calibri" w:hAnsi="Calibri" w:cs="Calibri"/>
                <w:sz w:val="18"/>
                <w:szCs w:val="18"/>
              </w:rPr>
              <w:t>e</w:t>
            </w:r>
            <w:r w:rsidRPr="00BE198E">
              <w:rPr>
                <w:rFonts w:ascii="Calibri" w:eastAsia="Calibri" w:hAnsi="Calibri" w:cs="Calibri"/>
                <w:sz w:val="18"/>
                <w:szCs w:val="18"/>
              </w:rPr>
              <w:t xml:space="preserve"> lokacij</w:t>
            </w:r>
            <w:r w:rsidR="00E457A3">
              <w:rPr>
                <w:rFonts w:ascii="Calibri" w:eastAsia="Calibri" w:hAnsi="Calibri" w:cs="Calibri"/>
                <w:sz w:val="18"/>
                <w:szCs w:val="18"/>
              </w:rPr>
              <w:t>e</w:t>
            </w:r>
            <w:r w:rsidRPr="00BE198E">
              <w:rPr>
                <w:rFonts w:ascii="Calibri" w:eastAsia="Calibri" w:hAnsi="Calibri" w:cs="Calibri"/>
                <w:sz w:val="18"/>
                <w:szCs w:val="18"/>
              </w:rPr>
              <w:t xml:space="preserve"> za uređenje i opremanje gradskih vrtova u suradnji s nadležnim gradskim uredima</w:t>
            </w:r>
          </w:p>
          <w:p w14:paraId="050A02BF" w14:textId="20E06EB2"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Pr>
                <w:rFonts w:ascii="Calibri" w:eastAsia="Calibri" w:hAnsi="Calibri" w:cs="Calibri"/>
                <w:sz w:val="18"/>
                <w:szCs w:val="18"/>
              </w:rPr>
              <w:t>u</w:t>
            </w:r>
            <w:r w:rsidRPr="00BE198E">
              <w:rPr>
                <w:rFonts w:ascii="Calibri" w:eastAsia="Calibri" w:hAnsi="Calibri" w:cs="Calibri"/>
                <w:sz w:val="18"/>
                <w:szCs w:val="18"/>
              </w:rPr>
              <w:t>vo</w:t>
            </w:r>
            <w:r w:rsidR="00E457A3">
              <w:rPr>
                <w:rFonts w:ascii="Calibri" w:eastAsia="Calibri" w:hAnsi="Calibri" w:cs="Calibri"/>
                <w:sz w:val="18"/>
                <w:szCs w:val="18"/>
              </w:rPr>
              <w:t>diti</w:t>
            </w:r>
            <w:r w:rsidRPr="00BE198E">
              <w:rPr>
                <w:rFonts w:ascii="Calibri" w:eastAsia="Calibri" w:hAnsi="Calibri" w:cs="Calibri"/>
                <w:sz w:val="18"/>
                <w:szCs w:val="18"/>
              </w:rPr>
              <w:t xml:space="preserve"> nov</w:t>
            </w:r>
            <w:r w:rsidR="00E457A3">
              <w:rPr>
                <w:rFonts w:ascii="Calibri" w:eastAsia="Calibri" w:hAnsi="Calibri" w:cs="Calibri"/>
                <w:sz w:val="18"/>
                <w:szCs w:val="18"/>
              </w:rPr>
              <w:t>e</w:t>
            </w:r>
            <w:r w:rsidRPr="00BE198E">
              <w:rPr>
                <w:rFonts w:ascii="Calibri" w:eastAsia="Calibri" w:hAnsi="Calibri" w:cs="Calibri"/>
                <w:sz w:val="18"/>
                <w:szCs w:val="18"/>
              </w:rPr>
              <w:t xml:space="preserve"> tehnologij</w:t>
            </w:r>
            <w:r w:rsidR="00E457A3">
              <w:rPr>
                <w:rFonts w:ascii="Calibri" w:eastAsia="Calibri" w:hAnsi="Calibri" w:cs="Calibri"/>
                <w:sz w:val="18"/>
                <w:szCs w:val="18"/>
              </w:rPr>
              <w:t>e</w:t>
            </w:r>
            <w:r w:rsidRPr="00BE198E">
              <w:rPr>
                <w:rFonts w:ascii="Calibri" w:eastAsia="Calibri" w:hAnsi="Calibri" w:cs="Calibri"/>
                <w:sz w:val="18"/>
                <w:szCs w:val="18"/>
              </w:rPr>
              <w:t xml:space="preserve"> sustava za navodnjavanje pomoću obnovljivih izvora energije (solarne pumpe)</w:t>
            </w:r>
          </w:p>
          <w:p w14:paraId="6C181387" w14:textId="79A28466"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Pr>
                <w:rFonts w:ascii="Calibri" w:eastAsia="Calibri" w:hAnsi="Calibri" w:cs="Calibri"/>
                <w:sz w:val="18"/>
                <w:szCs w:val="18"/>
              </w:rPr>
              <w:t>u</w:t>
            </w:r>
            <w:r w:rsidRPr="00BE198E">
              <w:rPr>
                <w:rFonts w:ascii="Calibri" w:eastAsia="Calibri" w:hAnsi="Calibri" w:cs="Calibri"/>
                <w:sz w:val="18"/>
                <w:szCs w:val="18"/>
              </w:rPr>
              <w:t>sposta</w:t>
            </w:r>
            <w:r w:rsidR="00E457A3">
              <w:rPr>
                <w:rFonts w:ascii="Calibri" w:eastAsia="Calibri" w:hAnsi="Calibri" w:cs="Calibri"/>
                <w:sz w:val="18"/>
                <w:szCs w:val="18"/>
              </w:rPr>
              <w:t>viti</w:t>
            </w:r>
            <w:r w:rsidRPr="00BE198E">
              <w:rPr>
                <w:rFonts w:ascii="Calibri" w:eastAsia="Calibri" w:hAnsi="Calibri" w:cs="Calibri"/>
                <w:sz w:val="18"/>
                <w:szCs w:val="18"/>
              </w:rPr>
              <w:t xml:space="preserve"> kontrolir</w:t>
            </w:r>
            <w:r w:rsidR="00E457A3">
              <w:rPr>
                <w:rFonts w:ascii="Calibri" w:eastAsia="Calibri" w:hAnsi="Calibri" w:cs="Calibri"/>
                <w:sz w:val="18"/>
                <w:szCs w:val="18"/>
              </w:rPr>
              <w:t>ani</w:t>
            </w:r>
            <w:r w:rsidRPr="00BE198E">
              <w:rPr>
                <w:rFonts w:ascii="Calibri" w:eastAsia="Calibri" w:hAnsi="Calibri" w:cs="Calibri"/>
                <w:sz w:val="18"/>
                <w:szCs w:val="18"/>
              </w:rPr>
              <w:t xml:space="preserve"> i standardiz</w:t>
            </w:r>
            <w:r w:rsidR="00E457A3">
              <w:rPr>
                <w:rFonts w:ascii="Calibri" w:eastAsia="Calibri" w:hAnsi="Calibri" w:cs="Calibri"/>
                <w:sz w:val="18"/>
                <w:szCs w:val="18"/>
              </w:rPr>
              <w:t>irani</w:t>
            </w:r>
            <w:r w:rsidRPr="00BE198E">
              <w:rPr>
                <w:rFonts w:ascii="Calibri" w:eastAsia="Calibri" w:hAnsi="Calibri" w:cs="Calibri"/>
                <w:sz w:val="18"/>
                <w:szCs w:val="18"/>
              </w:rPr>
              <w:t xml:space="preserve"> put domaćih proizvoda od direktnih proizvođača s područja cijele Republike Hrvatske do potrošača na području grada Zagreba uz minimalne troškove distribucije</w:t>
            </w:r>
          </w:p>
          <w:p w14:paraId="72B22072" w14:textId="41F95A9A" w:rsidR="00E87AC6" w:rsidRPr="00BE198E" w:rsidRDefault="00E87AC6" w:rsidP="00E87AC6">
            <w:pPr>
              <w:numPr>
                <w:ilvl w:val="0"/>
                <w:numId w:val="1"/>
              </w:numPr>
              <w:spacing w:before="60" w:after="60" w:line="240" w:lineRule="auto"/>
              <w:contextualSpacing/>
              <w:jc w:val="both"/>
              <w:rPr>
                <w:rFonts w:ascii="Calibri" w:eastAsia="Calibri" w:hAnsi="Calibri" w:cs="Calibri"/>
                <w:sz w:val="18"/>
                <w:szCs w:val="18"/>
              </w:rPr>
            </w:pPr>
            <w:r>
              <w:rPr>
                <w:rFonts w:ascii="Calibri" w:eastAsia="Calibri" w:hAnsi="Calibri" w:cs="Calibri"/>
                <w:sz w:val="18"/>
                <w:szCs w:val="18"/>
              </w:rPr>
              <w:t>u</w:t>
            </w:r>
            <w:r w:rsidRPr="00BE198E">
              <w:rPr>
                <w:rFonts w:ascii="Calibri" w:eastAsia="Calibri" w:hAnsi="Calibri" w:cs="Calibri"/>
                <w:sz w:val="18"/>
                <w:szCs w:val="18"/>
              </w:rPr>
              <w:t>sposta</w:t>
            </w:r>
            <w:r w:rsidR="00E457A3">
              <w:rPr>
                <w:rFonts w:ascii="Calibri" w:eastAsia="Calibri" w:hAnsi="Calibri" w:cs="Calibri"/>
                <w:sz w:val="18"/>
                <w:szCs w:val="18"/>
              </w:rPr>
              <w:t>viti</w:t>
            </w:r>
            <w:r w:rsidRPr="00BE198E">
              <w:rPr>
                <w:rFonts w:ascii="Calibri" w:eastAsia="Calibri" w:hAnsi="Calibri" w:cs="Calibri"/>
                <w:sz w:val="18"/>
                <w:szCs w:val="18"/>
              </w:rPr>
              <w:t xml:space="preserve"> prodajn</w:t>
            </w:r>
            <w:r w:rsidR="00E457A3">
              <w:rPr>
                <w:rFonts w:ascii="Calibri" w:eastAsia="Calibri" w:hAnsi="Calibri" w:cs="Calibri"/>
                <w:sz w:val="18"/>
                <w:szCs w:val="18"/>
              </w:rPr>
              <w:t>e</w:t>
            </w:r>
            <w:r w:rsidRPr="00BE198E">
              <w:rPr>
                <w:rFonts w:ascii="Calibri" w:eastAsia="Calibri" w:hAnsi="Calibri" w:cs="Calibri"/>
                <w:sz w:val="18"/>
                <w:szCs w:val="18"/>
              </w:rPr>
              <w:t xml:space="preserve"> kanal</w:t>
            </w:r>
            <w:r w:rsidR="00E457A3">
              <w:rPr>
                <w:rFonts w:ascii="Calibri" w:eastAsia="Calibri" w:hAnsi="Calibri" w:cs="Calibri"/>
                <w:sz w:val="18"/>
                <w:szCs w:val="18"/>
              </w:rPr>
              <w:t>e</w:t>
            </w:r>
            <w:r w:rsidRPr="00BE198E">
              <w:rPr>
                <w:rFonts w:ascii="Calibri" w:eastAsia="Calibri" w:hAnsi="Calibri" w:cs="Calibri"/>
                <w:sz w:val="18"/>
                <w:szCs w:val="18"/>
              </w:rPr>
              <w:t xml:space="preserve"> (javni sektor i dr.)</w:t>
            </w:r>
          </w:p>
          <w:p w14:paraId="36939FBD" w14:textId="77777777" w:rsidR="00E87AC6" w:rsidRPr="00BE198E" w:rsidRDefault="00E87AC6" w:rsidP="004838D7">
            <w:pPr>
              <w:spacing w:before="60" w:after="60" w:line="240" w:lineRule="auto"/>
              <w:ind w:left="357"/>
              <w:contextualSpacing/>
              <w:jc w:val="both"/>
              <w:rPr>
                <w:rFonts w:ascii="Calibri" w:eastAsia="Calibri" w:hAnsi="Calibri" w:cs="Calibri"/>
                <w:sz w:val="18"/>
                <w:szCs w:val="18"/>
              </w:rPr>
            </w:pPr>
          </w:p>
          <w:p w14:paraId="5863E5E8" w14:textId="77777777" w:rsidR="00E87AC6" w:rsidRPr="00BE198E" w:rsidRDefault="00E87AC6" w:rsidP="004838D7">
            <w:pPr>
              <w:spacing w:before="60" w:after="60" w:line="240" w:lineRule="auto"/>
              <w:contextualSpacing/>
              <w:jc w:val="both"/>
              <w:rPr>
                <w:rFonts w:ascii="Calibri" w:eastAsia="Calibri" w:hAnsi="Calibri" w:cs="Calibri"/>
                <w:sz w:val="18"/>
                <w:szCs w:val="18"/>
              </w:rPr>
            </w:pPr>
          </w:p>
        </w:tc>
      </w:tr>
    </w:tbl>
    <w:p w14:paraId="00304609" w14:textId="77777777" w:rsidR="00C45A8C" w:rsidRDefault="00C45A8C" w:rsidP="00BC280C">
      <w:pPr>
        <w:autoSpaceDE w:val="0"/>
        <w:autoSpaceDN w:val="0"/>
        <w:adjustRightInd w:val="0"/>
        <w:spacing w:after="200" w:line="276" w:lineRule="auto"/>
        <w:contextualSpacing/>
        <w:jc w:val="both"/>
        <w:rPr>
          <w:rFonts w:ascii="Calibri" w:eastAsia="Calibri" w:hAnsi="Calibri" w:cs="Calibri"/>
          <w:b/>
          <w:color w:val="000000"/>
          <w:lang w:eastAsia="x-none"/>
        </w:rPr>
      </w:pPr>
    </w:p>
    <w:p w14:paraId="1168265F" w14:textId="4C875E0F" w:rsidR="00E87AC6" w:rsidRDefault="00E87AC6" w:rsidP="00C45A8C">
      <w:pPr>
        <w:pStyle w:val="Stil2"/>
      </w:pPr>
      <w:bookmarkStart w:id="97" w:name="_Toc97123818"/>
      <w:r w:rsidRPr="00BE198E">
        <w:t>3.3.2. Šumarstvo</w:t>
      </w:r>
      <w:bookmarkEnd w:id="97"/>
      <w:r w:rsidRPr="00BE198E">
        <w:t xml:space="preserve"> </w:t>
      </w:r>
    </w:p>
    <w:p w14:paraId="6394CF25" w14:textId="77777777" w:rsidR="00E87AC6" w:rsidRPr="00BE198E" w:rsidRDefault="00E87AC6" w:rsidP="00E87AC6">
      <w:pPr>
        <w:autoSpaceDE w:val="0"/>
        <w:autoSpaceDN w:val="0"/>
        <w:adjustRightInd w:val="0"/>
        <w:spacing w:after="200" w:line="240" w:lineRule="auto"/>
        <w:contextualSpacing/>
        <w:jc w:val="both"/>
        <w:rPr>
          <w:rFonts w:ascii="Calibri" w:eastAsia="Calibri" w:hAnsi="Calibri" w:cs="Calibri"/>
          <w:color w:val="000000"/>
          <w:lang w:eastAsia="x-none"/>
        </w:rPr>
      </w:pPr>
      <w:r w:rsidRPr="00BE198E">
        <w:rPr>
          <w:rFonts w:ascii="Calibri" w:eastAsia="Calibri" w:hAnsi="Calibri" w:cs="Calibri"/>
          <w:color w:val="000000"/>
          <w:lang w:eastAsia="x-none"/>
        </w:rPr>
        <w:t xml:space="preserve">Šume na području Grada Zagreba pokrivaju gotovo </w:t>
      </w:r>
      <w:r>
        <w:rPr>
          <w:rFonts w:ascii="Calibri" w:eastAsia="Calibri" w:hAnsi="Calibri" w:cs="Calibri"/>
          <w:color w:val="000000"/>
          <w:lang w:eastAsia="x-none"/>
        </w:rPr>
        <w:t xml:space="preserve">trećinu </w:t>
      </w:r>
      <w:r w:rsidRPr="00BE198E">
        <w:rPr>
          <w:rFonts w:ascii="Calibri" w:eastAsia="Calibri" w:hAnsi="Calibri" w:cs="Calibri"/>
          <w:color w:val="000000"/>
          <w:lang w:eastAsia="x-none"/>
        </w:rPr>
        <w:t>ukupne površine, a prema podacima iz 2021. na području Grada Zagreba nalazi se ukupno 19.264,39 ha šuma. U vlasništvu Republike Hrvatske je 8.798 ha šuma a privatne (pravne i fizičke) osobe posjeduju 10.466,39 ha šuma od čega je uređeno  10.190,70 ha, a neuređeno 275,69 ha.</w:t>
      </w:r>
      <w:r>
        <w:rPr>
          <w:rFonts w:ascii="Calibri" w:eastAsia="Calibri" w:hAnsi="Calibri" w:cs="Calibri"/>
          <w:color w:val="000000"/>
          <w:lang w:eastAsia="x-none"/>
        </w:rPr>
        <w:t xml:space="preserve"> </w:t>
      </w:r>
      <w:r w:rsidRPr="00655948">
        <w:rPr>
          <w:rFonts w:ascii="Calibri" w:eastAsia="Calibri" w:hAnsi="Calibri" w:cs="Calibri"/>
          <w:color w:val="000000"/>
          <w:lang w:eastAsia="x-none"/>
        </w:rPr>
        <w:t>Šume na području Grada Zagreba karakterizira višenamjensko korištenje, uz proizvodne i općekorisne funkcije šuma.</w:t>
      </w:r>
      <w:r>
        <w:rPr>
          <w:rFonts w:ascii="Calibri" w:eastAsia="Calibri" w:hAnsi="Calibri" w:cs="Calibri"/>
          <w:color w:val="000000"/>
          <w:lang w:eastAsia="x-none"/>
        </w:rPr>
        <w:t xml:space="preserve"> </w:t>
      </w:r>
      <w:r w:rsidRPr="00BE198E">
        <w:rPr>
          <w:rFonts w:ascii="Calibri" w:eastAsia="Calibri" w:hAnsi="Calibri" w:cs="Calibri"/>
          <w:color w:val="000000"/>
          <w:lang w:eastAsia="x-none"/>
        </w:rPr>
        <w:t>Međutim, stanje vlasničke strukture privatnih šuma nije zadovoljavajuće. Riječ je o vrlo usitnjenim parcelama prosječne veličine 0,33 ha. Na uređenim privatnim šumskim površinama evidentirano je u 2021. godini 33 084 katastarske čestice i 23 879 posjednika. Usporedbom podataka sa 2015. godinom kada je evidentirano 17 193 katastarske čestice i 15 191 posjednik uočljivo je da je došlo do znatnog povećanja broja katastarskih čestica i šumoposjednika što predstavlja velik problem prilikom provedbe bilo kakvih društveno korisnih inicijativa (uređenje staza, puteva i cesta, uređenje šuma, sanacija i sl.). Problematičan je i dio šuma posebne namjene koje su u privatnom vlasništvu (3.024,98 ha), a kojima je gotovo nemoguće gospodariti po principima šumarske struke. Naime, za sve radove je potrebno ishoditi odobrenje vlasnika, a nerijetko je riječ o velikom broju vlasnika i posjednika po jednoj katastarskoj čestici s kojima je vrlo teško stupiti u kontakt, pa je rješavanje imovinskih odnosa jedan od najvažnijih koraka.</w:t>
      </w:r>
    </w:p>
    <w:p w14:paraId="5EDBA6F7" w14:textId="77777777" w:rsidR="00E87AC6" w:rsidRPr="00BE198E" w:rsidRDefault="00E87AC6" w:rsidP="00E87AC6">
      <w:pPr>
        <w:autoSpaceDE w:val="0"/>
        <w:autoSpaceDN w:val="0"/>
        <w:adjustRightInd w:val="0"/>
        <w:spacing w:after="200" w:line="240" w:lineRule="auto"/>
        <w:contextualSpacing/>
        <w:jc w:val="both"/>
        <w:rPr>
          <w:rFonts w:ascii="Calibri" w:eastAsia="Calibri" w:hAnsi="Calibri" w:cs="Calibri"/>
          <w:color w:val="000000"/>
          <w:lang w:eastAsia="x-none"/>
        </w:rPr>
      </w:pPr>
    </w:p>
    <w:p w14:paraId="2BA13A7B" w14:textId="77777777" w:rsidR="00E87AC6" w:rsidRPr="00BE198E" w:rsidRDefault="00E87AC6" w:rsidP="00E87AC6">
      <w:pPr>
        <w:autoSpaceDE w:val="0"/>
        <w:autoSpaceDN w:val="0"/>
        <w:adjustRightInd w:val="0"/>
        <w:spacing w:after="200" w:line="240" w:lineRule="auto"/>
        <w:contextualSpacing/>
        <w:jc w:val="both"/>
        <w:rPr>
          <w:rFonts w:ascii="Calibri" w:eastAsia="Calibri" w:hAnsi="Calibri" w:cs="Calibri"/>
          <w:color w:val="000000"/>
          <w:lang w:eastAsia="x-none"/>
        </w:rPr>
      </w:pPr>
      <w:r w:rsidRPr="00BE198E">
        <w:rPr>
          <w:rFonts w:ascii="Calibri" w:eastAsia="Calibri" w:hAnsi="Calibri" w:cs="Calibri"/>
          <w:color w:val="000000"/>
          <w:lang w:eastAsia="x-none"/>
        </w:rPr>
        <w:t>Značaj općekorisnih funkcija šuma osobito je naglašen u gospodarskoj jedinici Park-šume Grada Zagreba te u gospodarskim jedinicama na području Parka prirode Medvednica. U ovim šumama svakodnevno, a osobito vikendom, boravi velik broj građana koji ih koriste za odmor i rekreaciju.</w:t>
      </w:r>
    </w:p>
    <w:p w14:paraId="634D57F9" w14:textId="77777777" w:rsidR="00E87AC6" w:rsidRPr="00BE198E" w:rsidRDefault="00E87AC6" w:rsidP="00E87AC6">
      <w:pPr>
        <w:autoSpaceDE w:val="0"/>
        <w:autoSpaceDN w:val="0"/>
        <w:adjustRightInd w:val="0"/>
        <w:spacing w:after="200" w:line="240" w:lineRule="auto"/>
        <w:jc w:val="both"/>
        <w:rPr>
          <w:rFonts w:ascii="Calibri" w:eastAsia="Calibri" w:hAnsi="Calibri" w:cs="Calibri"/>
          <w:color w:val="000000"/>
        </w:rPr>
      </w:pPr>
    </w:p>
    <w:tbl>
      <w:tblPr>
        <w:tblW w:w="0" w:type="auto"/>
        <w:tblLook w:val="01E0" w:firstRow="1" w:lastRow="1" w:firstColumn="1" w:lastColumn="1" w:noHBand="0" w:noVBand="0"/>
      </w:tblPr>
      <w:tblGrid>
        <w:gridCol w:w="4529"/>
        <w:gridCol w:w="4543"/>
      </w:tblGrid>
      <w:tr w:rsidR="00E87AC6" w:rsidRPr="00BE198E" w14:paraId="50EF6214" w14:textId="77777777" w:rsidTr="004838D7">
        <w:tc>
          <w:tcPr>
            <w:tcW w:w="4643" w:type="dxa"/>
            <w:shd w:val="clear" w:color="auto" w:fill="D9D9D9"/>
          </w:tcPr>
          <w:p w14:paraId="2934DCC0" w14:textId="77777777" w:rsidR="00E87AC6" w:rsidRPr="00BE198E" w:rsidRDefault="00E87AC6" w:rsidP="004838D7">
            <w:pPr>
              <w:spacing w:before="60" w:after="60" w:line="276" w:lineRule="auto"/>
              <w:jc w:val="both"/>
              <w:rPr>
                <w:rFonts w:ascii="Calibri" w:eastAsia="Calibri" w:hAnsi="Calibri" w:cs="Calibri"/>
                <w:b/>
                <w:color w:val="000000"/>
                <w:sz w:val="18"/>
                <w:szCs w:val="18"/>
              </w:rPr>
            </w:pPr>
            <w:bookmarkStart w:id="98" w:name="_Hlk100836165"/>
            <w:r w:rsidRPr="00BE198E">
              <w:rPr>
                <w:rFonts w:ascii="Calibri" w:eastAsia="Calibri" w:hAnsi="Calibri" w:cs="Calibri"/>
                <w:b/>
                <w:color w:val="000000"/>
                <w:sz w:val="18"/>
                <w:szCs w:val="18"/>
              </w:rPr>
              <w:t>RAZVOJNI PROBLEMI</w:t>
            </w:r>
          </w:p>
          <w:p w14:paraId="6C057DCD" w14:textId="77777777" w:rsidR="00E87AC6" w:rsidRPr="00BE198E" w:rsidRDefault="00E87AC6" w:rsidP="004838D7">
            <w:pPr>
              <w:spacing w:before="60" w:after="60" w:line="276" w:lineRule="auto"/>
              <w:jc w:val="both"/>
              <w:rPr>
                <w:rFonts w:ascii="Calibri" w:eastAsia="Calibri" w:hAnsi="Calibri" w:cs="Calibri"/>
                <w:b/>
                <w:color w:val="000000"/>
                <w:sz w:val="18"/>
                <w:szCs w:val="18"/>
              </w:rPr>
            </w:pPr>
          </w:p>
          <w:p w14:paraId="29B80953" w14:textId="5BFCD746"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u</w:t>
            </w:r>
            <w:r w:rsidR="00E87AC6" w:rsidRPr="00950FBF">
              <w:rPr>
                <w:rFonts w:ascii="Calibri" w:eastAsia="Calibri" w:hAnsi="Calibri" w:cs="Calibri"/>
                <w:sz w:val="18"/>
                <w:szCs w:val="18"/>
              </w:rPr>
              <w:t xml:space="preserve">sitnjenost šumskih posjeda po katastarskim česticama i vlasništvu privatnih šuma onemogućava kvalitetnije gospodarenje šumama </w:t>
            </w:r>
          </w:p>
          <w:p w14:paraId="144A85B4" w14:textId="0B137A2A" w:rsidR="00E87AC6" w:rsidRPr="00950FBF"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n</w:t>
            </w:r>
            <w:r w:rsidR="00E87AC6" w:rsidRPr="00950FBF">
              <w:rPr>
                <w:rFonts w:ascii="Calibri" w:eastAsia="Calibri" w:hAnsi="Calibri" w:cs="Calibri"/>
                <w:sz w:val="18"/>
                <w:szCs w:val="18"/>
              </w:rPr>
              <w:t xml:space="preserve">epostojeći interes privatnih šumoposjednika za prodajom šuma unatoč ponudi za otkupom </w:t>
            </w:r>
          </w:p>
          <w:p w14:paraId="09F807FC" w14:textId="291411FE"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n</w:t>
            </w:r>
            <w:r w:rsidR="00E87AC6" w:rsidRPr="00BE198E">
              <w:rPr>
                <w:rFonts w:ascii="Calibri" w:eastAsia="Calibri" w:hAnsi="Calibri" w:cs="Calibri"/>
                <w:sz w:val="18"/>
                <w:szCs w:val="18"/>
              </w:rPr>
              <w:t>esređeni imovinsko-pravni odnosi</w:t>
            </w:r>
          </w:p>
          <w:p w14:paraId="0B570DDD" w14:textId="4753567B"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n</w:t>
            </w:r>
            <w:r w:rsidR="00E87AC6" w:rsidRPr="00BE198E">
              <w:rPr>
                <w:rFonts w:ascii="Calibri" w:eastAsia="Calibri" w:hAnsi="Calibri" w:cs="Calibri"/>
                <w:sz w:val="18"/>
                <w:szCs w:val="18"/>
              </w:rPr>
              <w:t xml:space="preserve">emogućnost korištenja fondova EU zbog nesređenih imovinsko-pravnih odnosa. </w:t>
            </w:r>
          </w:p>
          <w:p w14:paraId="25BB9D6C" w14:textId="4A9F10EA"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n</w:t>
            </w:r>
            <w:r w:rsidR="00E87AC6" w:rsidRPr="00BE198E">
              <w:rPr>
                <w:rFonts w:ascii="Calibri" w:eastAsia="Calibri" w:hAnsi="Calibri" w:cs="Calibri"/>
                <w:sz w:val="18"/>
                <w:szCs w:val="18"/>
              </w:rPr>
              <w:t>epovoljna dobna i sociološka struktura šumoposjednika</w:t>
            </w:r>
          </w:p>
          <w:p w14:paraId="2992EC50" w14:textId="10270FEF" w:rsidR="00E87AC6"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s</w:t>
            </w:r>
            <w:r w:rsidR="00E87AC6" w:rsidRPr="00BE198E">
              <w:rPr>
                <w:rFonts w:ascii="Calibri" w:eastAsia="Calibri" w:hAnsi="Calibri" w:cs="Calibri"/>
                <w:sz w:val="18"/>
                <w:szCs w:val="18"/>
              </w:rPr>
              <w:t>laba želja za cjeloživotnim učenjem i usvajanjem novih saznanja privatnih šumoposjednika</w:t>
            </w:r>
          </w:p>
          <w:p w14:paraId="048075C2" w14:textId="6860F05D" w:rsidR="00E87AC6" w:rsidRPr="00950FBF"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s</w:t>
            </w:r>
            <w:r w:rsidR="00E87AC6" w:rsidRPr="00950FBF">
              <w:rPr>
                <w:rFonts w:ascii="Calibri" w:eastAsia="Calibri" w:hAnsi="Calibri" w:cs="Calibri"/>
                <w:sz w:val="18"/>
                <w:szCs w:val="18"/>
              </w:rPr>
              <w:t>uprotnost odnosno neujednačenost interesa korisnika</w:t>
            </w:r>
            <w:r w:rsidR="00E87AC6">
              <w:rPr>
                <w:rFonts w:ascii="Calibri" w:eastAsia="Calibri" w:hAnsi="Calibri" w:cs="Calibri"/>
                <w:sz w:val="18"/>
                <w:szCs w:val="18"/>
              </w:rPr>
              <w:t xml:space="preserve"> </w:t>
            </w:r>
            <w:r w:rsidR="00E87AC6" w:rsidRPr="00950FBF">
              <w:rPr>
                <w:rFonts w:ascii="Calibri" w:eastAsia="Calibri" w:hAnsi="Calibri" w:cs="Calibri"/>
                <w:sz w:val="18"/>
                <w:szCs w:val="18"/>
              </w:rPr>
              <w:t>šumskih dobara, nespremnost za međusobno</w:t>
            </w:r>
            <w:r w:rsidR="00E87AC6">
              <w:rPr>
                <w:rFonts w:ascii="Calibri" w:eastAsia="Calibri" w:hAnsi="Calibri" w:cs="Calibri"/>
                <w:sz w:val="18"/>
                <w:szCs w:val="18"/>
              </w:rPr>
              <w:t xml:space="preserve"> </w:t>
            </w:r>
            <w:r w:rsidR="00E87AC6" w:rsidRPr="00950FBF">
              <w:rPr>
                <w:rFonts w:ascii="Calibri" w:eastAsia="Calibri" w:hAnsi="Calibri" w:cs="Calibri"/>
                <w:sz w:val="18"/>
                <w:szCs w:val="18"/>
              </w:rPr>
              <w:t>povezivanje interesa i preuzimanje rizika pri</w:t>
            </w:r>
            <w:r w:rsidR="00E87AC6">
              <w:rPr>
                <w:rFonts w:ascii="Calibri" w:eastAsia="Calibri" w:hAnsi="Calibri" w:cs="Calibri"/>
                <w:sz w:val="18"/>
                <w:szCs w:val="18"/>
              </w:rPr>
              <w:t xml:space="preserve"> </w:t>
            </w:r>
            <w:r w:rsidR="00E87AC6" w:rsidRPr="00950FBF">
              <w:rPr>
                <w:rFonts w:ascii="Calibri" w:eastAsia="Calibri" w:hAnsi="Calibri" w:cs="Calibri"/>
                <w:sz w:val="18"/>
                <w:szCs w:val="18"/>
              </w:rPr>
              <w:t>investiranju</w:t>
            </w:r>
          </w:p>
          <w:p w14:paraId="4F324BE6" w14:textId="613CD1F6"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s</w:t>
            </w:r>
            <w:r w:rsidR="00E87AC6" w:rsidRPr="00BE198E">
              <w:rPr>
                <w:rFonts w:ascii="Calibri" w:eastAsia="Calibri" w:hAnsi="Calibri" w:cs="Calibri"/>
                <w:sz w:val="18"/>
                <w:szCs w:val="18"/>
              </w:rPr>
              <w:t>laba informiranost šumoposjednika o upisu u Registar šumoposjednika</w:t>
            </w:r>
          </w:p>
          <w:p w14:paraId="579687C7" w14:textId="754FA254"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k</w:t>
            </w:r>
            <w:r w:rsidR="00E87AC6" w:rsidRPr="00BE198E">
              <w:rPr>
                <w:rFonts w:ascii="Calibri" w:eastAsia="Calibri" w:hAnsi="Calibri" w:cs="Calibri"/>
                <w:sz w:val="18"/>
                <w:szCs w:val="18"/>
              </w:rPr>
              <w:t>orištenje šumskim resursima u državnim i privatnim šumama svodi se na drvne proizvode, a vrlo malo na nedrvne (sporedne) šumske proizvode</w:t>
            </w:r>
          </w:p>
          <w:p w14:paraId="44E3B33C" w14:textId="3F1D4715"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u</w:t>
            </w:r>
            <w:r w:rsidR="00E87AC6" w:rsidRPr="00BE198E">
              <w:rPr>
                <w:rFonts w:ascii="Calibri" w:eastAsia="Calibri" w:hAnsi="Calibri" w:cs="Calibri"/>
                <w:sz w:val="18"/>
                <w:szCs w:val="18"/>
              </w:rPr>
              <w:t>brzana urbanizacija kojom se smanjuje površina šuma na području grada</w:t>
            </w:r>
          </w:p>
          <w:p w14:paraId="6E5FEBBF" w14:textId="04C2C572" w:rsidR="00E87AC6" w:rsidRPr="00BE198E" w:rsidRDefault="002F2F96" w:rsidP="00564F60">
            <w:pPr>
              <w:numPr>
                <w:ilvl w:val="0"/>
                <w:numId w:val="59"/>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n</w:t>
            </w:r>
            <w:r w:rsidR="00E87AC6" w:rsidRPr="00BE198E">
              <w:rPr>
                <w:rFonts w:ascii="Calibri" w:eastAsia="Calibri" w:hAnsi="Calibri" w:cs="Calibri"/>
                <w:sz w:val="18"/>
                <w:szCs w:val="18"/>
              </w:rPr>
              <w:t>erazumijevanje šire javnosti o potrebi gospodarenja šumom i načelima šumarske struke</w:t>
            </w:r>
          </w:p>
          <w:p w14:paraId="70E3EE41" w14:textId="77777777" w:rsidR="00E87AC6" w:rsidRPr="00BE198E" w:rsidRDefault="00E87AC6" w:rsidP="004838D7">
            <w:pPr>
              <w:spacing w:before="60" w:after="60" w:line="240" w:lineRule="auto"/>
              <w:ind w:left="360" w:right="-2"/>
              <w:jc w:val="both"/>
              <w:rPr>
                <w:rFonts w:ascii="Calibri" w:eastAsia="Calibri" w:hAnsi="Calibri" w:cs="Calibri"/>
                <w:b/>
                <w:color w:val="000000"/>
                <w:sz w:val="20"/>
                <w:szCs w:val="20"/>
              </w:rPr>
            </w:pPr>
          </w:p>
        </w:tc>
        <w:tc>
          <w:tcPr>
            <w:tcW w:w="4643" w:type="dxa"/>
            <w:shd w:val="clear" w:color="auto" w:fill="99CCFF"/>
          </w:tcPr>
          <w:p w14:paraId="733814CB" w14:textId="77777777" w:rsidR="00E87AC6" w:rsidRPr="00BE198E" w:rsidRDefault="00E87AC6" w:rsidP="004838D7">
            <w:pPr>
              <w:spacing w:before="60" w:after="60" w:line="276" w:lineRule="auto"/>
              <w:jc w:val="both"/>
              <w:rPr>
                <w:rFonts w:ascii="Calibri" w:eastAsia="Calibri" w:hAnsi="Calibri" w:cs="Calibri"/>
                <w:b/>
                <w:color w:val="000000"/>
                <w:sz w:val="18"/>
                <w:szCs w:val="18"/>
              </w:rPr>
            </w:pPr>
            <w:r w:rsidRPr="00BE198E">
              <w:rPr>
                <w:rFonts w:ascii="Calibri" w:eastAsia="Calibri" w:hAnsi="Calibri" w:cs="Calibri"/>
                <w:b/>
                <w:color w:val="000000"/>
                <w:sz w:val="18"/>
                <w:szCs w:val="18"/>
              </w:rPr>
              <w:t>RAZVOJNE POTREBE</w:t>
            </w:r>
          </w:p>
          <w:p w14:paraId="4982A037" w14:textId="77777777" w:rsidR="00E87AC6" w:rsidRPr="00BE198E" w:rsidRDefault="00E87AC6" w:rsidP="004838D7">
            <w:pPr>
              <w:spacing w:before="60" w:after="60" w:line="276" w:lineRule="auto"/>
              <w:jc w:val="both"/>
              <w:rPr>
                <w:rFonts w:ascii="Calibri" w:eastAsia="Calibri" w:hAnsi="Calibri" w:cs="Calibri"/>
                <w:b/>
                <w:color w:val="000000"/>
                <w:sz w:val="18"/>
                <w:szCs w:val="18"/>
              </w:rPr>
            </w:pPr>
          </w:p>
          <w:p w14:paraId="33492A2F" w14:textId="57380CD6"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u</w:t>
            </w:r>
            <w:r w:rsidR="00E87AC6" w:rsidRPr="00BE198E">
              <w:rPr>
                <w:rFonts w:ascii="Calibri" w:eastAsia="Calibri" w:hAnsi="Calibri" w:cs="Calibri"/>
                <w:sz w:val="18"/>
                <w:szCs w:val="18"/>
              </w:rPr>
              <w:t>vo</w:t>
            </w:r>
            <w:r w:rsidR="002901D3">
              <w:rPr>
                <w:rFonts w:ascii="Calibri" w:eastAsia="Calibri" w:hAnsi="Calibri" w:cs="Calibri"/>
                <w:sz w:val="18"/>
                <w:szCs w:val="18"/>
              </w:rPr>
              <w:t>diti</w:t>
            </w:r>
            <w:r w:rsidR="00E87AC6" w:rsidRPr="00BE198E">
              <w:rPr>
                <w:rFonts w:ascii="Calibri" w:eastAsia="Calibri" w:hAnsi="Calibri" w:cs="Calibri"/>
                <w:sz w:val="18"/>
                <w:szCs w:val="18"/>
              </w:rPr>
              <w:t xml:space="preserve"> prava prvootkupa od strane Grada prilikom prodaje privatnih šuma unutar građevinskog područja.</w:t>
            </w:r>
          </w:p>
          <w:p w14:paraId="18E41C80" w14:textId="19D9D2BC"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s</w:t>
            </w:r>
            <w:r w:rsidR="00E87AC6" w:rsidRPr="00BE198E">
              <w:rPr>
                <w:rFonts w:ascii="Calibri" w:eastAsia="Calibri" w:hAnsi="Calibri" w:cs="Calibri"/>
                <w:sz w:val="18"/>
                <w:szCs w:val="18"/>
              </w:rPr>
              <w:t>tv</w:t>
            </w:r>
            <w:r>
              <w:rPr>
                <w:rFonts w:ascii="Calibri" w:eastAsia="Calibri" w:hAnsi="Calibri" w:cs="Calibri"/>
                <w:sz w:val="18"/>
                <w:szCs w:val="18"/>
              </w:rPr>
              <w:t>oriti</w:t>
            </w:r>
            <w:r w:rsidR="00E87AC6" w:rsidRPr="00BE198E">
              <w:rPr>
                <w:rFonts w:ascii="Calibri" w:eastAsia="Calibri" w:hAnsi="Calibri" w:cs="Calibri"/>
                <w:sz w:val="18"/>
                <w:szCs w:val="18"/>
              </w:rPr>
              <w:t xml:space="preserve"> fond za poticanje okrupnjivanja privatnih posjeda šuma (poticaji kod poreza na promet, upisa i sl.)</w:t>
            </w:r>
          </w:p>
          <w:p w14:paraId="022622A9" w14:textId="1F920A62"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uvoditi</w:t>
            </w:r>
            <w:r w:rsidR="00E87AC6" w:rsidRPr="00BE198E">
              <w:rPr>
                <w:rFonts w:ascii="Calibri" w:eastAsia="Calibri" w:hAnsi="Calibri" w:cs="Calibri"/>
                <w:sz w:val="18"/>
                <w:szCs w:val="18"/>
              </w:rPr>
              <w:t xml:space="preserve"> mjer</w:t>
            </w:r>
            <w:r>
              <w:rPr>
                <w:rFonts w:ascii="Calibri" w:eastAsia="Calibri" w:hAnsi="Calibri" w:cs="Calibri"/>
                <w:sz w:val="18"/>
                <w:szCs w:val="18"/>
              </w:rPr>
              <w:t>e</w:t>
            </w:r>
            <w:r w:rsidR="00E87AC6" w:rsidRPr="00BE198E">
              <w:rPr>
                <w:rFonts w:ascii="Calibri" w:eastAsia="Calibri" w:hAnsi="Calibri" w:cs="Calibri"/>
                <w:sz w:val="18"/>
                <w:szCs w:val="18"/>
              </w:rPr>
              <w:t xml:space="preserve"> potpore za privatne šumoposjednike koji otkupljuju privatne šume, a obvežu se da će tim šumama održivo gospodariti</w:t>
            </w:r>
          </w:p>
          <w:p w14:paraId="0C0C5DCD" w14:textId="1C6C2884"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jačati</w:t>
            </w:r>
            <w:r w:rsidR="00E87AC6" w:rsidRPr="00BE198E">
              <w:rPr>
                <w:rFonts w:ascii="Calibri" w:eastAsia="Calibri" w:hAnsi="Calibri" w:cs="Calibri"/>
                <w:sz w:val="18"/>
                <w:szCs w:val="18"/>
              </w:rPr>
              <w:t xml:space="preserve"> udrug</w:t>
            </w:r>
            <w:r>
              <w:rPr>
                <w:rFonts w:ascii="Calibri" w:eastAsia="Calibri" w:hAnsi="Calibri" w:cs="Calibri"/>
                <w:sz w:val="18"/>
                <w:szCs w:val="18"/>
              </w:rPr>
              <w:t>e</w:t>
            </w:r>
            <w:r w:rsidR="00E87AC6" w:rsidRPr="00BE198E">
              <w:rPr>
                <w:rFonts w:ascii="Calibri" w:eastAsia="Calibri" w:hAnsi="Calibri" w:cs="Calibri"/>
                <w:sz w:val="18"/>
                <w:szCs w:val="18"/>
              </w:rPr>
              <w:t xml:space="preserve"> šumoposjednika i potica</w:t>
            </w:r>
            <w:r>
              <w:rPr>
                <w:rFonts w:ascii="Calibri" w:eastAsia="Calibri" w:hAnsi="Calibri" w:cs="Calibri"/>
                <w:sz w:val="18"/>
                <w:szCs w:val="18"/>
              </w:rPr>
              <w:t>ti</w:t>
            </w:r>
            <w:r w:rsidR="00E87AC6" w:rsidRPr="00BE198E">
              <w:rPr>
                <w:rFonts w:ascii="Calibri" w:eastAsia="Calibri" w:hAnsi="Calibri" w:cs="Calibri"/>
                <w:sz w:val="18"/>
                <w:szCs w:val="18"/>
              </w:rPr>
              <w:t xml:space="preserve"> njihova udruživanja radi okrupnjivanja šumskog posjeda i zajedničkog gospodarenja tim posjedom.</w:t>
            </w:r>
          </w:p>
          <w:p w14:paraId="517741FD" w14:textId="4376E19A"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razvijati</w:t>
            </w:r>
            <w:r w:rsidR="00E87AC6" w:rsidRPr="00BE198E">
              <w:rPr>
                <w:rFonts w:ascii="Calibri" w:eastAsia="Calibri" w:hAnsi="Calibri" w:cs="Calibri"/>
                <w:sz w:val="18"/>
                <w:szCs w:val="18"/>
              </w:rPr>
              <w:t xml:space="preserve"> turiz</w:t>
            </w:r>
            <w:r>
              <w:rPr>
                <w:rFonts w:ascii="Calibri" w:eastAsia="Calibri" w:hAnsi="Calibri" w:cs="Calibri"/>
                <w:sz w:val="18"/>
                <w:szCs w:val="18"/>
              </w:rPr>
              <w:t>am</w:t>
            </w:r>
            <w:r w:rsidR="00E87AC6" w:rsidRPr="00BE198E">
              <w:rPr>
                <w:rFonts w:ascii="Calibri" w:eastAsia="Calibri" w:hAnsi="Calibri" w:cs="Calibri"/>
                <w:sz w:val="18"/>
                <w:szCs w:val="18"/>
              </w:rPr>
              <w:t xml:space="preserve"> i potporne infrastrukture u šumama</w:t>
            </w:r>
          </w:p>
          <w:p w14:paraId="672B6070" w14:textId="6E9ACA2E"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p</w:t>
            </w:r>
            <w:r w:rsidR="00E87AC6" w:rsidRPr="00BE198E">
              <w:rPr>
                <w:rFonts w:ascii="Calibri" w:eastAsia="Calibri" w:hAnsi="Calibri" w:cs="Calibri"/>
                <w:sz w:val="18"/>
                <w:szCs w:val="18"/>
              </w:rPr>
              <w:t>ošum</w:t>
            </w:r>
            <w:r>
              <w:rPr>
                <w:rFonts w:ascii="Calibri" w:eastAsia="Calibri" w:hAnsi="Calibri" w:cs="Calibri"/>
                <w:sz w:val="18"/>
                <w:szCs w:val="18"/>
              </w:rPr>
              <w:t>njavati</w:t>
            </w:r>
            <w:r w:rsidR="00E87AC6" w:rsidRPr="00BE198E">
              <w:rPr>
                <w:rFonts w:ascii="Calibri" w:eastAsia="Calibri" w:hAnsi="Calibri" w:cs="Calibri"/>
                <w:sz w:val="18"/>
                <w:szCs w:val="18"/>
              </w:rPr>
              <w:t xml:space="preserve"> i zašti</w:t>
            </w:r>
            <w:r>
              <w:rPr>
                <w:rFonts w:ascii="Calibri" w:eastAsia="Calibri" w:hAnsi="Calibri" w:cs="Calibri"/>
                <w:sz w:val="18"/>
                <w:szCs w:val="18"/>
              </w:rPr>
              <w:t>titi</w:t>
            </w:r>
            <w:r w:rsidR="00E87AC6" w:rsidRPr="00BE198E">
              <w:rPr>
                <w:rFonts w:ascii="Calibri" w:eastAsia="Calibri" w:hAnsi="Calibri" w:cs="Calibri"/>
                <w:sz w:val="18"/>
                <w:szCs w:val="18"/>
              </w:rPr>
              <w:t xml:space="preserve"> marginal</w:t>
            </w:r>
            <w:r>
              <w:rPr>
                <w:rFonts w:ascii="Calibri" w:eastAsia="Calibri" w:hAnsi="Calibri" w:cs="Calibri"/>
                <w:sz w:val="18"/>
                <w:szCs w:val="18"/>
              </w:rPr>
              <w:t>na</w:t>
            </w:r>
            <w:r w:rsidR="00E87AC6" w:rsidRPr="00BE198E">
              <w:rPr>
                <w:rFonts w:ascii="Calibri" w:eastAsia="Calibri" w:hAnsi="Calibri" w:cs="Calibri"/>
                <w:sz w:val="18"/>
                <w:szCs w:val="18"/>
              </w:rPr>
              <w:t xml:space="preserve"> šumsk</w:t>
            </w:r>
            <w:r>
              <w:rPr>
                <w:rFonts w:ascii="Calibri" w:eastAsia="Calibri" w:hAnsi="Calibri" w:cs="Calibri"/>
                <w:sz w:val="18"/>
                <w:szCs w:val="18"/>
              </w:rPr>
              <w:t>a</w:t>
            </w:r>
            <w:r w:rsidR="00E87AC6" w:rsidRPr="00BE198E">
              <w:rPr>
                <w:rFonts w:ascii="Calibri" w:eastAsia="Calibri" w:hAnsi="Calibri" w:cs="Calibri"/>
                <w:sz w:val="18"/>
                <w:szCs w:val="18"/>
              </w:rPr>
              <w:t xml:space="preserve"> zemljišta</w:t>
            </w:r>
          </w:p>
          <w:p w14:paraId="061F9BEE" w14:textId="7C7F3E29"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o</w:t>
            </w:r>
            <w:r w:rsidR="00E87AC6" w:rsidRPr="00BE198E">
              <w:rPr>
                <w:rFonts w:ascii="Calibri" w:eastAsia="Calibri" w:hAnsi="Calibri" w:cs="Calibri"/>
                <w:sz w:val="18"/>
                <w:szCs w:val="18"/>
              </w:rPr>
              <w:t>drživo gospodar</w:t>
            </w:r>
            <w:r>
              <w:rPr>
                <w:rFonts w:ascii="Calibri" w:eastAsia="Calibri" w:hAnsi="Calibri" w:cs="Calibri"/>
                <w:sz w:val="18"/>
                <w:szCs w:val="18"/>
              </w:rPr>
              <w:t xml:space="preserve">iti </w:t>
            </w:r>
            <w:r w:rsidR="00E87AC6" w:rsidRPr="00BE198E">
              <w:rPr>
                <w:rFonts w:ascii="Calibri" w:eastAsia="Calibri" w:hAnsi="Calibri" w:cs="Calibri"/>
                <w:sz w:val="18"/>
                <w:szCs w:val="18"/>
              </w:rPr>
              <w:t>šumama</w:t>
            </w:r>
          </w:p>
          <w:p w14:paraId="05ADBAE1" w14:textId="1987E296"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i</w:t>
            </w:r>
            <w:r w:rsidR="00E87AC6" w:rsidRPr="00BE198E">
              <w:rPr>
                <w:rFonts w:ascii="Calibri" w:eastAsia="Calibri" w:hAnsi="Calibri" w:cs="Calibri"/>
                <w:sz w:val="18"/>
                <w:szCs w:val="18"/>
              </w:rPr>
              <w:t>zrad</w:t>
            </w:r>
            <w:r>
              <w:rPr>
                <w:rFonts w:ascii="Calibri" w:eastAsia="Calibri" w:hAnsi="Calibri" w:cs="Calibri"/>
                <w:sz w:val="18"/>
                <w:szCs w:val="18"/>
              </w:rPr>
              <w:t>iti</w:t>
            </w:r>
            <w:r w:rsidR="00E87AC6" w:rsidRPr="00BE198E">
              <w:rPr>
                <w:rFonts w:ascii="Calibri" w:eastAsia="Calibri" w:hAnsi="Calibri" w:cs="Calibri"/>
                <w:sz w:val="18"/>
                <w:szCs w:val="18"/>
              </w:rPr>
              <w:t xml:space="preserve"> program</w:t>
            </w:r>
            <w:r>
              <w:rPr>
                <w:rFonts w:ascii="Calibri" w:eastAsia="Calibri" w:hAnsi="Calibri" w:cs="Calibri"/>
                <w:sz w:val="18"/>
                <w:szCs w:val="18"/>
              </w:rPr>
              <w:t>e</w:t>
            </w:r>
            <w:r w:rsidR="00E87AC6" w:rsidRPr="00BE198E">
              <w:rPr>
                <w:rFonts w:ascii="Calibri" w:eastAsia="Calibri" w:hAnsi="Calibri" w:cs="Calibri"/>
                <w:sz w:val="18"/>
                <w:szCs w:val="18"/>
              </w:rPr>
              <w:t xml:space="preserve"> zaštite divljači za prostore koji nemaju obilježja lovišta i osiguranje njihova provođenja</w:t>
            </w:r>
          </w:p>
          <w:p w14:paraId="74E6ECCD" w14:textId="76077FB0" w:rsidR="00E87AC6" w:rsidRPr="00BE198E" w:rsidRDefault="00E457A3" w:rsidP="00E87AC6">
            <w:pPr>
              <w:numPr>
                <w:ilvl w:val="0"/>
                <w:numId w:val="1"/>
              </w:numPr>
              <w:spacing w:before="60" w:after="60" w:line="240" w:lineRule="auto"/>
              <w:ind w:right="-2"/>
              <w:jc w:val="both"/>
              <w:rPr>
                <w:rFonts w:ascii="Calibri" w:eastAsia="Calibri" w:hAnsi="Calibri" w:cs="Calibri"/>
                <w:sz w:val="18"/>
                <w:szCs w:val="18"/>
              </w:rPr>
            </w:pPr>
            <w:r>
              <w:rPr>
                <w:rFonts w:ascii="Calibri" w:eastAsia="Calibri" w:hAnsi="Calibri" w:cs="Calibri"/>
                <w:sz w:val="18"/>
                <w:szCs w:val="18"/>
              </w:rPr>
              <w:t>s</w:t>
            </w:r>
            <w:r w:rsidR="00E87AC6" w:rsidRPr="00BE198E">
              <w:rPr>
                <w:rFonts w:ascii="Calibri" w:eastAsia="Calibri" w:hAnsi="Calibri" w:cs="Calibri"/>
                <w:sz w:val="18"/>
                <w:szCs w:val="18"/>
              </w:rPr>
              <w:t>ustavno educira</w:t>
            </w:r>
            <w:r>
              <w:rPr>
                <w:rFonts w:ascii="Calibri" w:eastAsia="Calibri" w:hAnsi="Calibri" w:cs="Calibri"/>
                <w:sz w:val="18"/>
                <w:szCs w:val="18"/>
              </w:rPr>
              <w:t>ti</w:t>
            </w:r>
            <w:r w:rsidR="00E87AC6" w:rsidRPr="00BE198E">
              <w:rPr>
                <w:rFonts w:ascii="Calibri" w:eastAsia="Calibri" w:hAnsi="Calibri" w:cs="Calibri"/>
                <w:sz w:val="18"/>
                <w:szCs w:val="18"/>
              </w:rPr>
              <w:t xml:space="preserve"> privatn</w:t>
            </w:r>
            <w:r>
              <w:rPr>
                <w:rFonts w:ascii="Calibri" w:eastAsia="Calibri" w:hAnsi="Calibri" w:cs="Calibri"/>
                <w:sz w:val="18"/>
                <w:szCs w:val="18"/>
              </w:rPr>
              <w:t>e</w:t>
            </w:r>
            <w:r w:rsidR="00E87AC6" w:rsidRPr="00BE198E">
              <w:rPr>
                <w:rFonts w:ascii="Calibri" w:eastAsia="Calibri" w:hAnsi="Calibri" w:cs="Calibri"/>
                <w:sz w:val="18"/>
                <w:szCs w:val="18"/>
              </w:rPr>
              <w:t xml:space="preserve"> šumoposjednik</w:t>
            </w:r>
            <w:r>
              <w:rPr>
                <w:rFonts w:ascii="Calibri" w:eastAsia="Calibri" w:hAnsi="Calibri" w:cs="Calibri"/>
                <w:sz w:val="18"/>
                <w:szCs w:val="18"/>
              </w:rPr>
              <w:t>e</w:t>
            </w:r>
            <w:r w:rsidR="00E87AC6" w:rsidRPr="00BE198E">
              <w:rPr>
                <w:rFonts w:ascii="Calibri" w:eastAsia="Calibri" w:hAnsi="Calibri" w:cs="Calibri"/>
                <w:sz w:val="18"/>
                <w:szCs w:val="18"/>
              </w:rPr>
              <w:t xml:space="preserve"> u stjecanju novih znanja i vještina povezanih s gospodarenjem šumama</w:t>
            </w:r>
          </w:p>
          <w:p w14:paraId="5A1774F9" w14:textId="35B4CD0C" w:rsidR="00E87AC6" w:rsidRPr="00BE198E" w:rsidRDefault="00E457A3" w:rsidP="00E87AC6">
            <w:pPr>
              <w:numPr>
                <w:ilvl w:val="0"/>
                <w:numId w:val="1"/>
              </w:numPr>
              <w:spacing w:before="60" w:after="60" w:line="276" w:lineRule="auto"/>
              <w:jc w:val="both"/>
              <w:rPr>
                <w:rFonts w:ascii="Calibri" w:eastAsia="Calibri" w:hAnsi="Calibri" w:cs="Calibri"/>
                <w:b/>
                <w:color w:val="000000"/>
                <w:sz w:val="20"/>
                <w:szCs w:val="20"/>
              </w:rPr>
            </w:pPr>
            <w:r>
              <w:rPr>
                <w:rFonts w:ascii="Calibri" w:eastAsia="Calibri" w:hAnsi="Calibri" w:cs="Calibri"/>
                <w:sz w:val="18"/>
                <w:szCs w:val="18"/>
              </w:rPr>
              <w:t>sprječavati</w:t>
            </w:r>
            <w:r w:rsidR="00E87AC6" w:rsidRPr="00BE198E">
              <w:rPr>
                <w:rFonts w:ascii="Calibri" w:eastAsia="Calibri" w:hAnsi="Calibri" w:cs="Calibri"/>
                <w:sz w:val="18"/>
                <w:szCs w:val="18"/>
              </w:rPr>
              <w:t xml:space="preserve"> cijepanja šumskih posjeda uvođenjem posebnih mjera potpore ili izmjenom zakonodavstva</w:t>
            </w:r>
          </w:p>
        </w:tc>
      </w:tr>
      <w:bookmarkEnd w:id="98"/>
    </w:tbl>
    <w:p w14:paraId="0A926925" w14:textId="77777777" w:rsidR="00E87AC6" w:rsidRDefault="00E87AC6" w:rsidP="00E87AC6">
      <w:pPr>
        <w:spacing w:after="200" w:line="240" w:lineRule="auto"/>
        <w:jc w:val="both"/>
        <w:rPr>
          <w:rFonts w:ascii="Calibri" w:eastAsia="Calibri" w:hAnsi="Calibri" w:cs="Calibri"/>
          <w:lang w:eastAsia="x-none"/>
        </w:rPr>
      </w:pPr>
    </w:p>
    <w:p w14:paraId="2DD855AF" w14:textId="77777777" w:rsidR="00E87AC6" w:rsidRDefault="00E87AC6" w:rsidP="00E87AC6">
      <w:pPr>
        <w:spacing w:after="200" w:line="240" w:lineRule="auto"/>
        <w:jc w:val="both"/>
        <w:rPr>
          <w:rFonts w:ascii="Calibri" w:eastAsia="Calibri" w:hAnsi="Calibri" w:cs="Calibri"/>
          <w:lang w:eastAsia="x-none"/>
        </w:rPr>
        <w:sectPr w:rsidR="00E87AC6" w:rsidSect="00921D6B">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417" w:bottom="1417" w:left="1417" w:header="708" w:footer="708" w:gutter="0"/>
          <w:pgNumType w:start="1" w:chapStyle="1"/>
          <w:cols w:space="708"/>
          <w:docGrid w:linePitch="360"/>
        </w:sectPr>
      </w:pPr>
    </w:p>
    <w:p w14:paraId="6191E828" w14:textId="77777777" w:rsidR="00E87AC6" w:rsidRPr="00BE198E" w:rsidRDefault="00E87AC6" w:rsidP="00C45A8C">
      <w:pPr>
        <w:pStyle w:val="Stil2"/>
      </w:pPr>
      <w:bookmarkStart w:id="99" w:name="_Toc97123819"/>
      <w:r w:rsidRPr="00BE198E">
        <w:t>3.3.3. Lovstvo</w:t>
      </w:r>
      <w:bookmarkEnd w:id="99"/>
    </w:p>
    <w:p w14:paraId="358440AA" w14:textId="77777777" w:rsidR="00E87AC6" w:rsidRDefault="00E87AC6" w:rsidP="00E87AC6">
      <w:pPr>
        <w:tabs>
          <w:tab w:val="left" w:pos="-720"/>
        </w:tabs>
        <w:suppressAutoHyphens/>
        <w:spacing w:after="200" w:line="276" w:lineRule="auto"/>
        <w:ind w:right="-2"/>
        <w:jc w:val="both"/>
        <w:rPr>
          <w:rFonts w:ascii="Calibri" w:eastAsia="Calibri" w:hAnsi="Calibri" w:cs="Calibri"/>
          <w:bCs/>
        </w:rPr>
      </w:pPr>
      <w:r w:rsidRPr="00BE198E">
        <w:rPr>
          <w:rFonts w:ascii="Calibri" w:eastAsia="Calibri" w:hAnsi="Calibri" w:cs="Calibri"/>
          <w:bCs/>
        </w:rPr>
        <w:t>Odlukom o zajedničkim lovištima iz 1996. i 1997. godine, na području Grada Zagreba ustanovljeno je 11 zajedničkih lovišta.  Lovozakupnici su domicilne lovačke udruge sa područja koje obuhvaća zajedničko lovište što je prednost jer se nastavlja tradicija lovstva na tom području</w:t>
      </w:r>
      <w:r>
        <w:rPr>
          <w:rFonts w:ascii="Calibri" w:eastAsia="Calibri" w:hAnsi="Calibri" w:cs="Calibri"/>
          <w:bCs/>
        </w:rPr>
        <w:t>,</w:t>
      </w:r>
      <w:r w:rsidRPr="00BE198E">
        <w:rPr>
          <w:rFonts w:ascii="Calibri" w:eastAsia="Calibri" w:hAnsi="Calibri" w:cs="Calibri"/>
          <w:bCs/>
        </w:rPr>
        <w:t xml:space="preserve"> ali se kvalitetnije gospodari i čuva divljač u lovištu. Svi ugovori su sukladno zakonu sa istim lovozakupnicima produljeni u dva navrata za slijedećih 10 godina a u tijeku je treće lovozakupno razdoblje koje će trajati do 31.03.2028. godine.</w:t>
      </w:r>
      <w:r>
        <w:rPr>
          <w:rFonts w:ascii="Calibri" w:eastAsia="Calibri" w:hAnsi="Calibri" w:cs="Calibri"/>
          <w:bCs/>
        </w:rPr>
        <w:t xml:space="preserve"> </w:t>
      </w:r>
      <w:r w:rsidRPr="00BE198E">
        <w:rPr>
          <w:rFonts w:ascii="Calibri" w:eastAsia="Calibri" w:hAnsi="Calibri" w:cs="Calibri"/>
          <w:bCs/>
        </w:rPr>
        <w:t>Grad Zagreb provodi i Programe zaštite divljači u kojima se provode primijenjeno znanstvena istraživanja  u kojima je uključeno i praćenje zdravstvenog stanja i razvojnih parametara divljači na području provedbe Programa. Provedbom Programa  dobivaju se  povratne informacije o zaraznim bolestima, te na taj način i provodi kontrola javnozdravstvenog vektora iz djelokruga veterinarstva na području Grada Zagreba.</w:t>
      </w:r>
    </w:p>
    <w:tbl>
      <w:tblPr>
        <w:tblW w:w="0" w:type="auto"/>
        <w:tblLook w:val="01E0" w:firstRow="1" w:lastRow="1" w:firstColumn="1" w:lastColumn="1" w:noHBand="0" w:noVBand="0"/>
      </w:tblPr>
      <w:tblGrid>
        <w:gridCol w:w="4537"/>
        <w:gridCol w:w="4535"/>
      </w:tblGrid>
      <w:tr w:rsidR="00AB7B5F" w:rsidRPr="00BE198E" w14:paraId="201B5C35" w14:textId="77777777" w:rsidTr="00AB7B5F">
        <w:tc>
          <w:tcPr>
            <w:tcW w:w="4537" w:type="dxa"/>
            <w:shd w:val="clear" w:color="auto" w:fill="D9D9D9"/>
          </w:tcPr>
          <w:p w14:paraId="53E98E26" w14:textId="77777777" w:rsidR="00AB7B5F" w:rsidRPr="00BE198E" w:rsidRDefault="00AB7B5F" w:rsidP="00710303">
            <w:pPr>
              <w:spacing w:before="60" w:after="60" w:line="276" w:lineRule="auto"/>
              <w:jc w:val="both"/>
              <w:rPr>
                <w:rFonts w:ascii="Calibri" w:eastAsia="Calibri" w:hAnsi="Calibri" w:cs="Calibri"/>
                <w:b/>
                <w:color w:val="000000"/>
                <w:sz w:val="18"/>
                <w:szCs w:val="18"/>
              </w:rPr>
            </w:pPr>
            <w:r w:rsidRPr="00BE198E">
              <w:rPr>
                <w:rFonts w:ascii="Calibri" w:eastAsia="Calibri" w:hAnsi="Calibri" w:cs="Calibri"/>
                <w:b/>
                <w:color w:val="000000"/>
                <w:sz w:val="18"/>
                <w:szCs w:val="18"/>
              </w:rPr>
              <w:t>RAZVOJNI PROBLEMI</w:t>
            </w:r>
          </w:p>
          <w:p w14:paraId="5E501D7E" w14:textId="77777777" w:rsidR="00AB7B5F" w:rsidRPr="00AB7B5F" w:rsidRDefault="00AB7B5F" w:rsidP="00AB7B5F">
            <w:pPr>
              <w:numPr>
                <w:ilvl w:val="0"/>
                <w:numId w:val="57"/>
              </w:numPr>
              <w:spacing w:before="60" w:after="60" w:line="240" w:lineRule="auto"/>
              <w:ind w:right="-2"/>
              <w:jc w:val="both"/>
              <w:rPr>
                <w:rFonts w:ascii="Calibri" w:eastAsia="Calibri" w:hAnsi="Calibri" w:cs="Calibri"/>
                <w:sz w:val="18"/>
                <w:szCs w:val="18"/>
              </w:rPr>
            </w:pPr>
            <w:r w:rsidRPr="00AB7B5F">
              <w:rPr>
                <w:rFonts w:ascii="Calibri" w:eastAsia="Calibri" w:hAnsi="Calibri" w:cs="Calibri"/>
                <w:sz w:val="18"/>
                <w:szCs w:val="18"/>
              </w:rPr>
              <w:t>korištenje prostora izvan utvrđenih pravila i sadržaja te na taj način uznemiravanje divljih životinja</w:t>
            </w:r>
          </w:p>
          <w:p w14:paraId="0D6204E2" w14:textId="77777777" w:rsidR="00AB7B5F" w:rsidRPr="00AB7B5F" w:rsidRDefault="00AB7B5F" w:rsidP="00AB7B5F">
            <w:pPr>
              <w:numPr>
                <w:ilvl w:val="0"/>
                <w:numId w:val="57"/>
              </w:numPr>
              <w:spacing w:before="60" w:after="60" w:line="240" w:lineRule="auto"/>
              <w:ind w:right="-2"/>
              <w:jc w:val="both"/>
              <w:rPr>
                <w:rFonts w:ascii="Calibri" w:eastAsia="Calibri" w:hAnsi="Calibri" w:cs="Calibri"/>
                <w:sz w:val="18"/>
                <w:szCs w:val="18"/>
              </w:rPr>
            </w:pPr>
            <w:r w:rsidRPr="00AB7B5F">
              <w:rPr>
                <w:rFonts w:ascii="Calibri" w:eastAsia="Calibri" w:hAnsi="Calibri" w:cs="Calibri"/>
                <w:sz w:val="18"/>
                <w:szCs w:val="18"/>
              </w:rPr>
              <w:t>urbanizacija prostora i prevelika napućenost stanovništva u granicama zajedničkih lovišta</w:t>
            </w:r>
          </w:p>
          <w:p w14:paraId="0B7454CD" w14:textId="77777777" w:rsidR="00AB7B5F" w:rsidRPr="00AB7B5F" w:rsidRDefault="00AB7B5F" w:rsidP="00AB7B5F">
            <w:pPr>
              <w:numPr>
                <w:ilvl w:val="0"/>
                <w:numId w:val="57"/>
              </w:numPr>
              <w:spacing w:before="60" w:after="60" w:line="240" w:lineRule="auto"/>
              <w:ind w:right="-2"/>
              <w:jc w:val="both"/>
              <w:rPr>
                <w:rFonts w:ascii="Calibri" w:eastAsia="Calibri" w:hAnsi="Calibri" w:cs="Calibri"/>
                <w:sz w:val="18"/>
                <w:szCs w:val="18"/>
              </w:rPr>
            </w:pPr>
            <w:r w:rsidRPr="00AB7B5F">
              <w:rPr>
                <w:rFonts w:ascii="Calibri" w:eastAsia="Calibri" w:hAnsi="Calibri" w:cs="Calibri"/>
                <w:sz w:val="18"/>
                <w:szCs w:val="18"/>
              </w:rPr>
              <w:t>uzurpacija staništa pojedinih vrsta krupne i sitne divljači</w:t>
            </w:r>
          </w:p>
          <w:p w14:paraId="24E251AF" w14:textId="1B235C33" w:rsidR="00AB7B5F" w:rsidRPr="00AB7B5F" w:rsidRDefault="00AB7B5F" w:rsidP="00AB7B5F">
            <w:pPr>
              <w:numPr>
                <w:ilvl w:val="0"/>
                <w:numId w:val="57"/>
              </w:numPr>
              <w:spacing w:before="60" w:after="60" w:line="240" w:lineRule="auto"/>
              <w:ind w:right="-2"/>
              <w:jc w:val="both"/>
              <w:rPr>
                <w:rFonts w:ascii="Calibri" w:eastAsia="Calibri" w:hAnsi="Calibri" w:cs="Calibri"/>
                <w:bCs/>
                <w:color w:val="000000"/>
                <w:sz w:val="20"/>
                <w:szCs w:val="20"/>
              </w:rPr>
            </w:pPr>
            <w:r w:rsidRPr="00AB7B5F">
              <w:rPr>
                <w:rFonts w:ascii="Calibri" w:eastAsia="Calibri" w:hAnsi="Calibri" w:cs="Calibri"/>
                <w:sz w:val="18"/>
                <w:szCs w:val="18"/>
              </w:rPr>
              <w:t>strukturni problemi lovozakupnika</w:t>
            </w:r>
          </w:p>
        </w:tc>
        <w:tc>
          <w:tcPr>
            <w:tcW w:w="4535" w:type="dxa"/>
            <w:shd w:val="clear" w:color="auto" w:fill="99CCFF"/>
          </w:tcPr>
          <w:p w14:paraId="196464D8" w14:textId="77777777" w:rsidR="00AB7B5F" w:rsidRPr="00BE198E" w:rsidRDefault="00AB7B5F" w:rsidP="00710303">
            <w:pPr>
              <w:spacing w:before="60" w:after="60" w:line="276" w:lineRule="auto"/>
              <w:jc w:val="both"/>
              <w:rPr>
                <w:rFonts w:ascii="Calibri" w:eastAsia="Calibri" w:hAnsi="Calibri" w:cs="Calibri"/>
                <w:b/>
                <w:color w:val="000000"/>
                <w:sz w:val="18"/>
                <w:szCs w:val="18"/>
              </w:rPr>
            </w:pPr>
            <w:r w:rsidRPr="00BE198E">
              <w:rPr>
                <w:rFonts w:ascii="Calibri" w:eastAsia="Calibri" w:hAnsi="Calibri" w:cs="Calibri"/>
                <w:b/>
                <w:color w:val="000000"/>
                <w:sz w:val="18"/>
                <w:szCs w:val="18"/>
              </w:rPr>
              <w:t>RAZVOJNE POTREBE</w:t>
            </w:r>
          </w:p>
          <w:p w14:paraId="57D243E8" w14:textId="77777777" w:rsidR="00AB7B5F" w:rsidRPr="00564F60" w:rsidRDefault="00AB7B5F" w:rsidP="00564F60">
            <w:pPr>
              <w:numPr>
                <w:ilvl w:val="0"/>
                <w:numId w:val="57"/>
              </w:numPr>
              <w:spacing w:before="60" w:after="60" w:line="240" w:lineRule="auto"/>
              <w:ind w:right="-2"/>
              <w:jc w:val="both"/>
              <w:rPr>
                <w:rFonts w:ascii="Calibri" w:eastAsia="Calibri" w:hAnsi="Calibri" w:cs="Calibri"/>
                <w:sz w:val="18"/>
                <w:szCs w:val="18"/>
              </w:rPr>
            </w:pPr>
            <w:r w:rsidRPr="00AB7B5F">
              <w:rPr>
                <w:rFonts w:ascii="Calibri" w:eastAsia="Calibri" w:hAnsi="Calibri" w:cs="Calibri"/>
                <w:sz w:val="18"/>
                <w:szCs w:val="18"/>
              </w:rPr>
              <w:t>kontrolirati korištenje prostora i sadržaja kao i kontrolu posjetitelja posebice vikendom te po mogućnosti ograničavati ulazak zbog zaštite flore i faune</w:t>
            </w:r>
          </w:p>
          <w:p w14:paraId="01E175BD" w14:textId="77777777" w:rsidR="00AB7B5F" w:rsidRPr="00564F60" w:rsidRDefault="00AB7B5F" w:rsidP="00564F60">
            <w:pPr>
              <w:numPr>
                <w:ilvl w:val="0"/>
                <w:numId w:val="57"/>
              </w:numPr>
              <w:spacing w:before="60" w:after="60" w:line="240" w:lineRule="auto"/>
              <w:ind w:right="-2"/>
              <w:jc w:val="both"/>
              <w:rPr>
                <w:rFonts w:ascii="Calibri" w:eastAsia="Calibri" w:hAnsi="Calibri" w:cs="Calibri"/>
                <w:sz w:val="18"/>
                <w:szCs w:val="18"/>
              </w:rPr>
            </w:pPr>
            <w:r w:rsidRPr="00AB7B5F">
              <w:rPr>
                <w:rFonts w:ascii="Calibri" w:eastAsia="Calibri" w:hAnsi="Calibri" w:cs="Calibri"/>
                <w:sz w:val="18"/>
                <w:szCs w:val="18"/>
              </w:rPr>
              <w:t>kontrolirati korištenje prostora i sadržaja te po mogućnosti ograničiti ulazak u lovišta bez opravdanog i gospodarskog razloga</w:t>
            </w:r>
          </w:p>
          <w:p w14:paraId="2330BEFB" w14:textId="5424D364" w:rsidR="00AB7B5F" w:rsidRPr="00AB7B5F" w:rsidRDefault="00AB7B5F" w:rsidP="00564F60">
            <w:pPr>
              <w:numPr>
                <w:ilvl w:val="0"/>
                <w:numId w:val="57"/>
              </w:numPr>
              <w:spacing w:before="60" w:after="60" w:line="240" w:lineRule="auto"/>
              <w:ind w:right="-2"/>
              <w:jc w:val="both"/>
              <w:rPr>
                <w:rFonts w:eastAsia="Calibri" w:cstheme="minorHAnsi"/>
                <w:b/>
                <w:color w:val="000000"/>
                <w:sz w:val="18"/>
                <w:szCs w:val="18"/>
              </w:rPr>
            </w:pPr>
            <w:r w:rsidRPr="00564F60">
              <w:rPr>
                <w:rFonts w:ascii="Calibri" w:eastAsia="Calibri" w:hAnsi="Calibri" w:cs="Calibri"/>
                <w:sz w:val="18"/>
                <w:szCs w:val="18"/>
              </w:rPr>
              <w:t>postupno transformirati formalne sadržaje skrbi o divljači</w:t>
            </w:r>
          </w:p>
        </w:tc>
      </w:tr>
    </w:tbl>
    <w:p w14:paraId="7D51E417" w14:textId="77777777" w:rsidR="00E87AC6" w:rsidRPr="00514F6C" w:rsidRDefault="00E87AC6" w:rsidP="00E87AC6">
      <w:pPr>
        <w:tabs>
          <w:tab w:val="left" w:pos="6211"/>
        </w:tabs>
        <w:rPr>
          <w:rFonts w:ascii="Calibri" w:eastAsia="Calibri" w:hAnsi="Calibri" w:cs="Calibri"/>
          <w:sz w:val="18"/>
          <w:szCs w:val="18"/>
        </w:rPr>
        <w:sectPr w:rsidR="00E87AC6" w:rsidRPr="00514F6C" w:rsidSect="004838D7">
          <w:type w:val="continuous"/>
          <w:pgSz w:w="11906" w:h="16838"/>
          <w:pgMar w:top="1417" w:right="1417" w:bottom="1417" w:left="1417" w:header="708" w:footer="708" w:gutter="0"/>
          <w:cols w:space="708"/>
          <w:docGrid w:linePitch="360"/>
        </w:sectPr>
      </w:pPr>
    </w:p>
    <w:p w14:paraId="6D1F4B37" w14:textId="74B478EB" w:rsidR="00C5315F" w:rsidRPr="00392F62" w:rsidRDefault="00C5315F" w:rsidP="00392F62">
      <w:pPr>
        <w:pStyle w:val="Stil2"/>
        <w:rPr>
          <w:rFonts w:cs="Calibri"/>
          <w:caps/>
          <w:sz w:val="40"/>
          <w:szCs w:val="40"/>
        </w:rPr>
      </w:pPr>
      <w:bookmarkStart w:id="100" w:name="_Toc97123820"/>
      <w:bookmarkEnd w:id="94"/>
      <w:r w:rsidRPr="00392F62">
        <w:rPr>
          <w:rFonts w:cs="Calibri"/>
          <w:caps/>
          <w:sz w:val="40"/>
          <w:szCs w:val="40"/>
        </w:rPr>
        <w:t>4. PROSTOR</w:t>
      </w:r>
      <w:bookmarkEnd w:id="100"/>
    </w:p>
    <w:p w14:paraId="6495649B" w14:textId="613F95AF" w:rsidR="00C5315F" w:rsidRPr="00576956" w:rsidRDefault="00C5315F" w:rsidP="00C45A8C">
      <w:pPr>
        <w:pStyle w:val="Stil2"/>
      </w:pPr>
      <w:bookmarkStart w:id="101" w:name="_Toc97123821"/>
      <w:r>
        <w:t>4</w:t>
      </w:r>
      <w:r w:rsidRPr="00576956">
        <w:t>.1. PROSTORNI RESURSI I UPRAVLJANJE PROSTOROM</w:t>
      </w:r>
      <w:bookmarkEnd w:id="101"/>
    </w:p>
    <w:p w14:paraId="5241703D" w14:textId="58E86C41" w:rsidR="00C5315F" w:rsidRDefault="00C5315F" w:rsidP="00C5315F">
      <w:pPr>
        <w:widowControl w:val="0"/>
        <w:spacing w:line="240" w:lineRule="auto"/>
        <w:ind w:right="70"/>
        <w:jc w:val="both"/>
        <w:rPr>
          <w:rFonts w:cs="Calibri"/>
        </w:rPr>
      </w:pPr>
      <w:r w:rsidRPr="00A33E06">
        <w:rPr>
          <w:rFonts w:cs="Calibri"/>
        </w:rPr>
        <w:t>Dosadašnji razvoj Grada, ne odražavajući uvijek i stvarne potrebe, odvijao se pretežito širenjem zona za građenje na neizgrađena, često vrijedna zelena područja, čime su znatno opterećivani komunalni, prometni i drugi javni sustavi te okoliš, krajobraz i biološka raznolikost. Također je prisutna pojava povećanja površina namijenjenog stanovanju u uvjetima približno istog broja stanovnika. U urbanom području Grada Zagreba u razdoblju od 1986. do 2011. broj stanovnika porastao je za 5 %, dok se površina koja se koristi za stambene i mješovite funkcije povećala za 33%. Pri tome su površine za gradnju dobivene najvećim dijelom prenamjenom postojećih neizgrađenih zelenih područja (83%), a tek manjim dijelom prenamjenom drugih načina korištenja prostora (17%).</w:t>
      </w:r>
    </w:p>
    <w:p w14:paraId="337BBD83" w14:textId="1DDBFBFB" w:rsidR="00C5315F" w:rsidRPr="00BA33B5" w:rsidRDefault="00C5315F" w:rsidP="00BA33B5">
      <w:pPr>
        <w:pStyle w:val="Stil2"/>
        <w:rPr>
          <w:rStyle w:val="Stil2Char"/>
          <w:b/>
          <w:bCs/>
        </w:rPr>
      </w:pPr>
      <w:bookmarkStart w:id="102" w:name="_Toc97123822"/>
      <w:r w:rsidRPr="00BA33B5">
        <w:rPr>
          <w:rStyle w:val="Stil2Char"/>
          <w:b/>
          <w:bCs/>
        </w:rPr>
        <w:t>4.1.1. Prostorno uređenje</w:t>
      </w:r>
      <w:bookmarkEnd w:id="102"/>
      <w:r w:rsidRPr="00BA33B5">
        <w:rPr>
          <w:rStyle w:val="Stil2Char"/>
          <w:b/>
          <w:bCs/>
        </w:rPr>
        <w:t xml:space="preserve"> </w:t>
      </w:r>
    </w:p>
    <w:p w14:paraId="53D818CE" w14:textId="70704060" w:rsidR="00282AFE" w:rsidRPr="00282AFE" w:rsidRDefault="00C5315F" w:rsidP="00282AFE">
      <w:pPr>
        <w:pStyle w:val="Tijeloteksta2"/>
        <w:widowControl w:val="0"/>
        <w:suppressAutoHyphens w:val="0"/>
        <w:ind w:right="70"/>
        <w:rPr>
          <w:rFonts w:ascii="Calibri" w:hAnsi="Calibri" w:cs="Calibri"/>
          <w:b w:val="0"/>
          <w:bCs w:val="0"/>
          <w:i/>
          <w:sz w:val="22"/>
          <w:szCs w:val="22"/>
          <w:lang w:eastAsia="en-US"/>
        </w:rPr>
      </w:pPr>
      <w:r w:rsidRPr="00A33E06">
        <w:rPr>
          <w:rFonts w:ascii="Calibri" w:hAnsi="Calibri" w:cs="Calibri"/>
          <w:color w:val="000000"/>
          <w:sz w:val="22"/>
          <w:szCs w:val="22"/>
        </w:rPr>
        <w:t>Stvarno korištenje prostora Grada Zagreba.</w:t>
      </w:r>
      <w:r w:rsidRPr="00A33E06">
        <w:rPr>
          <w:rFonts w:ascii="Calibri" w:hAnsi="Calibri" w:cs="Calibri"/>
          <w:b w:val="0"/>
          <w:sz w:val="22"/>
          <w:szCs w:val="22"/>
        </w:rPr>
        <w:t xml:space="preserve"> </w:t>
      </w:r>
      <w:r w:rsidR="00282AFE" w:rsidRPr="00282AFE">
        <w:rPr>
          <w:rFonts w:ascii="Calibri" w:hAnsi="Calibri" w:cs="Calibri"/>
          <w:b w:val="0"/>
          <w:bCs w:val="0"/>
          <w:sz w:val="22"/>
          <w:szCs w:val="22"/>
        </w:rPr>
        <w:t>Na prostoru Grada Zagreba su (2020.) prema udjelima u ukupnoj površini, najzastupljenije kategorije poljoprivredne i neuređene površine, zaštitno zelenilo i ostalo (24.417 ha), zatim šume (19.154 ha) te stambene i mješovite površine (7.970 ha). Ostatak površine Grada čine promet (3.376 ha), javne zelene površine (2.324 ha), vode i vodna dobra (1.819 ha), gospodarstvo (1.901 ha), sport i rekreacija (1.123 ha), javne i društvene površine (794 ha), komunalna infrastruktura (520 ha), brownfield - neiskorištene izgrađene površine (339 ha), površine posebne namjene (210 ha) i</w:t>
      </w:r>
      <w:r w:rsidR="00282AFE" w:rsidRPr="00282AFE">
        <w:rPr>
          <w:rFonts w:ascii="Calibri" w:hAnsi="Calibri" w:cs="Calibri"/>
          <w:b w:val="0"/>
          <w:bCs w:val="0"/>
          <w:i/>
          <w:sz w:val="22"/>
          <w:szCs w:val="22"/>
        </w:rPr>
        <w:t xml:space="preserve"> </w:t>
      </w:r>
      <w:r w:rsidR="00282AFE" w:rsidRPr="00282AFE">
        <w:rPr>
          <w:rFonts w:ascii="Calibri" w:hAnsi="Calibri" w:cs="Calibri"/>
          <w:b w:val="0"/>
          <w:bCs w:val="0"/>
          <w:sz w:val="22"/>
          <w:szCs w:val="22"/>
        </w:rPr>
        <w:t>groblja (176 ha).</w:t>
      </w:r>
    </w:p>
    <w:p w14:paraId="24E70480" w14:textId="77777777" w:rsidR="00282AFE" w:rsidRDefault="00282AFE">
      <w:pPr>
        <w:rPr>
          <w:rFonts w:ascii="Calibri" w:eastAsia="Times New Roman" w:hAnsi="Calibri" w:cs="Calibri"/>
          <w:bCs/>
          <w:iCs/>
          <w:lang w:eastAsia="hr-HR"/>
        </w:rPr>
      </w:pPr>
      <w:r>
        <w:rPr>
          <w:rFonts w:ascii="Calibri" w:hAnsi="Calibri" w:cs="Calibri"/>
          <w:b/>
          <w:iCs/>
        </w:rPr>
        <w:br w:type="page"/>
      </w:r>
    </w:p>
    <w:p w14:paraId="66B25BF4" w14:textId="344DBA0B" w:rsidR="00CA6E9D" w:rsidRPr="00CA6E9D" w:rsidRDefault="00CA6E9D" w:rsidP="00C5315F">
      <w:pPr>
        <w:pStyle w:val="Tijeloteksta2"/>
        <w:widowControl w:val="0"/>
        <w:suppressAutoHyphens w:val="0"/>
        <w:ind w:right="70"/>
        <w:rPr>
          <w:rFonts w:ascii="Calibri" w:hAnsi="Calibri" w:cs="Calibri"/>
          <w:b w:val="0"/>
          <w:iCs/>
          <w:sz w:val="22"/>
          <w:szCs w:val="22"/>
        </w:rPr>
      </w:pPr>
      <w:r w:rsidRPr="00CA6E9D">
        <w:rPr>
          <w:rFonts w:ascii="Calibri" w:hAnsi="Calibri" w:cs="Calibri"/>
          <w:b w:val="0"/>
          <w:iCs/>
          <w:sz w:val="22"/>
          <w:szCs w:val="22"/>
        </w:rPr>
        <w:t>Slika xy: Stvarno korištenje površina Grada Zagreba 2020.</w:t>
      </w:r>
    </w:p>
    <w:p w14:paraId="0E55CA3F" w14:textId="34F93F5E" w:rsidR="00C5315F" w:rsidRDefault="00CA6E9D" w:rsidP="00C5315F">
      <w:pPr>
        <w:widowControl w:val="0"/>
        <w:ind w:right="70"/>
        <w:jc w:val="both"/>
        <w:rPr>
          <w:rFonts w:cs="Calibri"/>
          <w:bCs/>
          <w:sz w:val="20"/>
          <w:szCs w:val="20"/>
          <w:lang w:val="pl-PL"/>
        </w:rPr>
      </w:pPr>
      <w:r>
        <w:rPr>
          <w:noProof/>
        </w:rPr>
        <w:drawing>
          <wp:inline distT="0" distB="0" distL="0" distR="0" wp14:anchorId="14482BE2" wp14:editId="27D7712E">
            <wp:extent cx="5040000" cy="5040000"/>
            <wp:effectExtent l="0" t="0" r="8255" b="825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5900BA2F" w14:textId="5ADFAFFC" w:rsidR="00CA6E9D" w:rsidRDefault="00CA6E9D" w:rsidP="00C5315F">
      <w:pPr>
        <w:widowControl w:val="0"/>
        <w:ind w:right="70"/>
        <w:jc w:val="both"/>
        <w:rPr>
          <w:rFonts w:cs="Calibri"/>
          <w:bCs/>
          <w:sz w:val="20"/>
          <w:szCs w:val="20"/>
          <w:lang w:val="pl-PL"/>
        </w:rPr>
      </w:pPr>
      <w:r w:rsidRPr="00CA6E9D">
        <w:rPr>
          <w:rFonts w:cs="Calibri"/>
          <w:bCs/>
          <w:sz w:val="20"/>
          <w:szCs w:val="20"/>
          <w:lang w:val="pl-PL"/>
        </w:rPr>
        <w:t>Izvor: Grad Zagreb, Gradski ured za gospodarstvo, ekološku održivost i strategijsko planiranje, 2022.</w:t>
      </w:r>
    </w:p>
    <w:p w14:paraId="3720EB5C" w14:textId="77777777" w:rsidR="00282AFE" w:rsidRDefault="00282AFE">
      <w:pPr>
        <w:rPr>
          <w:rFonts w:ascii="Arial" w:eastAsia="Times New Roman" w:hAnsi="Arial" w:cs="Arial"/>
          <w:sz w:val="20"/>
          <w:szCs w:val="20"/>
          <w:shd w:val="clear" w:color="auto" w:fill="FFFFFF"/>
        </w:rPr>
      </w:pPr>
      <w:r>
        <w:br w:type="page"/>
      </w:r>
    </w:p>
    <w:p w14:paraId="075D8215" w14:textId="19F59796" w:rsidR="00C5315F" w:rsidRDefault="00E2286C" w:rsidP="00E2286C">
      <w:pPr>
        <w:pStyle w:val="Opisslike"/>
      </w:pPr>
      <w:r>
        <w:t xml:space="preserve">Graf </w:t>
      </w:r>
      <w:r w:rsidR="00751C19">
        <w:fldChar w:fldCharType="begin"/>
      </w:r>
      <w:r w:rsidR="00751C19">
        <w:instrText xml:space="preserve"> SEQ Graf \* ARABIC </w:instrText>
      </w:r>
      <w:r w:rsidR="00751C19">
        <w:fldChar w:fldCharType="separate"/>
      </w:r>
      <w:r w:rsidR="00DE17C9">
        <w:rPr>
          <w:noProof/>
        </w:rPr>
        <w:t>2</w:t>
      </w:r>
      <w:r w:rsidR="00751C19">
        <w:rPr>
          <w:noProof/>
        </w:rPr>
        <w:fldChar w:fldCharType="end"/>
      </w:r>
      <w:r>
        <w:t xml:space="preserve">. </w:t>
      </w:r>
      <w:r w:rsidRPr="006A227A">
        <w:t xml:space="preserve">Stvarno korištenje </w:t>
      </w:r>
      <w:r w:rsidR="00282AFE">
        <w:t>površina</w:t>
      </w:r>
      <w:r w:rsidR="00282AFE" w:rsidRPr="006A227A">
        <w:t xml:space="preserve"> </w:t>
      </w:r>
      <w:r w:rsidRPr="006A227A">
        <w:t>Grada Zagreba 20</w:t>
      </w:r>
      <w:r w:rsidR="002F30CC">
        <w:t>20</w:t>
      </w:r>
      <w:r w:rsidRPr="006A227A">
        <w:t>.</w:t>
      </w:r>
    </w:p>
    <w:p w14:paraId="7C493DAD" w14:textId="77777777" w:rsidR="00E2286C" w:rsidRPr="00E2286C" w:rsidRDefault="00E2286C" w:rsidP="00E2286C"/>
    <w:p w14:paraId="295424A4" w14:textId="09B819E3" w:rsidR="00C5315F" w:rsidRDefault="00DB6CAA" w:rsidP="00C5315F">
      <w:pPr>
        <w:jc w:val="both"/>
        <w:rPr>
          <w:rFonts w:ascii="Arial" w:hAnsi="Arial"/>
          <w:bCs/>
        </w:rPr>
      </w:pPr>
      <w:r>
        <w:rPr>
          <w:rFonts w:ascii="Arial" w:hAnsi="Arial"/>
          <w:bCs/>
          <w:noProof/>
          <w:lang w:val="en-US"/>
        </w:rPr>
        <w:drawing>
          <wp:anchor distT="0" distB="0" distL="114300" distR="114300" simplePos="0" relativeHeight="251659264" behindDoc="1" locked="0" layoutInCell="1" allowOverlap="1" wp14:anchorId="0BC43FC2" wp14:editId="745BFA34">
            <wp:simplePos x="0" y="0"/>
            <wp:positionH relativeFrom="column">
              <wp:posOffset>19050</wp:posOffset>
            </wp:positionH>
            <wp:positionV relativeFrom="paragraph">
              <wp:posOffset>54610</wp:posOffset>
            </wp:positionV>
            <wp:extent cx="4522559" cy="3636000"/>
            <wp:effectExtent l="0" t="0" r="0" b="3175"/>
            <wp:wrapTight wrapText="bothSides">
              <wp:wrapPolygon edited="0">
                <wp:start x="0" y="0"/>
                <wp:lineTo x="0" y="21506"/>
                <wp:lineTo x="21473" y="21506"/>
                <wp:lineTo x="214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522559" cy="36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6638" w14:textId="7ED342D6" w:rsidR="00C5315F" w:rsidRDefault="00C5315F" w:rsidP="00C5315F">
      <w:pPr>
        <w:jc w:val="both"/>
        <w:rPr>
          <w:rFonts w:ascii="Arial" w:hAnsi="Arial"/>
          <w:bCs/>
        </w:rPr>
      </w:pPr>
    </w:p>
    <w:p w14:paraId="6F74467C" w14:textId="77777777" w:rsidR="00C5315F" w:rsidRDefault="00C5315F" w:rsidP="00C5315F">
      <w:pPr>
        <w:jc w:val="both"/>
        <w:rPr>
          <w:rFonts w:ascii="Arial" w:hAnsi="Arial"/>
          <w:bCs/>
        </w:rPr>
      </w:pPr>
    </w:p>
    <w:p w14:paraId="5AC10293" w14:textId="77777777" w:rsidR="00C5315F" w:rsidRDefault="00C5315F" w:rsidP="00C5315F">
      <w:pPr>
        <w:jc w:val="both"/>
        <w:rPr>
          <w:rFonts w:ascii="Arial" w:hAnsi="Arial"/>
          <w:bCs/>
        </w:rPr>
      </w:pPr>
    </w:p>
    <w:p w14:paraId="398CA13D" w14:textId="77777777" w:rsidR="00C5315F" w:rsidRDefault="00C5315F" w:rsidP="00C5315F">
      <w:pPr>
        <w:jc w:val="both"/>
        <w:rPr>
          <w:rFonts w:ascii="Arial" w:hAnsi="Arial"/>
          <w:bCs/>
        </w:rPr>
      </w:pPr>
    </w:p>
    <w:p w14:paraId="631260D9" w14:textId="77777777" w:rsidR="00C5315F" w:rsidRDefault="00C5315F" w:rsidP="00C5315F">
      <w:pPr>
        <w:jc w:val="both"/>
        <w:rPr>
          <w:rFonts w:ascii="Arial" w:hAnsi="Arial"/>
          <w:bCs/>
        </w:rPr>
      </w:pPr>
    </w:p>
    <w:p w14:paraId="531A4DCE" w14:textId="77777777" w:rsidR="00C5315F" w:rsidRDefault="00C5315F" w:rsidP="00C5315F">
      <w:pPr>
        <w:jc w:val="both"/>
        <w:rPr>
          <w:rFonts w:ascii="Arial" w:hAnsi="Arial"/>
          <w:bCs/>
        </w:rPr>
      </w:pPr>
    </w:p>
    <w:p w14:paraId="3327C409" w14:textId="77777777" w:rsidR="00C5315F" w:rsidRDefault="00C5315F" w:rsidP="00C5315F">
      <w:pPr>
        <w:jc w:val="both"/>
        <w:rPr>
          <w:rFonts w:ascii="Arial" w:hAnsi="Arial"/>
          <w:bCs/>
        </w:rPr>
      </w:pPr>
    </w:p>
    <w:p w14:paraId="17984BD6" w14:textId="77777777" w:rsidR="00C5315F" w:rsidRDefault="00C5315F" w:rsidP="00C5315F">
      <w:pPr>
        <w:jc w:val="both"/>
        <w:rPr>
          <w:rFonts w:ascii="Arial" w:hAnsi="Arial"/>
          <w:bCs/>
        </w:rPr>
      </w:pPr>
    </w:p>
    <w:p w14:paraId="48A21DEB" w14:textId="77777777" w:rsidR="00C5315F" w:rsidRDefault="00C5315F" w:rsidP="00C5315F">
      <w:pPr>
        <w:jc w:val="both"/>
        <w:rPr>
          <w:rFonts w:ascii="Arial" w:hAnsi="Arial"/>
          <w:bCs/>
        </w:rPr>
      </w:pPr>
    </w:p>
    <w:p w14:paraId="0E629DA9" w14:textId="77777777" w:rsidR="00C5315F" w:rsidRDefault="00C5315F" w:rsidP="00C5315F">
      <w:pPr>
        <w:jc w:val="both"/>
        <w:rPr>
          <w:rFonts w:cs="Calibri"/>
          <w:bCs/>
          <w:sz w:val="20"/>
          <w:szCs w:val="20"/>
        </w:rPr>
      </w:pPr>
    </w:p>
    <w:p w14:paraId="1E740C79" w14:textId="77777777" w:rsidR="00E55BCB" w:rsidRDefault="00E55BCB" w:rsidP="00C5315F">
      <w:pPr>
        <w:jc w:val="both"/>
        <w:rPr>
          <w:rFonts w:cs="Calibri"/>
          <w:bCs/>
          <w:sz w:val="20"/>
          <w:szCs w:val="20"/>
        </w:rPr>
      </w:pPr>
    </w:p>
    <w:p w14:paraId="7DBF70BD" w14:textId="77777777" w:rsidR="00DB6CAA" w:rsidRDefault="00DB6CAA" w:rsidP="00C5315F">
      <w:pPr>
        <w:jc w:val="both"/>
        <w:rPr>
          <w:rFonts w:cs="Calibri"/>
          <w:bCs/>
          <w:sz w:val="20"/>
          <w:szCs w:val="20"/>
        </w:rPr>
      </w:pPr>
    </w:p>
    <w:p w14:paraId="4F6D0BC7" w14:textId="77777777" w:rsidR="00C46EED" w:rsidRDefault="00C46EED" w:rsidP="00C5315F">
      <w:pPr>
        <w:jc w:val="both"/>
        <w:rPr>
          <w:rFonts w:cs="Calibri"/>
          <w:bCs/>
          <w:sz w:val="20"/>
          <w:szCs w:val="20"/>
        </w:rPr>
      </w:pPr>
    </w:p>
    <w:p w14:paraId="3D0AD7A8" w14:textId="490E28DD" w:rsidR="00E55BCB" w:rsidRDefault="00C5315F" w:rsidP="00C5315F">
      <w:pPr>
        <w:widowControl w:val="0"/>
        <w:ind w:right="70"/>
        <w:jc w:val="both"/>
        <w:rPr>
          <w:rFonts w:cs="Calibri"/>
          <w:bCs/>
          <w:sz w:val="20"/>
          <w:szCs w:val="20"/>
          <w:lang w:val="pl-PL"/>
        </w:rPr>
      </w:pPr>
      <w:r w:rsidRPr="00236226">
        <w:rPr>
          <w:rFonts w:cs="Calibri"/>
          <w:bCs/>
          <w:sz w:val="20"/>
          <w:szCs w:val="20"/>
        </w:rPr>
        <w:t xml:space="preserve">Izvor: </w:t>
      </w:r>
      <w:r w:rsidR="00DB6CAA" w:rsidRPr="00DB6CAA">
        <w:t xml:space="preserve"> </w:t>
      </w:r>
      <w:r w:rsidR="00DB6CAA" w:rsidRPr="00DB6CAA">
        <w:rPr>
          <w:rFonts w:cs="Calibri"/>
          <w:bCs/>
          <w:sz w:val="20"/>
          <w:szCs w:val="20"/>
        </w:rPr>
        <w:t>Grad Zagreb, Gradski ured za gospodarstvo, ekološku održivost i strategijsko planiranje</w:t>
      </w:r>
      <w:r w:rsidR="00DB6CAA">
        <w:rPr>
          <w:rFonts w:cs="Calibri"/>
          <w:bCs/>
          <w:sz w:val="20"/>
          <w:szCs w:val="20"/>
        </w:rPr>
        <w:t>, 2022.</w:t>
      </w:r>
    </w:p>
    <w:p w14:paraId="7553CBD8" w14:textId="77777777" w:rsidR="00E55BCB" w:rsidRDefault="00E55BCB" w:rsidP="00C5315F">
      <w:pPr>
        <w:widowControl w:val="0"/>
        <w:ind w:right="70"/>
        <w:jc w:val="both"/>
        <w:rPr>
          <w:rFonts w:cs="Calibri"/>
          <w:bCs/>
          <w:sz w:val="20"/>
          <w:szCs w:val="20"/>
          <w:lang w:val="pl-PL"/>
        </w:rPr>
      </w:pPr>
    </w:p>
    <w:p w14:paraId="2456A2A7" w14:textId="2387045B" w:rsidR="00E55BCB" w:rsidRDefault="00E55BCB" w:rsidP="00C5315F">
      <w:pPr>
        <w:widowControl w:val="0"/>
        <w:ind w:right="70"/>
        <w:jc w:val="both"/>
        <w:rPr>
          <w:rFonts w:cs="Calibri"/>
          <w:bCs/>
          <w:sz w:val="20"/>
          <w:szCs w:val="20"/>
          <w:lang w:val="pl-PL"/>
        </w:rPr>
      </w:pPr>
    </w:p>
    <w:p w14:paraId="0DBED8ED" w14:textId="77777777" w:rsidR="00E2286C" w:rsidRDefault="00E2286C" w:rsidP="00C5315F">
      <w:pPr>
        <w:widowControl w:val="0"/>
        <w:ind w:right="70"/>
        <w:jc w:val="both"/>
        <w:rPr>
          <w:rFonts w:cs="Calibri"/>
          <w:bCs/>
          <w:sz w:val="20"/>
          <w:szCs w:val="20"/>
          <w:lang w:val="pl-PL"/>
        </w:rPr>
      </w:pPr>
    </w:p>
    <w:p w14:paraId="2D8981A1" w14:textId="742349D7" w:rsidR="00C5315F" w:rsidRDefault="00E2286C" w:rsidP="00E2286C">
      <w:pPr>
        <w:pStyle w:val="Opisslike"/>
        <w:rPr>
          <w:rFonts w:cs="Calibri"/>
          <w:bCs/>
        </w:rPr>
      </w:pPr>
      <w:r>
        <w:t xml:space="preserve">Graf </w:t>
      </w:r>
      <w:r w:rsidR="00751C19">
        <w:fldChar w:fldCharType="begin"/>
      </w:r>
      <w:r w:rsidR="00751C19">
        <w:instrText xml:space="preserve"> SEQ Graf \* ARABIC </w:instrText>
      </w:r>
      <w:r w:rsidR="00751C19">
        <w:fldChar w:fldCharType="separate"/>
      </w:r>
      <w:r w:rsidR="00DE17C9">
        <w:rPr>
          <w:noProof/>
        </w:rPr>
        <w:t>3</w:t>
      </w:r>
      <w:r w:rsidR="00751C19">
        <w:rPr>
          <w:noProof/>
        </w:rPr>
        <w:fldChar w:fldCharType="end"/>
      </w:r>
      <w:r>
        <w:t xml:space="preserve">. </w:t>
      </w:r>
      <w:r w:rsidRPr="00CD1685">
        <w:t xml:space="preserve">Stvarno korištenje </w:t>
      </w:r>
      <w:r w:rsidR="00282AFE">
        <w:t>površina</w:t>
      </w:r>
      <w:r w:rsidR="00282AFE" w:rsidRPr="00CD1685">
        <w:t xml:space="preserve"> </w:t>
      </w:r>
      <w:r w:rsidRPr="00CD1685">
        <w:t>Grada Zagreba 20</w:t>
      </w:r>
      <w:r w:rsidR="00F875F8">
        <w:t>20</w:t>
      </w:r>
      <w:r w:rsidRPr="00CD1685">
        <w:t>. po gradskim četvrtima</w:t>
      </w:r>
    </w:p>
    <w:p w14:paraId="0F3ED096" w14:textId="42BADC91" w:rsidR="00C5315F" w:rsidRDefault="00C5315F" w:rsidP="00C5315F">
      <w:pPr>
        <w:jc w:val="both"/>
        <w:rPr>
          <w:rFonts w:cs="Calibri"/>
          <w:noProof/>
          <w:sz w:val="20"/>
          <w:szCs w:val="20"/>
          <w:lang w:eastAsia="hr-HR"/>
        </w:rPr>
      </w:pPr>
      <w:r w:rsidRPr="00281558">
        <w:rPr>
          <w:rFonts w:cs="Calibri"/>
          <w:noProof/>
          <w:sz w:val="20"/>
          <w:szCs w:val="20"/>
          <w:lang w:eastAsia="hr-HR"/>
        </w:rPr>
        <w:drawing>
          <wp:inline distT="0" distB="0" distL="0" distR="0" wp14:anchorId="712393D6" wp14:editId="5736784D">
            <wp:extent cx="5676734" cy="3636000"/>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676734" cy="3636000"/>
                    </a:xfrm>
                    <a:prstGeom prst="rect">
                      <a:avLst/>
                    </a:prstGeom>
                    <a:noFill/>
                    <a:ln>
                      <a:noFill/>
                    </a:ln>
                  </pic:spPr>
                </pic:pic>
              </a:graphicData>
            </a:graphic>
          </wp:inline>
        </w:drawing>
      </w:r>
    </w:p>
    <w:p w14:paraId="77D4CED3" w14:textId="183A2E08" w:rsidR="00C5315F" w:rsidRDefault="00C5315F" w:rsidP="00C5315F">
      <w:pPr>
        <w:jc w:val="both"/>
        <w:rPr>
          <w:rFonts w:cs="Calibri"/>
          <w:bCs/>
          <w:sz w:val="20"/>
          <w:szCs w:val="20"/>
        </w:rPr>
      </w:pPr>
      <w:r w:rsidRPr="00236226">
        <w:rPr>
          <w:rFonts w:cs="Calibri"/>
          <w:bCs/>
          <w:sz w:val="20"/>
          <w:szCs w:val="20"/>
        </w:rPr>
        <w:t xml:space="preserve">Izvor: </w:t>
      </w:r>
      <w:r w:rsidR="003367C9" w:rsidRPr="003367C9">
        <w:rPr>
          <w:rFonts w:cs="Calibri"/>
          <w:bCs/>
          <w:sz w:val="20"/>
          <w:szCs w:val="20"/>
        </w:rPr>
        <w:t>Grad Zagreb, Gradski ured za gospodarstvo, ekološku održivost i strategijsko planiranje</w:t>
      </w:r>
      <w:r w:rsidR="003367C9">
        <w:rPr>
          <w:rFonts w:cs="Calibri"/>
          <w:bCs/>
          <w:sz w:val="20"/>
          <w:szCs w:val="20"/>
        </w:rPr>
        <w:t>, 2022.</w:t>
      </w:r>
      <w:r>
        <w:rPr>
          <w:rFonts w:cs="Calibri"/>
          <w:bCs/>
          <w:sz w:val="20"/>
          <w:szCs w:val="20"/>
        </w:rPr>
        <w:t>.</w:t>
      </w:r>
    </w:p>
    <w:p w14:paraId="3A0F67AB" w14:textId="77777777" w:rsidR="00C5315F" w:rsidRPr="00A33E06" w:rsidRDefault="00C5315F" w:rsidP="00C5315F">
      <w:pPr>
        <w:widowControl w:val="0"/>
        <w:spacing w:line="240" w:lineRule="auto"/>
        <w:ind w:right="70"/>
        <w:jc w:val="both"/>
        <w:rPr>
          <w:rFonts w:cs="Calibri"/>
        </w:rPr>
      </w:pPr>
      <w:r w:rsidRPr="00A33E06">
        <w:rPr>
          <w:rFonts w:cs="Calibri"/>
        </w:rPr>
        <w:t xml:space="preserve">Usporedna analiza stvarnog korištenja prostora po gradskim četvrtima ukazuje na značajne razlike odražavajući tako </w:t>
      </w:r>
      <w:r>
        <w:rPr>
          <w:rFonts w:cs="Calibri"/>
        </w:rPr>
        <w:t>i</w:t>
      </w:r>
      <w:r w:rsidRPr="00A33E06">
        <w:rPr>
          <w:rFonts w:cs="Calibri"/>
        </w:rPr>
        <w:t xml:space="preserve"> razlike u prostornom identitetu, od udjela u zastupljenosti namjena tipičnog urbanog, do suburbanog i ruralnog karaktera, što ukazuje i na potrebu različitog pristupa u planiranju njihova razvoja temeljenog na različitom i specifičnom vrijednosnom sustavu.</w:t>
      </w:r>
    </w:p>
    <w:p w14:paraId="7C08DE10" w14:textId="5B8BB852" w:rsidR="00C5315F" w:rsidRDefault="00C5315F" w:rsidP="00C5315F">
      <w:pPr>
        <w:widowControl w:val="0"/>
        <w:spacing w:line="240" w:lineRule="auto"/>
        <w:ind w:right="70"/>
        <w:jc w:val="both"/>
        <w:rPr>
          <w:rFonts w:cs="Calibri"/>
        </w:rPr>
      </w:pPr>
      <w:r w:rsidRPr="000A13B5">
        <w:rPr>
          <w:rFonts w:cs="Calibri"/>
          <w:b/>
        </w:rPr>
        <w:t>Neiskorišteni gradski prostori</w:t>
      </w:r>
      <w:r>
        <w:rPr>
          <w:rFonts w:cs="Calibri"/>
          <w:b/>
        </w:rPr>
        <w:t xml:space="preserve">. </w:t>
      </w:r>
      <w:r w:rsidR="00E55BCB">
        <w:rPr>
          <w:rFonts w:cs="Calibri"/>
        </w:rPr>
        <w:t>U</w:t>
      </w:r>
      <w:r>
        <w:rPr>
          <w:rFonts w:cs="Calibri"/>
        </w:rPr>
        <w:t xml:space="preserve"> prosincu 2017. izrađen je Atlas brownfield površina, radi kvalitetnijeg uvida u </w:t>
      </w:r>
      <w:r>
        <w:t>brojnost, položaj i stanje neiskorištenih površina u Gradu Zagrebu.</w:t>
      </w:r>
      <w:r w:rsidRPr="0023309F">
        <w:rPr>
          <w:rFonts w:cs="Calibri"/>
        </w:rPr>
        <w:t xml:space="preserve"> </w:t>
      </w:r>
      <w:r>
        <w:rPr>
          <w:rFonts w:cs="Calibri"/>
        </w:rPr>
        <w:t>Prema podacima iz Atlasa n</w:t>
      </w:r>
      <w:r w:rsidRPr="0023309F">
        <w:rPr>
          <w:rFonts w:cs="Calibri"/>
        </w:rPr>
        <w:t>a području Grada Zagreba do sada je identificirano 45 neiskorištenih gradskih prostora koji pokrivaju ukupnu površinu od približno 236,2 ha, od čega 1,9 ha površine namjenjene turizmu i ugostiteljstvu, 0</w:t>
      </w:r>
      <w:r w:rsidRPr="00C43F50">
        <w:rPr>
          <w:rFonts w:cs="Calibri"/>
        </w:rPr>
        <w:t>,3 ha stambene namjene, 4,6 ha prometne namjene, 85,4 ha proizvodne namjene, 71,6 ha poslovne namjene, 5,0 ha posebne namjene, 56,9 ha nedovršena gradilišta i 10,5 ha pokrivaju neiskorištene površine javne i društvene namjene. Vlasništvo nad neiskorištenim prostorom imaju Zagrebački holding d.o.o. koji je vlasnik 76,9 ha neiskorištenog prostora, Republika Hrvatska koja je vlasnik 3,8 ha neiskorištenog prostora i Grad Zagreb koji je vlasnik 54,0 ha neiskorištenog prostora dok je 101,3 ha neiskorištenog prostora u vlasništvu ostalih pravnih i fizičkih osoba.</w:t>
      </w:r>
      <w:r>
        <w:rPr>
          <w:rFonts w:cs="Calibri"/>
        </w:rPr>
        <w:t xml:space="preserve"> </w:t>
      </w:r>
    </w:p>
    <w:p w14:paraId="01347C70" w14:textId="77777777" w:rsidR="006B7A0B" w:rsidRPr="006B7A0B" w:rsidRDefault="006B7A0B" w:rsidP="006B7A0B">
      <w:pPr>
        <w:widowControl w:val="0"/>
        <w:spacing w:line="240" w:lineRule="auto"/>
        <w:ind w:right="70"/>
        <w:jc w:val="both"/>
        <w:rPr>
          <w:rFonts w:ascii="Calibri" w:eastAsia="Calibri" w:hAnsi="Calibri" w:cs="Calibri"/>
          <w:b/>
        </w:rPr>
      </w:pPr>
      <w:r w:rsidRPr="006B7A0B">
        <w:rPr>
          <w:rFonts w:ascii="Calibri" w:eastAsia="Calibri" w:hAnsi="Calibri" w:cs="Calibri"/>
        </w:rPr>
        <w:t>Analizom stvarnog korištenja površina 2020. evidentirano je oko 130  brownfield lokacija za koje je potrebno izvršiti detaljniju provjeru i analizu.</w:t>
      </w:r>
    </w:p>
    <w:p w14:paraId="1A2B10E9" w14:textId="77777777" w:rsidR="006B7A0B" w:rsidRPr="00C43F50" w:rsidRDefault="006B7A0B" w:rsidP="00C5315F">
      <w:pPr>
        <w:widowControl w:val="0"/>
        <w:spacing w:line="240" w:lineRule="auto"/>
        <w:ind w:right="70"/>
        <w:jc w:val="both"/>
        <w:rPr>
          <w:rFonts w:cs="Calibri"/>
          <w:b/>
        </w:rPr>
      </w:pPr>
    </w:p>
    <w:p w14:paraId="7B3C0EEF" w14:textId="77777777" w:rsidR="00C5315F" w:rsidRPr="00A33E06" w:rsidRDefault="00C5315F" w:rsidP="00C5315F">
      <w:pPr>
        <w:pStyle w:val="Tijeloteksta2"/>
        <w:ind w:right="70"/>
        <w:rPr>
          <w:rFonts w:ascii="Calibri" w:hAnsi="Calibri" w:cs="Calibri"/>
          <w:b w:val="0"/>
          <w:sz w:val="22"/>
          <w:szCs w:val="22"/>
        </w:rPr>
      </w:pPr>
      <w:r w:rsidRPr="00A33E06">
        <w:rPr>
          <w:rFonts w:ascii="Calibri" w:hAnsi="Calibri" w:cs="Calibri"/>
          <w:bCs w:val="0"/>
          <w:sz w:val="22"/>
          <w:szCs w:val="22"/>
        </w:rPr>
        <w:t>Prostorno - planska dokumentacija.</w:t>
      </w:r>
      <w:r w:rsidRPr="00A33E06">
        <w:rPr>
          <w:rFonts w:ascii="Calibri" w:hAnsi="Calibri" w:cs="Calibri"/>
          <w:b w:val="0"/>
          <w:sz w:val="22"/>
          <w:szCs w:val="22"/>
        </w:rPr>
        <w:t xml:space="preserve"> Prostorni razvoj Grada Zagreba reguliran je sljedećim prostornim planovima</w:t>
      </w:r>
      <w:r w:rsidRPr="00A33E06">
        <w:rPr>
          <w:rStyle w:val="Referencafusnote"/>
          <w:rFonts w:ascii="Calibri" w:hAnsi="Calibri" w:cs="Calibri"/>
          <w:b w:val="0"/>
          <w:sz w:val="22"/>
          <w:szCs w:val="22"/>
        </w:rPr>
        <w:footnoteReference w:id="50"/>
      </w:r>
      <w:r w:rsidRPr="00A33E06">
        <w:rPr>
          <w:rFonts w:ascii="Calibri" w:hAnsi="Calibri" w:cs="Calibri"/>
          <w:b w:val="0"/>
          <w:sz w:val="22"/>
          <w:szCs w:val="22"/>
        </w:rPr>
        <w:t>:</w:t>
      </w:r>
    </w:p>
    <w:p w14:paraId="4A15E23B" w14:textId="77777777" w:rsidR="00C5315F" w:rsidRPr="00A33E06" w:rsidRDefault="00C5315F" w:rsidP="00165C16">
      <w:pPr>
        <w:pStyle w:val="Tijeloteksta2"/>
        <w:numPr>
          <w:ilvl w:val="0"/>
          <w:numId w:val="23"/>
        </w:numPr>
        <w:ind w:right="70"/>
        <w:rPr>
          <w:rFonts w:ascii="Calibri" w:hAnsi="Calibri" w:cs="Calibri"/>
          <w:b w:val="0"/>
          <w:sz w:val="22"/>
          <w:szCs w:val="22"/>
        </w:rPr>
      </w:pPr>
      <w:r w:rsidRPr="00A33E06">
        <w:rPr>
          <w:rFonts w:ascii="Calibri" w:hAnsi="Calibri" w:cs="Calibri"/>
          <w:b w:val="0"/>
          <w:sz w:val="22"/>
          <w:szCs w:val="22"/>
        </w:rPr>
        <w:t>Državne razine: Prostorni plan Park prirode Medvednica, kojim se regulira prostorno uređenje područja posebnih obilježja, ukupne površine 17.938 ha;</w:t>
      </w:r>
    </w:p>
    <w:p w14:paraId="4494D191" w14:textId="0B04B8B5" w:rsidR="00C5315F" w:rsidRPr="00A33E06" w:rsidRDefault="00C5315F" w:rsidP="00165C16">
      <w:pPr>
        <w:pStyle w:val="Tijeloteksta2"/>
        <w:numPr>
          <w:ilvl w:val="0"/>
          <w:numId w:val="23"/>
        </w:numPr>
        <w:ind w:right="70"/>
        <w:rPr>
          <w:rFonts w:ascii="Calibri" w:hAnsi="Calibri" w:cs="Calibri"/>
          <w:b w:val="0"/>
          <w:sz w:val="22"/>
          <w:szCs w:val="22"/>
        </w:rPr>
      </w:pPr>
      <w:r w:rsidRPr="00A33E06">
        <w:rPr>
          <w:rFonts w:ascii="Calibri" w:hAnsi="Calibri" w:cs="Calibri"/>
          <w:b w:val="0"/>
          <w:sz w:val="22"/>
          <w:szCs w:val="22"/>
        </w:rPr>
        <w:t>Područne (regionalne) razine: Prostorni plan Grada Zagreba, kojim se regulira prostorno uređenje cjelokupnog prostora Grada Zagreba sa 70 naselja, ukupne površine 64.1</w:t>
      </w:r>
      <w:r w:rsidR="006B7A0B">
        <w:rPr>
          <w:rFonts w:ascii="Calibri" w:hAnsi="Calibri" w:cs="Calibri"/>
          <w:b w:val="0"/>
          <w:sz w:val="22"/>
          <w:szCs w:val="22"/>
        </w:rPr>
        <w:t>24</w:t>
      </w:r>
      <w:r w:rsidRPr="00A33E06">
        <w:rPr>
          <w:rFonts w:ascii="Calibri" w:hAnsi="Calibri" w:cs="Calibri"/>
          <w:b w:val="0"/>
          <w:sz w:val="22"/>
          <w:szCs w:val="22"/>
        </w:rPr>
        <w:t xml:space="preserve"> ha;</w:t>
      </w:r>
    </w:p>
    <w:p w14:paraId="1C38833E" w14:textId="77777777" w:rsidR="00C5315F" w:rsidRPr="00A33E06" w:rsidRDefault="00C5315F" w:rsidP="00165C16">
      <w:pPr>
        <w:pStyle w:val="Tijeloteksta2"/>
        <w:numPr>
          <w:ilvl w:val="0"/>
          <w:numId w:val="23"/>
        </w:numPr>
        <w:ind w:right="70"/>
        <w:rPr>
          <w:rFonts w:ascii="Calibri" w:hAnsi="Calibri" w:cs="Calibri"/>
          <w:b w:val="0"/>
          <w:sz w:val="22"/>
          <w:szCs w:val="22"/>
        </w:rPr>
      </w:pPr>
      <w:r w:rsidRPr="00A33E06">
        <w:rPr>
          <w:rFonts w:ascii="Calibri" w:hAnsi="Calibri" w:cs="Calibri"/>
          <w:b w:val="0"/>
          <w:sz w:val="22"/>
          <w:szCs w:val="22"/>
        </w:rPr>
        <w:t>Lokalne razine: Generalni urbanistički plan grada Zagreba, kojim se regulira prostorno uređenje naselja grad Zagreb, ukupne površine 22.000 ha;</w:t>
      </w:r>
    </w:p>
    <w:p w14:paraId="3F0F93A7" w14:textId="77777777" w:rsidR="00C5315F" w:rsidRPr="00A33E06" w:rsidRDefault="00C5315F" w:rsidP="00165C16">
      <w:pPr>
        <w:pStyle w:val="Tijeloteksta2"/>
        <w:numPr>
          <w:ilvl w:val="0"/>
          <w:numId w:val="23"/>
        </w:numPr>
        <w:ind w:right="70"/>
        <w:rPr>
          <w:rFonts w:ascii="Calibri" w:hAnsi="Calibri" w:cs="Calibri"/>
          <w:b w:val="0"/>
          <w:sz w:val="22"/>
          <w:szCs w:val="22"/>
        </w:rPr>
      </w:pPr>
      <w:r w:rsidRPr="00A33E06">
        <w:rPr>
          <w:rFonts w:ascii="Calibri" w:hAnsi="Calibri" w:cs="Calibri"/>
          <w:b w:val="0"/>
          <w:sz w:val="22"/>
          <w:szCs w:val="22"/>
        </w:rPr>
        <w:t>Lokalne razine: Generalni urbanistički plan Sesveta, kojim se regulira prostorno uređenje naselja Sesvete, ukupne površine 1.790 ha.</w:t>
      </w:r>
    </w:p>
    <w:p w14:paraId="441E17D8" w14:textId="33921A12" w:rsidR="00C5315F" w:rsidRDefault="00C5315F" w:rsidP="00C259BD">
      <w:pPr>
        <w:tabs>
          <w:tab w:val="left" w:pos="-720"/>
        </w:tabs>
        <w:suppressAutoHyphens/>
        <w:spacing w:line="240" w:lineRule="auto"/>
        <w:ind w:right="70"/>
        <w:jc w:val="both"/>
        <w:rPr>
          <w:rFonts w:cs="Calibri"/>
          <w:bCs/>
        </w:rPr>
      </w:pPr>
      <w:r w:rsidRPr="00A33E06">
        <w:rPr>
          <w:rFonts w:cs="Calibri"/>
          <w:bCs/>
        </w:rPr>
        <w:t>Približno je trećina površina Grada Zagreba planirana za gradnju, a dvije su trećine planirane za šumarstvo, poljoprivredu, javne i zaštitne zelene površine, prometne površine, vode i vodne dobro i sl.</w:t>
      </w:r>
      <w:r>
        <w:rPr>
          <w:rFonts w:cs="Calibri"/>
          <w:bCs/>
        </w:rPr>
        <w:t xml:space="preserve"> </w:t>
      </w:r>
      <w:r w:rsidR="00C259BD">
        <w:rPr>
          <w:rFonts w:cs="Calibri"/>
          <w:bCs/>
        </w:rPr>
        <w:br/>
      </w:r>
      <w:r w:rsidRPr="00A33E06">
        <w:rPr>
          <w:rFonts w:cs="Calibri"/>
          <w:bCs/>
        </w:rPr>
        <w:t xml:space="preserve">Za neuređene dijelove prostora na kojima se planira nova regulacija ili potpuna transformacija postojeće izgrađene strukture predviđena je izrada urbanističkih planova uređenja područne (regionalne) i lokalne razine – ukupno </w:t>
      </w:r>
      <w:r>
        <w:rPr>
          <w:rFonts w:cs="Calibri"/>
          <w:bCs/>
        </w:rPr>
        <w:t>22</w:t>
      </w:r>
      <w:r w:rsidR="006B7A0B">
        <w:rPr>
          <w:rFonts w:cs="Calibri"/>
          <w:bCs/>
        </w:rPr>
        <w:t>7</w:t>
      </w:r>
      <w:r w:rsidRPr="00A33E06">
        <w:rPr>
          <w:rFonts w:cs="Calibri"/>
          <w:bCs/>
        </w:rPr>
        <w:t xml:space="preserve">. U razdoblju od 1998. do </w:t>
      </w:r>
      <w:r w:rsidR="006B7A0B">
        <w:rPr>
          <w:rFonts w:cs="Calibri"/>
          <w:bCs/>
        </w:rPr>
        <w:t>prosinca 2021.</w:t>
      </w:r>
      <w:r w:rsidRPr="00A33E06">
        <w:rPr>
          <w:rFonts w:cs="Calibri"/>
          <w:bCs/>
        </w:rPr>
        <w:t xml:space="preserve">izrađeno </w:t>
      </w:r>
      <w:r>
        <w:rPr>
          <w:rFonts w:cs="Calibri"/>
          <w:bCs/>
        </w:rPr>
        <w:t xml:space="preserve">je </w:t>
      </w:r>
      <w:r w:rsidRPr="00A33E06">
        <w:rPr>
          <w:rFonts w:cs="Calibri"/>
          <w:bCs/>
        </w:rPr>
        <w:t xml:space="preserve">i doneseno ukupno </w:t>
      </w:r>
      <w:r w:rsidR="006B7A0B">
        <w:rPr>
          <w:rFonts w:cs="Calibri"/>
          <w:bCs/>
        </w:rPr>
        <w:t xml:space="preserve">100 </w:t>
      </w:r>
      <w:r>
        <w:rPr>
          <w:rFonts w:cs="Calibri"/>
          <w:bCs/>
        </w:rPr>
        <w:t xml:space="preserve"> </w:t>
      </w:r>
      <w:r w:rsidRPr="00A33E06">
        <w:rPr>
          <w:rFonts w:cs="Calibri"/>
          <w:bCs/>
        </w:rPr>
        <w:t xml:space="preserve">urbanističkih planova uređenja područne (regionalne) i lokalne razine. </w:t>
      </w:r>
      <w:r>
        <w:rPr>
          <w:rFonts w:cs="Calibri"/>
          <w:bCs/>
        </w:rPr>
        <w:t>Unutar obuhvata Prostornog plana Parka prirode Medvednica donesena su 2 UPU-a, unutar građevinskih područja naselja Prostornog plana Grada Zagreba doneseno je 1</w:t>
      </w:r>
      <w:r w:rsidR="006B7A0B">
        <w:rPr>
          <w:rFonts w:cs="Calibri"/>
          <w:bCs/>
        </w:rPr>
        <w:t>6</w:t>
      </w:r>
      <w:r>
        <w:rPr>
          <w:rFonts w:cs="Calibri"/>
          <w:bCs/>
        </w:rPr>
        <w:t xml:space="preserve"> UPU-a, unutar GUP-a grada Zagreba doneseno je </w:t>
      </w:r>
      <w:r w:rsidR="006B7A0B">
        <w:rPr>
          <w:rFonts w:cs="Calibri"/>
          <w:bCs/>
        </w:rPr>
        <w:t>70</w:t>
      </w:r>
      <w:r>
        <w:rPr>
          <w:rFonts w:cs="Calibri"/>
          <w:bCs/>
        </w:rPr>
        <w:t xml:space="preserve"> UPU-a i unutar GUP-a Sesveta doneseno je 1</w:t>
      </w:r>
      <w:r w:rsidR="006B7A0B">
        <w:rPr>
          <w:rFonts w:cs="Calibri"/>
          <w:bCs/>
        </w:rPr>
        <w:t>2</w:t>
      </w:r>
      <w:r>
        <w:rPr>
          <w:rFonts w:cs="Calibri"/>
          <w:bCs/>
        </w:rPr>
        <w:t xml:space="preserve"> UPU-a.</w:t>
      </w:r>
    </w:p>
    <w:p w14:paraId="60BCC4AD" w14:textId="77777777" w:rsidR="00E2286C" w:rsidRDefault="00E2286C" w:rsidP="00C259BD">
      <w:pPr>
        <w:tabs>
          <w:tab w:val="left" w:pos="-720"/>
        </w:tabs>
        <w:suppressAutoHyphens/>
        <w:spacing w:line="240" w:lineRule="auto"/>
        <w:ind w:right="70"/>
        <w:jc w:val="both"/>
        <w:rPr>
          <w:rFonts w:cs="Calibri"/>
          <w:bCs/>
        </w:rPr>
      </w:pPr>
    </w:p>
    <w:p w14:paraId="0AEB3E6E" w14:textId="06FEFA7C" w:rsidR="00E2286C" w:rsidRDefault="00E2286C" w:rsidP="00E2286C">
      <w:pPr>
        <w:pStyle w:val="Opisslike"/>
      </w:pPr>
      <w:r>
        <w:t xml:space="preserve">Slika </w:t>
      </w:r>
      <w:r w:rsidR="00751C19">
        <w:fldChar w:fldCharType="begin"/>
      </w:r>
      <w:r w:rsidR="00751C19">
        <w:instrText xml:space="preserve"> SEQ Slika \* ARABIC </w:instrText>
      </w:r>
      <w:r w:rsidR="00751C19">
        <w:fldChar w:fldCharType="separate"/>
      </w:r>
      <w:r w:rsidR="00ED75AB">
        <w:rPr>
          <w:noProof/>
        </w:rPr>
        <w:t>2</w:t>
      </w:r>
      <w:r w:rsidR="00751C19">
        <w:rPr>
          <w:noProof/>
        </w:rPr>
        <w:fldChar w:fldCharType="end"/>
      </w:r>
      <w:r>
        <w:t xml:space="preserve">. </w:t>
      </w:r>
      <w:r w:rsidRPr="00ED0C36">
        <w:t>Planirana namjena površina 20</w:t>
      </w:r>
      <w:r w:rsidR="00073B22">
        <w:t>20</w:t>
      </w:r>
      <w:r w:rsidRPr="00ED0C36">
        <w:t>.</w:t>
      </w:r>
    </w:p>
    <w:p w14:paraId="1F8EE98D" w14:textId="77777777" w:rsidR="00E2286C" w:rsidRPr="00E2286C" w:rsidRDefault="00E2286C" w:rsidP="00E2286C"/>
    <w:p w14:paraId="09B0CF0F" w14:textId="443EDEBC" w:rsidR="00C5315F" w:rsidRDefault="00C5315F" w:rsidP="00C5315F">
      <w:pPr>
        <w:spacing w:line="240" w:lineRule="auto"/>
        <w:ind w:right="70"/>
        <w:jc w:val="both"/>
        <w:rPr>
          <w:rFonts w:cs="Calibri"/>
          <w:noProof/>
          <w:lang w:eastAsia="hr-HR"/>
        </w:rPr>
      </w:pPr>
      <w:r w:rsidRPr="00281558">
        <w:rPr>
          <w:rFonts w:cs="Calibri"/>
          <w:noProof/>
          <w:lang w:eastAsia="hr-HR"/>
        </w:rPr>
        <w:drawing>
          <wp:inline distT="0" distB="0" distL="0" distR="0" wp14:anchorId="7CEB6F20" wp14:editId="7CF70394">
            <wp:extent cx="5760720" cy="370857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60720" cy="3708572"/>
                    </a:xfrm>
                    <a:prstGeom prst="rect">
                      <a:avLst/>
                    </a:prstGeom>
                    <a:noFill/>
                    <a:ln>
                      <a:noFill/>
                    </a:ln>
                  </pic:spPr>
                </pic:pic>
              </a:graphicData>
            </a:graphic>
          </wp:inline>
        </w:drawing>
      </w:r>
    </w:p>
    <w:p w14:paraId="5F0431B0" w14:textId="7EDC27A2" w:rsidR="00C5315F" w:rsidRPr="00A33E06" w:rsidRDefault="00C5315F" w:rsidP="00C5315F">
      <w:pPr>
        <w:spacing w:line="240" w:lineRule="auto"/>
        <w:ind w:right="70"/>
        <w:jc w:val="both"/>
        <w:rPr>
          <w:rFonts w:cs="Calibri"/>
          <w:bCs/>
        </w:rPr>
      </w:pPr>
      <w:r>
        <w:rPr>
          <w:rFonts w:cs="Calibri"/>
          <w:noProof/>
          <w:lang w:eastAsia="hr-HR"/>
        </w:rPr>
        <w:t xml:space="preserve">Izvor: </w:t>
      </w:r>
      <w:r w:rsidR="00073B22" w:rsidRPr="00073B22">
        <w:rPr>
          <w:rFonts w:cs="Calibri"/>
          <w:noProof/>
          <w:lang w:eastAsia="hr-HR"/>
        </w:rPr>
        <w:t>Grad Zagreb, Gradski ured za gospodarstvo, ekološku održivost i strategijsko planiranje</w:t>
      </w:r>
      <w:r w:rsidR="00073B22">
        <w:rPr>
          <w:rFonts w:cs="Calibri"/>
          <w:noProof/>
          <w:lang w:eastAsia="hr-HR"/>
        </w:rPr>
        <w:t>, 2022.</w:t>
      </w:r>
    </w:p>
    <w:p w14:paraId="3EF31277" w14:textId="77777777" w:rsidR="00C5315F" w:rsidRPr="00A33E06" w:rsidRDefault="00C5315F" w:rsidP="00C5315F">
      <w:pPr>
        <w:tabs>
          <w:tab w:val="left" w:pos="-720"/>
        </w:tabs>
        <w:suppressAutoHyphens/>
        <w:spacing w:line="240" w:lineRule="auto"/>
        <w:ind w:right="70"/>
        <w:jc w:val="both"/>
        <w:rPr>
          <w:rFonts w:cs="Calibri"/>
          <w:bCs/>
        </w:rPr>
      </w:pPr>
      <w:r w:rsidRPr="00A33E06">
        <w:rPr>
          <w:rFonts w:cs="Calibri"/>
          <w:b/>
          <w:bCs/>
        </w:rPr>
        <w:t>Urbane gustoće.</w:t>
      </w:r>
      <w:r w:rsidRPr="00A33E06">
        <w:rPr>
          <w:rFonts w:cs="Calibri"/>
          <w:bCs/>
        </w:rPr>
        <w:t xml:space="preserve"> Analizom je ustanovljeno da je prosječna gustoća stanovništva Grada Zagreba 12,3 stanovnika po hektaru, a gustoća stanovanja 81,4 stanovnika po hektaru. Usporedbom po gradskim četvrtima uočava se prostor kompaktnog i gusto naseljenog urbanog tkiva središta grada u kojem se posebno ističu gradske četvrti Donji grad (122,7 st/ha, 231,7 st/ha), Trešnjevka – sjever i Trešnjevka – jug, ali i prostor rubnih, slabije urbaniziranih dijelova teritorija Grada Zagreba s najmanjim urbanim gustoćama u gradskim četvrtima, Podsljeme, Sesvete i Brezovica.</w:t>
      </w:r>
    </w:p>
    <w:p w14:paraId="0E183DCB" w14:textId="77777777" w:rsidR="00C5315F" w:rsidRPr="00A33E06" w:rsidRDefault="00C5315F" w:rsidP="00C5315F">
      <w:pPr>
        <w:pStyle w:val="Tijeloteksta2"/>
        <w:ind w:right="70"/>
        <w:rPr>
          <w:rFonts w:ascii="Calibri" w:hAnsi="Calibri" w:cs="Calibri"/>
          <w:b w:val="0"/>
          <w:color w:val="FF0000"/>
          <w:sz w:val="22"/>
          <w:szCs w:val="22"/>
        </w:rPr>
      </w:pPr>
      <w:r w:rsidRPr="00A33E06">
        <w:rPr>
          <w:rFonts w:ascii="Calibri" w:hAnsi="Calibri" w:cs="Calibri"/>
          <w:sz w:val="22"/>
          <w:szCs w:val="22"/>
        </w:rPr>
        <w:t xml:space="preserve">Legalizacija. </w:t>
      </w:r>
      <w:r w:rsidRPr="00A33E06">
        <w:rPr>
          <w:rFonts w:ascii="Calibri" w:hAnsi="Calibri" w:cs="Calibri"/>
          <w:b w:val="0"/>
          <w:sz w:val="22"/>
          <w:szCs w:val="22"/>
        </w:rPr>
        <w:t xml:space="preserve">Problem nelegalne gradnje na širem gradskom prostoru pojavljuje se u svim oblicima: od točkastih iznimki do čitavih enklava – naselja, te u slučajevima koji gabaritima i ostalim parametrima odstupaju od utvrđenih urbanih pravila do gradnje na površinama koje su planskom dokumentacijom predviđene kao negradive. </w:t>
      </w:r>
    </w:p>
    <w:p w14:paraId="53075110" w14:textId="77777777" w:rsidR="00C5315F" w:rsidRDefault="00C5315F" w:rsidP="00C5315F">
      <w:pPr>
        <w:pStyle w:val="Tijeloteksta2"/>
        <w:ind w:right="70"/>
        <w:rPr>
          <w:rFonts w:ascii="Calibri" w:hAnsi="Calibri" w:cs="Calibri"/>
          <w:b w:val="0"/>
          <w:sz w:val="22"/>
          <w:szCs w:val="22"/>
        </w:rPr>
      </w:pPr>
      <w:r w:rsidRPr="006628C9">
        <w:rPr>
          <w:rFonts w:ascii="Calibri" w:hAnsi="Calibri" w:cs="Calibri"/>
          <w:b w:val="0"/>
          <w:sz w:val="22"/>
          <w:szCs w:val="22"/>
        </w:rPr>
        <w:t>U provedbi Zakona o postupanju s nezakonito izgrađenim zgradama (NN br. 86/12,143/13, 65/17 i 14/19) i rokovima propisanima tim Zakonom, do 30. lipnja 2013., odnosno do 30. lipnja 2018. godine, Gradski ured za prostorno uređenje, izgradnju Grada, graditeljstvo, komunalne poslove i promet je zaprimio 102 000 zahtjeva za izdavanje rješenja o izvedenom stanju. Na dan 31. prosinca 2019. bilo je riješeno 99 270 zahtjeva za izdavanje rješenja o izvedenom stanju, pri čemu po daljnjih 922 izdanih rješenja o naknadi za zadržavanje nezakonito izgrađenih zgrada u prostoru, nije plaćena naknada zbog financijske situacije u kojoj se građani nalaze ili zbog uloženih žalbi na rješenja, te nije bilo moguće okončati postupak ozakonjenja tih zgrada.</w:t>
      </w:r>
      <w:r>
        <w:rPr>
          <w:rFonts w:ascii="Calibri" w:hAnsi="Calibri" w:cs="Calibri"/>
          <w:b w:val="0"/>
          <w:sz w:val="22"/>
          <w:szCs w:val="22"/>
        </w:rPr>
        <w:t xml:space="preserve"> </w:t>
      </w:r>
    </w:p>
    <w:p w14:paraId="3ADA25BA" w14:textId="77777777" w:rsidR="00C5315F" w:rsidRDefault="00C5315F" w:rsidP="00C5315F">
      <w:pPr>
        <w:pStyle w:val="Tijeloteksta2"/>
        <w:ind w:right="70"/>
        <w:rPr>
          <w:rFonts w:ascii="Calibri" w:hAnsi="Calibri" w:cs="Calibri"/>
          <w:b w:val="0"/>
          <w:sz w:val="22"/>
          <w:szCs w:val="22"/>
        </w:rPr>
      </w:pPr>
      <w:r w:rsidRPr="00A33E06">
        <w:rPr>
          <w:rFonts w:ascii="Calibri" w:hAnsi="Calibri" w:cs="Calibri"/>
          <w:b w:val="0"/>
          <w:sz w:val="22"/>
          <w:szCs w:val="22"/>
        </w:rPr>
        <w:t>Ukoliko vlasnik legalizirane građevine podnese zahtjev utvrđuje se građevna čestica. Ako je u obuhvatu tako utvrđene građevne čestice gradsko zemljište, Grad je dužan bez provedbe javnog natječaja po tržišnoj cijeni prodati gradsko zemljište.</w:t>
      </w:r>
    </w:p>
    <w:p w14:paraId="5DE624A3" w14:textId="77777777" w:rsidR="00C5315F" w:rsidRPr="00A33E06" w:rsidRDefault="00C5315F" w:rsidP="00C5315F">
      <w:pPr>
        <w:pStyle w:val="Tijeloteksta2"/>
        <w:ind w:right="70"/>
        <w:rPr>
          <w:rFonts w:ascii="Calibri" w:hAnsi="Calibri" w:cs="Calibri"/>
          <w:b w:val="0"/>
          <w:sz w:val="22"/>
          <w:szCs w:val="22"/>
        </w:rPr>
      </w:pPr>
    </w:p>
    <w:p w14:paraId="611879C6" w14:textId="77777777" w:rsidR="00C5315F" w:rsidRPr="00A33E06" w:rsidRDefault="00C5315F" w:rsidP="00C5315F">
      <w:pPr>
        <w:tabs>
          <w:tab w:val="left" w:pos="-720"/>
        </w:tabs>
        <w:suppressAutoHyphens/>
        <w:spacing w:line="240" w:lineRule="auto"/>
        <w:ind w:right="70"/>
        <w:jc w:val="both"/>
        <w:rPr>
          <w:rFonts w:cs="Calibri"/>
          <w:bCs/>
        </w:rPr>
      </w:pPr>
      <w:r w:rsidRPr="00A33E06">
        <w:rPr>
          <w:rFonts w:cs="Calibri"/>
          <w:b/>
        </w:rPr>
        <w:t>Kriteriji za utvrđivanje strategijskog interesa.</w:t>
      </w:r>
      <w:r w:rsidRPr="00A33E06">
        <w:rPr>
          <w:rFonts w:cs="Calibri"/>
          <w:bCs/>
        </w:rPr>
        <w:t xml:space="preserve"> U predmetima utvrđivanja građevnih čestica, kada je u obuhvatu gradsko zemljište, Gradski ured za strategijsko planiranje i razvoj Grada daje mišljenje na prijedlog utvrđivanja građevne čestice i očitovanje o strategijskom interesu Grada, pri čemu su kriteriji:</w:t>
      </w:r>
    </w:p>
    <w:p w14:paraId="030484BD"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zaštita kulturnih i prirodnih vrijednosti,</w:t>
      </w:r>
    </w:p>
    <w:p w14:paraId="5F64F809"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korištenje i namjena prostora u važećoj prostorno-planskoj dokumentaciji (površine prometnih i infrastrukturnih sustava, površine javne i društvene namjene, javnog parka, groblja, površine gospodarske namjene u izdvojenom građevinskom području izvan naselja, zona sanitarne zaštite vode za piće, eksploatacijsko polje mineralne sirovine),</w:t>
      </w:r>
    </w:p>
    <w:p w14:paraId="3F8C6603"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stvarno korištenje prostora (prometne i infrastrukturne površine, površine parka, javne i društvene namjene),</w:t>
      </w:r>
    </w:p>
    <w:p w14:paraId="08324B6C"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prometne i infrastrukturne potrebe u široj zoni,</w:t>
      </w:r>
    </w:p>
    <w:p w14:paraId="0C8428E8"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potreba gradnje javnih i društvenih sadržaja u široj zoni,</w:t>
      </w:r>
    </w:p>
    <w:p w14:paraId="45220860"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površine na kojima je propisana procedura gradskog projekta odnosno izrada UPU-a,</w:t>
      </w:r>
    </w:p>
    <w:p w14:paraId="45A81847"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način izgradnje legaliziranih građevina kojim se osigurava dugotrajnost i sigurnost korištenja</w:t>
      </w:r>
    </w:p>
    <w:p w14:paraId="5CB8279E" w14:textId="77777777" w:rsidR="00C5315F" w:rsidRPr="00A33E06" w:rsidRDefault="00C5315F" w:rsidP="00165C16">
      <w:pPr>
        <w:numPr>
          <w:ilvl w:val="0"/>
          <w:numId w:val="24"/>
        </w:numPr>
        <w:tabs>
          <w:tab w:val="left" w:pos="-720"/>
          <w:tab w:val="left" w:pos="284"/>
          <w:tab w:val="left" w:pos="567"/>
        </w:tabs>
        <w:suppressAutoHyphens/>
        <w:spacing w:after="0" w:line="240" w:lineRule="auto"/>
        <w:ind w:right="70"/>
        <w:jc w:val="both"/>
        <w:rPr>
          <w:rFonts w:cs="Calibri"/>
          <w:bCs/>
        </w:rPr>
      </w:pPr>
      <w:r w:rsidRPr="00A33E06">
        <w:rPr>
          <w:rFonts w:cs="Calibri"/>
          <w:bCs/>
        </w:rPr>
        <w:t>veća gradska zemljišta u područjima zahvaćenim nezakonitom gradnjom za koja još nisu donesene propisane mjere za urbanu obnovu i sanaciju.</w:t>
      </w:r>
    </w:p>
    <w:p w14:paraId="1FD4D1B6" w14:textId="77777777" w:rsidR="00C5315F" w:rsidRPr="00A33E06" w:rsidRDefault="00C5315F" w:rsidP="00C5315F">
      <w:pPr>
        <w:pStyle w:val="Tijeloteksta2"/>
        <w:ind w:right="70"/>
        <w:rPr>
          <w:rFonts w:ascii="Calibri" w:hAnsi="Calibri" w:cs="Calibri"/>
          <w:b w:val="0"/>
          <w:sz w:val="22"/>
          <w:szCs w:val="22"/>
        </w:rPr>
      </w:pPr>
    </w:p>
    <w:tbl>
      <w:tblPr>
        <w:tblW w:w="0" w:type="auto"/>
        <w:shd w:val="clear" w:color="auto" w:fill="CCCCCC"/>
        <w:tblLook w:val="01E0" w:firstRow="1" w:lastRow="1" w:firstColumn="1" w:lastColumn="1" w:noHBand="0" w:noVBand="0"/>
      </w:tblPr>
      <w:tblGrid>
        <w:gridCol w:w="4536"/>
        <w:gridCol w:w="4536"/>
      </w:tblGrid>
      <w:tr w:rsidR="00C5315F" w:rsidRPr="00A33E06" w14:paraId="4E0EF3F4" w14:textId="77777777" w:rsidTr="00072476">
        <w:tc>
          <w:tcPr>
            <w:tcW w:w="4643" w:type="dxa"/>
            <w:shd w:val="clear" w:color="auto" w:fill="CCCCCC"/>
          </w:tcPr>
          <w:p w14:paraId="427DE984" w14:textId="77777777" w:rsidR="00C5315F" w:rsidRPr="00A33E06" w:rsidRDefault="00C5315F" w:rsidP="00072476">
            <w:pPr>
              <w:pStyle w:val="StandardWeb"/>
              <w:spacing w:before="60" w:beforeAutospacing="0" w:after="0" w:afterAutospacing="0" w:line="360" w:lineRule="auto"/>
              <w:ind w:right="70"/>
              <w:rPr>
                <w:rFonts w:ascii="Calibri" w:hAnsi="Calibri" w:cs="Calibri"/>
                <w:b/>
                <w:sz w:val="18"/>
                <w:szCs w:val="18"/>
              </w:rPr>
            </w:pPr>
            <w:r w:rsidRPr="00A33E06">
              <w:rPr>
                <w:rFonts w:ascii="Calibri" w:hAnsi="Calibri" w:cs="Calibri"/>
                <w:b/>
                <w:sz w:val="18"/>
                <w:szCs w:val="18"/>
              </w:rPr>
              <w:t xml:space="preserve">RAZVOJNI PROBLEMI </w:t>
            </w:r>
          </w:p>
        </w:tc>
        <w:tc>
          <w:tcPr>
            <w:tcW w:w="4643" w:type="dxa"/>
            <w:shd w:val="clear" w:color="auto" w:fill="99CCFF"/>
          </w:tcPr>
          <w:p w14:paraId="737441D8" w14:textId="77777777" w:rsidR="00C5315F" w:rsidRPr="00A33E06" w:rsidRDefault="00C5315F" w:rsidP="00072476">
            <w:pPr>
              <w:pStyle w:val="StandardWeb"/>
              <w:spacing w:before="60" w:beforeAutospacing="0" w:after="0" w:afterAutospacing="0" w:line="360" w:lineRule="auto"/>
              <w:ind w:right="70"/>
              <w:rPr>
                <w:rFonts w:ascii="Calibri" w:hAnsi="Calibri" w:cs="Calibri"/>
                <w:b/>
                <w:sz w:val="18"/>
                <w:szCs w:val="18"/>
              </w:rPr>
            </w:pPr>
            <w:r w:rsidRPr="00A33E06">
              <w:rPr>
                <w:rFonts w:ascii="Calibri" w:hAnsi="Calibri" w:cs="Calibri"/>
                <w:b/>
                <w:sz w:val="18"/>
                <w:szCs w:val="18"/>
              </w:rPr>
              <w:t>RAZVOJNE POTREBE</w:t>
            </w:r>
          </w:p>
        </w:tc>
      </w:tr>
      <w:tr w:rsidR="00C5315F" w:rsidRPr="00A33E06" w14:paraId="6307ED59" w14:textId="77777777" w:rsidTr="00072476">
        <w:trPr>
          <w:trHeight w:val="1294"/>
        </w:trPr>
        <w:tc>
          <w:tcPr>
            <w:tcW w:w="4643" w:type="dxa"/>
            <w:shd w:val="clear" w:color="auto" w:fill="CCCCCC"/>
          </w:tcPr>
          <w:p w14:paraId="2EB1B47A"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Ograničeni prostorni resursi</w:t>
            </w:r>
          </w:p>
          <w:p w14:paraId="7265882E"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Prevladavajući postojeći model prostornog razvoja širenjem u neizgrađena područja</w:t>
            </w:r>
          </w:p>
          <w:p w14:paraId="3C264113"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Spora realizacija urbanističkih planova prostornog uređenja lokalne razine</w:t>
            </w:r>
          </w:p>
          <w:p w14:paraId="229B5331"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Zanemareno donošenje urbanističkih planova javnih površina (sport, rekreacija, zelenilo, krajobraz)</w:t>
            </w:r>
          </w:p>
          <w:p w14:paraId="3BD337BF"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Neusklađenost urbanih gustoća i komunalne opremljenosti u nekim područjima</w:t>
            </w:r>
          </w:p>
          <w:p w14:paraId="310E7606"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Planiranje zona visoke gustoće u rubnim gradskim zonama nedovoljne komunalne opremljenosti</w:t>
            </w:r>
          </w:p>
          <w:p w14:paraId="12D2A3A4"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Individualna stambena gradnja na gradskim rubovima neracionalna je za komunalno opremanje</w:t>
            </w:r>
          </w:p>
        </w:tc>
        <w:tc>
          <w:tcPr>
            <w:tcW w:w="4643" w:type="dxa"/>
            <w:vMerge w:val="restart"/>
            <w:shd w:val="clear" w:color="auto" w:fill="99CCFF"/>
          </w:tcPr>
          <w:p w14:paraId="35DC8DCA"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Pr>
                <w:rFonts w:ascii="Calibri" w:hAnsi="Calibri" w:cs="Calibri"/>
                <w:sz w:val="18"/>
                <w:szCs w:val="18"/>
              </w:rPr>
              <w:t>Integrirano o</w:t>
            </w:r>
            <w:r w:rsidRPr="00A33E06">
              <w:rPr>
                <w:rFonts w:ascii="Calibri" w:hAnsi="Calibri" w:cs="Calibri"/>
                <w:sz w:val="18"/>
                <w:szCs w:val="18"/>
              </w:rPr>
              <w:t>drživo planiranje prostornog razvoja</w:t>
            </w:r>
          </w:p>
          <w:p w14:paraId="69385599"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 xml:space="preserve">razvoj </w:t>
            </w:r>
            <w:r>
              <w:rPr>
                <w:rFonts w:ascii="Calibri" w:hAnsi="Calibri" w:cs="Calibri"/>
                <w:sz w:val="18"/>
                <w:szCs w:val="18"/>
              </w:rPr>
              <w:t>što</w:t>
            </w:r>
            <w:r w:rsidRPr="00A33E06">
              <w:rPr>
                <w:rFonts w:ascii="Calibri" w:hAnsi="Calibri" w:cs="Calibri"/>
                <w:sz w:val="18"/>
                <w:szCs w:val="18"/>
              </w:rPr>
              <w:t xml:space="preserve"> više zasnivati na prenamjeni ranije korištenih i napuštenih područja – brownfield</w:t>
            </w:r>
          </w:p>
          <w:p w14:paraId="3138B8E8"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Potrebno je dati naglasak na instrumente realizacije prostorno planske dokumentacije</w:t>
            </w:r>
          </w:p>
          <w:p w14:paraId="681A6C74"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Donošenje urbanističkih planova uređenja lokalne razine u skladu s potrebama društva u cjelini, a naročito za javne površine</w:t>
            </w:r>
          </w:p>
          <w:p w14:paraId="58BF859E"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Izrada kataloga urbanih gustoća</w:t>
            </w:r>
          </w:p>
          <w:p w14:paraId="4675D251" w14:textId="77777777" w:rsidR="00C5315F" w:rsidRPr="00A33E06" w:rsidRDefault="00C5315F" w:rsidP="00165C16">
            <w:pPr>
              <w:numPr>
                <w:ilvl w:val="0"/>
                <w:numId w:val="1"/>
              </w:numPr>
              <w:tabs>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Planirane urbane gustoće uskladiti s mogućnostima komunalnog opremanja, odrediti minimalne i maksimalne gustoće</w:t>
            </w:r>
          </w:p>
          <w:p w14:paraId="3112580D"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Planiranje funkcionalne pristupačnosti za različite skupine (djecu, starije osobe i osobe smanjenih sposobnosti i pokretljivosti)</w:t>
            </w:r>
          </w:p>
          <w:p w14:paraId="27C8B068"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Nadzor i urbana sanacija bespravne gradnje</w:t>
            </w:r>
          </w:p>
          <w:p w14:paraId="59245CC6" w14:textId="77777777" w:rsidR="00C5315F" w:rsidRPr="00A33E06" w:rsidRDefault="00C5315F" w:rsidP="00165C16">
            <w:pPr>
              <w:pStyle w:val="StandardWeb"/>
              <w:numPr>
                <w:ilvl w:val="0"/>
                <w:numId w:val="1"/>
              </w:numPr>
              <w:tabs>
                <w:tab w:val="clear" w:pos="720"/>
                <w:tab w:val="num" w:pos="284"/>
              </w:tabs>
              <w:spacing w:before="60" w:after="60"/>
              <w:ind w:left="284" w:right="70" w:hanging="284"/>
              <w:rPr>
                <w:rFonts w:eastAsia="Arial Unicode MS" w:cs="Calibri"/>
                <w:color w:val="000000"/>
                <w:sz w:val="18"/>
                <w:szCs w:val="18"/>
              </w:rPr>
            </w:pPr>
            <w:r w:rsidRPr="00A33E06">
              <w:rPr>
                <w:rFonts w:ascii="Calibri" w:hAnsi="Calibri" w:cs="Calibri"/>
                <w:sz w:val="18"/>
                <w:szCs w:val="18"/>
              </w:rPr>
              <w:t>Utvrđivanje građevnih čestica legaliziranih građevina</w:t>
            </w:r>
          </w:p>
        </w:tc>
      </w:tr>
      <w:tr w:rsidR="00C5315F" w:rsidRPr="00A33E06" w14:paraId="382550C3" w14:textId="77777777" w:rsidTr="00072476">
        <w:tc>
          <w:tcPr>
            <w:tcW w:w="4643" w:type="dxa"/>
            <w:shd w:val="clear" w:color="auto" w:fill="CCCCCC"/>
          </w:tcPr>
          <w:p w14:paraId="42294BDE" w14:textId="77777777" w:rsidR="00C5315F"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Bespravna gradnja</w:t>
            </w:r>
          </w:p>
          <w:p w14:paraId="45506A00" w14:textId="77777777" w:rsidR="00C5315F" w:rsidRPr="00A33E06" w:rsidRDefault="00C5315F" w:rsidP="000A7030">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982BC8">
              <w:rPr>
                <w:rFonts w:ascii="Calibri" w:hAnsi="Calibri" w:cs="Calibri"/>
                <w:sz w:val="18"/>
                <w:szCs w:val="18"/>
              </w:rPr>
              <w:t>Neusklađenost sustava prostornog planiranja na različitim razinama uzrokuje smanjenu učinkovitost</w:t>
            </w:r>
          </w:p>
        </w:tc>
        <w:tc>
          <w:tcPr>
            <w:tcW w:w="4643" w:type="dxa"/>
            <w:vMerge/>
            <w:shd w:val="clear" w:color="auto" w:fill="99CCFF"/>
          </w:tcPr>
          <w:p w14:paraId="38FF607C"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p>
        </w:tc>
      </w:tr>
    </w:tbl>
    <w:p w14:paraId="0A9808E8" w14:textId="77777777" w:rsidR="00C5315F" w:rsidRPr="00A33E06" w:rsidRDefault="00C5315F" w:rsidP="00C5315F">
      <w:pPr>
        <w:pStyle w:val="Tijeloteksta2"/>
        <w:ind w:right="70"/>
        <w:rPr>
          <w:rFonts w:ascii="Calibri" w:hAnsi="Calibri" w:cs="Calibri"/>
          <w:sz w:val="22"/>
          <w:szCs w:val="22"/>
        </w:rPr>
      </w:pPr>
    </w:p>
    <w:p w14:paraId="059A6B60" w14:textId="77777777" w:rsidR="00C5315F" w:rsidRDefault="00C5315F" w:rsidP="00C5315F">
      <w:pPr>
        <w:spacing w:line="240" w:lineRule="auto"/>
        <w:ind w:right="70"/>
        <w:jc w:val="both"/>
        <w:rPr>
          <w:noProof/>
          <w:lang w:eastAsia="hr-HR"/>
        </w:rPr>
      </w:pPr>
      <w:r>
        <w:rPr>
          <w:rFonts w:cs="Calibri"/>
          <w:b/>
          <w:bCs/>
          <w:color w:val="000000"/>
        </w:rPr>
        <w:t>G</w:t>
      </w:r>
      <w:r w:rsidRPr="00A33E06">
        <w:rPr>
          <w:rFonts w:cs="Calibri"/>
          <w:b/>
          <w:bCs/>
          <w:color w:val="000000"/>
        </w:rPr>
        <w:t>radski projekti</w:t>
      </w:r>
      <w:r>
        <w:rPr>
          <w:rFonts w:cs="Calibri"/>
          <w:b/>
          <w:bCs/>
          <w:color w:val="000000"/>
        </w:rPr>
        <w:t xml:space="preserve"> i strateški gradski projekti.</w:t>
      </w:r>
      <w:r>
        <w:rPr>
          <w:noProof/>
          <w:lang w:eastAsia="hr-HR"/>
        </w:rPr>
        <w:t xml:space="preserve"> G</w:t>
      </w:r>
      <w:r w:rsidRPr="00966300">
        <w:rPr>
          <w:noProof/>
          <w:lang w:eastAsia="hr-HR"/>
        </w:rPr>
        <w:t>radski projekt</w:t>
      </w:r>
      <w:r>
        <w:rPr>
          <w:noProof/>
          <w:lang w:eastAsia="hr-HR"/>
        </w:rPr>
        <w:t>i</w:t>
      </w:r>
      <w:r w:rsidRPr="00966300">
        <w:rPr>
          <w:noProof/>
          <w:lang w:eastAsia="hr-HR"/>
        </w:rPr>
        <w:t xml:space="preserve"> definiraju složene aktivnosti u uređenju prostora od osobitog interesa za Grad, u kojima se Grad javlja kao sudionik u realizaciji bilo da je vlasnik zemljišta bilo da je već uložio ili će tek ulagati u novu gradsku infrastrukturu ili, općenito, u neku novu gradsku kvalitetu</w:t>
      </w:r>
      <w:r>
        <w:rPr>
          <w:noProof/>
          <w:lang w:eastAsia="hr-HR"/>
        </w:rPr>
        <w:t>.</w:t>
      </w:r>
    </w:p>
    <w:p w14:paraId="1015F31B" w14:textId="77777777" w:rsidR="00C5315F" w:rsidRPr="009C2140" w:rsidRDefault="00C5315F" w:rsidP="00C5315F">
      <w:pPr>
        <w:spacing w:line="240" w:lineRule="auto"/>
        <w:ind w:right="70"/>
        <w:jc w:val="both"/>
        <w:rPr>
          <w:rFonts w:cs="Calibri"/>
          <w:noProof/>
          <w:lang w:bidi="hi-IN"/>
        </w:rPr>
      </w:pPr>
      <w:r w:rsidRPr="009C2140">
        <w:rPr>
          <w:rFonts w:cs="Calibri"/>
          <w:noProof/>
          <w:lang w:bidi="hi-IN"/>
        </w:rPr>
        <w:t>Uzimajući u obzir važeće propise, raspoloživu dokumentaciju, te strateške ciljeve razvoja i velik broj gradskih projekata</w:t>
      </w:r>
      <w:r>
        <w:rPr>
          <w:rFonts w:cs="Calibri"/>
          <w:noProof/>
          <w:lang w:bidi="hi-IN"/>
        </w:rPr>
        <w:t xml:space="preserve"> određenih važećom prostorno-planskom dokumentacijom</w:t>
      </w:r>
      <w:r w:rsidRPr="009C2140">
        <w:rPr>
          <w:rFonts w:cs="Calibri"/>
          <w:noProof/>
          <w:lang w:bidi="hi-IN"/>
        </w:rPr>
        <w:t xml:space="preserve">, međusobno vrlo različitih po značenju i utjecaju na razvoj Grada i pojedinih njegovih prostora i funkcija, nužno je uspostaviti razlikovanje unutar velike grupe </w:t>
      </w:r>
      <w:r>
        <w:rPr>
          <w:rFonts w:cs="Calibri"/>
          <w:noProof/>
          <w:lang w:bidi="hi-IN"/>
        </w:rPr>
        <w:t xml:space="preserve">navedenih </w:t>
      </w:r>
      <w:r w:rsidRPr="009C2140">
        <w:rPr>
          <w:rFonts w:cs="Calibri"/>
          <w:noProof/>
          <w:lang w:bidi="hi-IN"/>
        </w:rPr>
        <w:t>gradskih projekata, na način da se u posebnu grupu</w:t>
      </w:r>
      <w:r>
        <w:rPr>
          <w:rFonts w:cs="Calibri"/>
          <w:noProof/>
          <w:lang w:bidi="hi-IN"/>
        </w:rPr>
        <w:t>/kategoriju</w:t>
      </w:r>
      <w:r w:rsidRPr="009C2140">
        <w:rPr>
          <w:rFonts w:cs="Calibri"/>
          <w:noProof/>
          <w:lang w:bidi="hi-IN"/>
        </w:rPr>
        <w:t xml:space="preserve"> izdvoje strateški gradski projekti</w:t>
      </w:r>
      <w:r w:rsidRPr="009C2140">
        <w:rPr>
          <w:rFonts w:cs="Calibri"/>
          <w:b/>
          <w:bCs/>
          <w:noProof/>
          <w:lang w:bidi="hi-IN"/>
        </w:rPr>
        <w:t xml:space="preserve"> </w:t>
      </w:r>
      <w:r w:rsidRPr="009C2140">
        <w:rPr>
          <w:rFonts w:cs="Calibri"/>
          <w:noProof/>
          <w:lang w:bidi="hi-IN"/>
        </w:rPr>
        <w:t>od gradskih projekata.</w:t>
      </w:r>
    </w:p>
    <w:p w14:paraId="351C133F" w14:textId="77777777" w:rsidR="00C5315F" w:rsidRPr="009C2140" w:rsidRDefault="00C5315F" w:rsidP="00C5315F">
      <w:pPr>
        <w:adjustRightInd w:val="0"/>
        <w:spacing w:line="240" w:lineRule="auto"/>
        <w:ind w:right="70"/>
        <w:jc w:val="both"/>
        <w:rPr>
          <w:rFonts w:cs="Calibri"/>
          <w:noProof/>
          <w:color w:val="3366FF"/>
          <w:lang w:bidi="hi-IN"/>
        </w:rPr>
      </w:pPr>
      <w:r w:rsidRPr="009C2140">
        <w:rPr>
          <w:rFonts w:cs="Calibri"/>
          <w:noProof/>
          <w:lang w:bidi="hi-IN"/>
        </w:rPr>
        <w:t>Strateški gradski projekti su projekti uređenja prostora koji su od strateškog značaja, a osobito doprinose razvoju Zagreba kao Grada</w:t>
      </w:r>
      <w:r>
        <w:rPr>
          <w:rFonts w:cs="Calibri"/>
          <w:noProof/>
          <w:lang w:bidi="hi-IN"/>
        </w:rPr>
        <w:t xml:space="preserve"> u skladu s Razvojnom strategijom Grada</w:t>
      </w:r>
      <w:r w:rsidRPr="009C2140">
        <w:rPr>
          <w:rFonts w:cs="Calibri"/>
          <w:noProof/>
          <w:lang w:bidi="hi-IN"/>
        </w:rPr>
        <w:t xml:space="preserve">: konkurentnog gospodarstva, znanja i sveučilišnog Grada, održivog gospodarenja prirodnim resursima i vrijednostima, kvalitetnih prostora, funkcija i javnih servisa, kvalitetnog </w:t>
      </w:r>
      <w:r>
        <w:rPr>
          <w:rFonts w:cs="Calibri"/>
          <w:noProof/>
          <w:lang w:bidi="hi-IN"/>
        </w:rPr>
        <w:t>života, učinkovitog upravljanja, te kao takvi provedbom zahvata imaju za cilju činkovito kontrolirati urbano uređenje, podizati vrijednost grada te time pribavljenu dobit reinvestirati u nove gradske vrijednosti.</w:t>
      </w:r>
    </w:p>
    <w:p w14:paraId="111B39D2" w14:textId="77777777" w:rsidR="00C5315F" w:rsidRPr="009C2140" w:rsidRDefault="00C5315F" w:rsidP="00C5315F">
      <w:pPr>
        <w:autoSpaceDE w:val="0"/>
        <w:autoSpaceDN w:val="0"/>
        <w:adjustRightInd w:val="0"/>
        <w:spacing w:line="240" w:lineRule="auto"/>
        <w:ind w:right="70"/>
        <w:jc w:val="both"/>
        <w:rPr>
          <w:rFonts w:cs="Calibri"/>
          <w:color w:val="000000"/>
          <w:lang w:bidi="hi-IN"/>
        </w:rPr>
      </w:pPr>
      <w:r w:rsidRPr="009C2140">
        <w:rPr>
          <w:rFonts w:cs="Calibri"/>
          <w:color w:val="000000"/>
          <w:lang w:bidi="hi-IN"/>
        </w:rPr>
        <w:t>Generalnim urbanističkim planovima</w:t>
      </w:r>
      <w:r>
        <w:rPr>
          <w:rFonts w:cs="Calibri"/>
          <w:color w:val="000000"/>
          <w:lang w:bidi="hi-IN"/>
        </w:rPr>
        <w:t xml:space="preserve"> omogućuje se izrada gradskih projekata i određuje </w:t>
      </w:r>
      <w:r w:rsidRPr="009C2140">
        <w:rPr>
          <w:rFonts w:cs="Calibri"/>
          <w:color w:val="000000"/>
          <w:lang w:bidi="hi-IN"/>
        </w:rPr>
        <w:t>postupak provođenja gradskog projekta. Osnovna polazišta za razradu gradskih projekata određuju se prema temama i područjima gradskih projekata. Osnovna polazišta za razradu gradskih projekata prema temama su: javni programi stanovanja, afirmacija gradskih linijskih sistema – poteza, gradnja uz gradske avenije i glavne gradske ulice što uključuju trase javnog prijevoza, prenamjena stare industrije, javni sadržaji, površine za rekreaciju, novi gradski parkovi i zelene površine, građevine javne i društvene namjene minimalno gradskog značenja, nosioci identiteta pojedinih urbanističkih cjelina te strateški (razvojni) projekti Grada.</w:t>
      </w:r>
    </w:p>
    <w:p w14:paraId="5C85F046" w14:textId="77777777" w:rsidR="00C5315F" w:rsidRPr="00AD2E5B" w:rsidRDefault="00C5315F" w:rsidP="00C5315F">
      <w:pPr>
        <w:pStyle w:val="Tijeloteksta2"/>
        <w:ind w:right="70"/>
        <w:rPr>
          <w:rFonts w:ascii="Calibri" w:eastAsia="Calibri" w:hAnsi="Calibri" w:cs="Calibri"/>
          <w:b w:val="0"/>
          <w:bCs w:val="0"/>
          <w:color w:val="000000"/>
          <w:sz w:val="22"/>
          <w:szCs w:val="22"/>
          <w:lang w:eastAsia="en-US" w:bidi="hi-IN"/>
        </w:rPr>
      </w:pPr>
      <w:r w:rsidRPr="00AD2E5B">
        <w:rPr>
          <w:rFonts w:ascii="Calibri" w:eastAsia="Calibri" w:hAnsi="Calibri" w:cs="Calibri"/>
          <w:b w:val="0"/>
          <w:bCs w:val="0"/>
          <w:color w:val="000000"/>
          <w:sz w:val="22"/>
          <w:szCs w:val="22"/>
          <w:lang w:eastAsia="en-US" w:bidi="hi-IN"/>
        </w:rPr>
        <w:t>Usporedba s europskim gradovima upućuje na prevelik broj zagrebačkih gradskih projekata odabranih prema neujednačenim kriterijima izbora. Grad Zagreb gospodari znatnim fondom građevinskog zemljišta i građevina, što omogućuje aktivnu ulogu Grada u usmjeravanju i poticanju gospodarskog i prostornog razvoja. Daljnji prostorni razvoj trebao bi se usmjeriti na neke od najvažnijih nekretnina u vlasništvu Grada koje se nalaze u gradskom središtu ili njegovom kontaktnom području: Zagrebački velesajam, blok Badel, kompleksi Zagrepčanka, Gredelj, Paromlin, Vojna bolnica Vlaška i druge. Veliki potencijal predstavljaju i napuštene velike gradnje u vlasništvu Grada i države (npr. Sveučilišna bolnica).</w:t>
      </w:r>
    </w:p>
    <w:p w14:paraId="030E5A23" w14:textId="77777777" w:rsidR="00C5315F" w:rsidRDefault="00C5315F" w:rsidP="00C5315F">
      <w:pPr>
        <w:pStyle w:val="Tijeloteksta2"/>
        <w:ind w:right="70"/>
        <w:rPr>
          <w:rFonts w:ascii="Calibri" w:hAnsi="Calibri" w:cs="Calibri"/>
          <w:sz w:val="22"/>
          <w:szCs w:val="22"/>
        </w:rPr>
      </w:pPr>
    </w:p>
    <w:tbl>
      <w:tblPr>
        <w:tblpPr w:leftFromText="180" w:rightFromText="180" w:vertAnchor="text" w:horzAnchor="margin" w:tblpY="126"/>
        <w:tblW w:w="0" w:type="auto"/>
        <w:shd w:val="clear" w:color="auto" w:fill="CCCCCC"/>
        <w:tblLook w:val="01E0" w:firstRow="1" w:lastRow="1" w:firstColumn="1" w:lastColumn="1" w:noHBand="0" w:noVBand="0"/>
      </w:tblPr>
      <w:tblGrid>
        <w:gridCol w:w="4427"/>
        <w:gridCol w:w="4429"/>
      </w:tblGrid>
      <w:tr w:rsidR="00C5315F" w:rsidRPr="00A33E06" w14:paraId="443CA171" w14:textId="77777777" w:rsidTr="00072476">
        <w:trPr>
          <w:trHeight w:val="3706"/>
        </w:trPr>
        <w:tc>
          <w:tcPr>
            <w:tcW w:w="4427" w:type="dxa"/>
            <w:shd w:val="clear" w:color="auto" w:fill="CCCCCC"/>
          </w:tcPr>
          <w:p w14:paraId="6A452B17"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 xml:space="preserve">RAZVOJNI PROBLEMI </w:t>
            </w:r>
          </w:p>
          <w:p w14:paraId="7A9313A7"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Pr>
                <w:rFonts w:eastAsia="Arial Unicode MS" w:cs="Calibri"/>
                <w:color w:val="000000"/>
                <w:sz w:val="18"/>
                <w:szCs w:val="18"/>
              </w:rPr>
              <w:t>P</w:t>
            </w:r>
            <w:r w:rsidRPr="00A33E06">
              <w:rPr>
                <w:rFonts w:eastAsia="Arial Unicode MS" w:cs="Calibri"/>
                <w:color w:val="000000"/>
                <w:sz w:val="18"/>
                <w:szCs w:val="18"/>
              </w:rPr>
              <w:t xml:space="preserve">revelik broj gradskih projekata </w:t>
            </w:r>
          </w:p>
          <w:p w14:paraId="7765E8FF"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Pr>
                <w:rFonts w:eastAsia="Arial Unicode MS" w:cs="Calibri"/>
                <w:color w:val="000000"/>
                <w:sz w:val="18"/>
                <w:szCs w:val="18"/>
              </w:rPr>
              <w:t>S</w:t>
            </w:r>
            <w:r w:rsidRPr="00A33E06">
              <w:rPr>
                <w:rFonts w:eastAsia="Arial Unicode MS" w:cs="Calibri"/>
                <w:color w:val="000000"/>
                <w:sz w:val="18"/>
                <w:szCs w:val="18"/>
              </w:rPr>
              <w:t>ustav u kojem zasebno egzistiraju različite liste gradskih projekata i prioriteta vezane uz pojedine sektore</w:t>
            </w:r>
          </w:p>
          <w:p w14:paraId="1BA87E3E"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w:t>
            </w:r>
            <w:r>
              <w:rPr>
                <w:rFonts w:eastAsia="Arial Unicode MS" w:cs="Calibri"/>
                <w:color w:val="000000"/>
                <w:sz w:val="18"/>
                <w:szCs w:val="18"/>
              </w:rPr>
              <w:t xml:space="preserve">ujednačeni </w:t>
            </w:r>
            <w:r w:rsidRPr="00A33E06">
              <w:rPr>
                <w:rFonts w:eastAsia="Arial Unicode MS" w:cs="Calibri"/>
                <w:color w:val="000000"/>
                <w:sz w:val="18"/>
                <w:szCs w:val="18"/>
              </w:rPr>
              <w:t>kriteriji po kojima se definira strateški gradski projekt</w:t>
            </w:r>
          </w:p>
          <w:p w14:paraId="29FFD0E3"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Nedovoljno razrađen sustav pripreme i provedbe strateških gradskih projekata</w:t>
            </w:r>
          </w:p>
          <w:p w14:paraId="55FD6F6D" w14:textId="77777777" w:rsidR="00C5315F" w:rsidRPr="00263300"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263300">
              <w:rPr>
                <w:rFonts w:eastAsia="Arial Unicode MS" w:cs="Calibri"/>
                <w:color w:val="000000"/>
                <w:sz w:val="18"/>
                <w:szCs w:val="18"/>
              </w:rPr>
              <w:t>Nedostatna financijska sredstva za realizaciju strateških projekata</w:t>
            </w:r>
          </w:p>
          <w:p w14:paraId="76A89611" w14:textId="77777777" w:rsidR="00C5315F" w:rsidRPr="00796B14"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Nedovoljni kapaciteti gradske administracije za provedbu strateških gradskih projekata</w:t>
            </w:r>
          </w:p>
        </w:tc>
        <w:tc>
          <w:tcPr>
            <w:tcW w:w="4429" w:type="dxa"/>
            <w:shd w:val="clear" w:color="auto" w:fill="99CCFF"/>
          </w:tcPr>
          <w:p w14:paraId="3C91F27A"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RAZVOJNE POTREBE</w:t>
            </w:r>
          </w:p>
          <w:p w14:paraId="4610062A"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Ponovo definirati što je gradski projekt</w:t>
            </w:r>
          </w:p>
          <w:p w14:paraId="6FC95CE9"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 xml:space="preserve">Utvrditi </w:t>
            </w:r>
            <w:r>
              <w:rPr>
                <w:rFonts w:eastAsia="Arial Unicode MS" w:cs="Calibri"/>
                <w:color w:val="000000"/>
                <w:sz w:val="18"/>
                <w:szCs w:val="18"/>
              </w:rPr>
              <w:t>kriterije</w:t>
            </w:r>
            <w:r w:rsidRPr="00A33E06">
              <w:rPr>
                <w:rFonts w:eastAsia="Arial Unicode MS" w:cs="Calibri"/>
                <w:color w:val="000000"/>
                <w:sz w:val="18"/>
                <w:szCs w:val="18"/>
              </w:rPr>
              <w:t xml:space="preserve"> za definiranje projekta kao strateškog</w:t>
            </w:r>
          </w:p>
          <w:p w14:paraId="1AFE46D1"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Utvrditi proceduru pripreme i provedbe strateških gradskih projekata</w:t>
            </w:r>
          </w:p>
          <w:p w14:paraId="27EF7042"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Istražiti mogućnosti financiranja projekata (javno-privatno partnerstvo</w:t>
            </w:r>
            <w:r w:rsidRPr="00263300">
              <w:rPr>
                <w:rFonts w:eastAsia="Arial Unicode MS" w:cs="Calibri"/>
                <w:color w:val="000000"/>
                <w:sz w:val="18"/>
                <w:szCs w:val="18"/>
              </w:rPr>
              <w:t xml:space="preserve">,  bespovratna sredstva </w:t>
            </w:r>
            <w:r w:rsidRPr="002B5011">
              <w:rPr>
                <w:rFonts w:cs="Calibri"/>
                <w:sz w:val="18"/>
                <w:szCs w:val="18"/>
              </w:rPr>
              <w:t xml:space="preserve"> EU i/ili sredstva drugih nacionalnih i/ili međunarodnih institucija</w:t>
            </w:r>
            <w:r w:rsidRPr="00A33E06">
              <w:rPr>
                <w:rFonts w:eastAsia="Arial Unicode MS" w:cs="Calibri"/>
                <w:color w:val="000000"/>
                <w:sz w:val="18"/>
                <w:szCs w:val="18"/>
              </w:rPr>
              <w:t>)</w:t>
            </w:r>
          </w:p>
          <w:p w14:paraId="27B24D86"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 xml:space="preserve">Jačanje kapaciteta za </w:t>
            </w:r>
            <w:r>
              <w:rPr>
                <w:rFonts w:eastAsia="Arial Unicode MS" w:cs="Calibri"/>
                <w:color w:val="000000"/>
                <w:sz w:val="18"/>
                <w:szCs w:val="18"/>
              </w:rPr>
              <w:t xml:space="preserve">pripremu i </w:t>
            </w:r>
            <w:r w:rsidRPr="00A33E06">
              <w:rPr>
                <w:rFonts w:eastAsia="Arial Unicode MS" w:cs="Calibri"/>
                <w:color w:val="000000"/>
                <w:sz w:val="18"/>
                <w:szCs w:val="18"/>
              </w:rPr>
              <w:t>provedbu</w:t>
            </w:r>
            <w:r>
              <w:rPr>
                <w:rFonts w:eastAsia="Arial Unicode MS" w:cs="Calibri"/>
                <w:color w:val="000000"/>
                <w:sz w:val="18"/>
                <w:szCs w:val="18"/>
              </w:rPr>
              <w:t xml:space="preserve"> </w:t>
            </w:r>
            <w:r w:rsidRPr="002B5011">
              <w:rPr>
                <w:rFonts w:eastAsia="Arial Unicode MS" w:cs="Calibri"/>
                <w:color w:val="000000"/>
                <w:sz w:val="18"/>
                <w:szCs w:val="18"/>
              </w:rPr>
              <w:t xml:space="preserve"> strateških projekata</w:t>
            </w:r>
          </w:p>
          <w:p w14:paraId="1762CC19" w14:textId="095D57E7" w:rsidR="00C5315F" w:rsidRPr="00A33E06" w:rsidRDefault="00C5315F" w:rsidP="008C03CC">
            <w:pPr>
              <w:numPr>
                <w:ilvl w:val="0"/>
                <w:numId w:val="1"/>
              </w:numPr>
              <w:tabs>
                <w:tab w:val="clear" w:pos="720"/>
                <w:tab w:val="num" w:pos="284"/>
              </w:tabs>
              <w:spacing w:before="60" w:after="60" w:line="240" w:lineRule="auto"/>
              <w:ind w:left="284" w:right="70" w:hanging="284"/>
              <w:rPr>
                <w:rFonts w:eastAsia="Arial Unicode MS" w:cs="Calibri"/>
                <w:b/>
                <w:color w:val="000000"/>
                <w:sz w:val="18"/>
                <w:szCs w:val="18"/>
              </w:rPr>
            </w:pPr>
            <w:r w:rsidRPr="00A33E06">
              <w:rPr>
                <w:rFonts w:eastAsia="Arial Unicode MS" w:cs="Calibri"/>
                <w:color w:val="000000"/>
                <w:sz w:val="18"/>
                <w:szCs w:val="18"/>
              </w:rPr>
              <w:t>Uspostaviti partnerski i participativni pristup sa poslovnim i civilnim sektorom</w:t>
            </w:r>
          </w:p>
        </w:tc>
      </w:tr>
    </w:tbl>
    <w:p w14:paraId="53A14A99" w14:textId="71ECE23E" w:rsidR="00C5315F" w:rsidRPr="00A33E06" w:rsidRDefault="00C5315F" w:rsidP="00C45A8C">
      <w:pPr>
        <w:pStyle w:val="Stil2"/>
      </w:pPr>
      <w:bookmarkStart w:id="103" w:name="_Toc97123823"/>
      <w:r>
        <w:t>4.1</w:t>
      </w:r>
      <w:r w:rsidRPr="00A33E06">
        <w:t>.2. Upravljanje podacima o prostoru i stanovništvu Grada</w:t>
      </w:r>
      <w:bookmarkEnd w:id="103"/>
    </w:p>
    <w:p w14:paraId="6DB7AF7D" w14:textId="77777777" w:rsidR="00C5315F" w:rsidRPr="00A33E06" w:rsidRDefault="00C5315F" w:rsidP="00C5315F">
      <w:pPr>
        <w:pStyle w:val="Tijeloteksta2"/>
        <w:ind w:right="70"/>
        <w:rPr>
          <w:rFonts w:ascii="Calibri" w:hAnsi="Calibri" w:cs="Calibri"/>
          <w:b w:val="0"/>
          <w:sz w:val="22"/>
          <w:szCs w:val="22"/>
        </w:rPr>
      </w:pPr>
    </w:p>
    <w:p w14:paraId="3AD43B6E" w14:textId="77777777" w:rsidR="00C5315F" w:rsidRPr="00A33E06" w:rsidRDefault="00C5315F" w:rsidP="00C5315F">
      <w:pPr>
        <w:pStyle w:val="Tijeloteksta2"/>
        <w:ind w:right="70"/>
        <w:rPr>
          <w:rFonts w:ascii="Calibri" w:hAnsi="Calibri" w:cs="Calibri"/>
          <w:b w:val="0"/>
          <w:sz w:val="22"/>
          <w:szCs w:val="22"/>
        </w:rPr>
      </w:pPr>
      <w:r w:rsidRPr="00A33E06">
        <w:rPr>
          <w:rFonts w:ascii="Calibri" w:hAnsi="Calibri" w:cs="Calibri"/>
          <w:b w:val="0"/>
          <w:sz w:val="22"/>
          <w:szCs w:val="22"/>
        </w:rPr>
        <w:t xml:space="preserve">Podaci o prostoru i stanovništvu Grada nužna su osnova za planiranje prostornog i gospodarskog razvoja te korištenje i zaštitu prirodnih resursa. </w:t>
      </w:r>
    </w:p>
    <w:p w14:paraId="7AF8CFE3" w14:textId="014D7345" w:rsidR="00C5315F" w:rsidRPr="00A33E06" w:rsidRDefault="0087336B" w:rsidP="00C5315F">
      <w:pPr>
        <w:tabs>
          <w:tab w:val="left" w:pos="-720"/>
        </w:tabs>
        <w:suppressAutoHyphens/>
        <w:spacing w:line="240" w:lineRule="auto"/>
        <w:ind w:right="70"/>
        <w:jc w:val="both"/>
        <w:rPr>
          <w:rFonts w:cs="Calibri"/>
          <w:bCs/>
        </w:rPr>
      </w:pPr>
      <w:r w:rsidRPr="00A33E06">
        <w:rPr>
          <w:rFonts w:cs="Calibri"/>
          <w:b/>
          <w:bCs/>
        </w:rPr>
        <w:t xml:space="preserve">ZIPP. </w:t>
      </w:r>
      <w:r w:rsidR="00C5315F" w:rsidRPr="00A33E06">
        <w:rPr>
          <w:rFonts w:cs="Calibri"/>
          <w:bCs/>
        </w:rPr>
        <w:t xml:space="preserve">U skladu sa suvremenim načelima upravljanja podacima o prostoru pokrenut je projekt Zagrebačke infrastrukture prostornih podataka – ZIPP kao skup subjekata, skupova podataka, mrežnih usluga, tehničkih rješenja i propisa kojima je cilj prikupljanje, vođenje, korištenje, razmjena i distribucija prostornih podataka o administrativnom području Grada Zagreba. Pristupna točka prostornim podacima Grada Zagreba s mogućnošću pregleda, pretraživanja, preuzimanja i razmjene podataka je ZG Geoportal, pokrenut 2012. </w:t>
      </w:r>
    </w:p>
    <w:p w14:paraId="364C2B01" w14:textId="77777777" w:rsidR="00C5315F" w:rsidRPr="00CA0132" w:rsidRDefault="00C5315F" w:rsidP="00C5315F">
      <w:pPr>
        <w:spacing w:line="240" w:lineRule="auto"/>
        <w:jc w:val="both"/>
        <w:rPr>
          <w:rFonts w:cs="Calibri"/>
        </w:rPr>
      </w:pPr>
      <w:r w:rsidRPr="00CA0132">
        <w:rPr>
          <w:rFonts w:cs="Calibri"/>
        </w:rPr>
        <w:t>Katastar nekretnina je evidencija koja sadrži podatke o česticama zemljine površine i zgradama koje trajno leže na zemljinoj površini ili ispod nje te o posebnim pravnim režimima na zemljinoj površini. Poslovi katastra nekretnina obuhvaćaju određivanje katastarskih prostornih jedinica, katastarsku izmjeru, izradu i održavanje katastarskog operata katastra nekretnina, održavanje katastra zemljišta i postupno prilagođavanje katastru nekretnina, te pojedinačno prevođenje katastarskih čestica katastra zemljišta u katastar nekretnina (Zakon o državnoj izmjeri i katastru nekretnina NN 112/2018).</w:t>
      </w:r>
    </w:p>
    <w:p w14:paraId="231AA2CD" w14:textId="77777777" w:rsidR="00C5315F" w:rsidRDefault="00C5315F" w:rsidP="00C5315F">
      <w:pPr>
        <w:pStyle w:val="Tekstkomentara"/>
        <w:jc w:val="both"/>
        <w:rPr>
          <w:rFonts w:eastAsia="Times New Roman" w:cs="Calibri"/>
          <w:color w:val="201F1E"/>
          <w:sz w:val="22"/>
          <w:szCs w:val="22"/>
          <w:lang w:eastAsia="hr-HR"/>
        </w:rPr>
      </w:pPr>
      <w:r w:rsidRPr="00CA0132">
        <w:rPr>
          <w:rFonts w:cs="Calibri"/>
          <w:sz w:val="22"/>
          <w:szCs w:val="22"/>
        </w:rPr>
        <w:t xml:space="preserve">Gradski ured za katastar i geodetske poslove kao upravno tijelo nadležno za vođenje katastra nekretnina i katastra zemljišta na području Grada Zagreba svjestan je da neusklađenost i dvojnost podataka katastra i zemljišne knjige, kao i neusklađenost sa stanjem na terenu uzrokuje nesigurnost u prometu nekretnina. Navedeni problemi posljedica su neobnavljanja zemljišnih knjiga nakon katastarskih izmjera izvršenih 60-tih godinina prošlog stoljeća, kao i neprijavljivanje promjena  nastalih na terenu a koje su dužni vlasnici nekretnina prijaviti putem geodetskih elaborata sukladno propisima.  </w:t>
      </w:r>
      <w:r w:rsidRPr="008D5995">
        <w:rPr>
          <w:rFonts w:eastAsia="Times New Roman" w:cs="Calibri"/>
          <w:color w:val="201F1E"/>
          <w:sz w:val="22"/>
          <w:szCs w:val="22"/>
          <w:lang w:eastAsia="hr-HR"/>
        </w:rPr>
        <w:t>Zbog tih činjenica kao strateški cilj Ureda u suradnji sa zemljišnoknjižnim odjelima nadležnih sudova u Gradu Zagrebu, sustavni je pristup usklađivanja katastra i zemljišnih knjiga sa stanjem u naravi utemeljen na propisima:</w:t>
      </w:r>
      <w:r>
        <w:rPr>
          <w:rFonts w:eastAsia="Times New Roman" w:cs="Calibri"/>
          <w:color w:val="201F1E"/>
          <w:sz w:val="22"/>
          <w:szCs w:val="22"/>
          <w:lang w:eastAsia="hr-HR"/>
        </w:rPr>
        <w:t xml:space="preserve"> </w:t>
      </w:r>
    </w:p>
    <w:p w14:paraId="4FE4595B" w14:textId="77777777" w:rsidR="00C5315F" w:rsidRDefault="00C5315F" w:rsidP="00C5315F">
      <w:pPr>
        <w:pStyle w:val="Tekstkomentara"/>
        <w:jc w:val="both"/>
        <w:rPr>
          <w:rFonts w:eastAsia="Times New Roman" w:cs="Calibri"/>
          <w:color w:val="201F1E"/>
          <w:sz w:val="22"/>
          <w:szCs w:val="22"/>
          <w:lang w:eastAsia="hr-HR"/>
        </w:rPr>
      </w:pPr>
      <w:r>
        <w:rPr>
          <w:rFonts w:eastAsia="Times New Roman" w:cs="Calibri"/>
          <w:color w:val="201F1E"/>
          <w:sz w:val="22"/>
          <w:szCs w:val="22"/>
          <w:lang w:eastAsia="hr-HR"/>
        </w:rPr>
        <w:t xml:space="preserve">1. </w:t>
      </w:r>
      <w:r w:rsidRPr="00CA0132">
        <w:rPr>
          <w:rFonts w:eastAsia="Times New Roman" w:cs="Calibri"/>
          <w:color w:val="201F1E"/>
          <w:sz w:val="22"/>
          <w:szCs w:val="22"/>
          <w:lang w:eastAsia="hr-HR"/>
        </w:rPr>
        <w:t>kad stanje u katastarskom operatu većim dijelom odgovara stanju u naravi - Obnova zemljišnih knjiga po postojećem katastarskom operatu (propisano ZZK), odnosi se na veći dio područja Grada Zagreba obzirom da su podaci u visokom stupnju usklađenosti</w:t>
      </w:r>
      <w:r>
        <w:rPr>
          <w:rFonts w:eastAsia="Times New Roman" w:cs="Calibri"/>
          <w:color w:val="201F1E"/>
          <w:sz w:val="22"/>
          <w:szCs w:val="22"/>
          <w:lang w:eastAsia="hr-HR"/>
        </w:rPr>
        <w:t xml:space="preserve"> </w:t>
      </w:r>
      <w:r w:rsidRPr="00CA0132">
        <w:rPr>
          <w:rFonts w:eastAsia="Times New Roman" w:cs="Calibri"/>
          <w:color w:val="201F1E"/>
          <w:sz w:val="22"/>
          <w:szCs w:val="22"/>
          <w:lang w:eastAsia="hr-HR"/>
        </w:rPr>
        <w:t>sa stanjem u naravi</w:t>
      </w:r>
      <w:r w:rsidRPr="00CA0132">
        <w:rPr>
          <w:rFonts w:eastAsia="Times New Roman" w:cs="Calibri"/>
          <w:color w:val="201F1E"/>
          <w:sz w:val="22"/>
          <w:szCs w:val="22"/>
          <w:lang w:eastAsia="hr-HR"/>
        </w:rPr>
        <w:br/>
        <w:t>2. kad stanje u katastarskom operatu većim dijelom ne odgovara stanju u naravi - provođenje novih katastarskih izmjera i izlaganja podataka na javni uvid, što po završetku rezultira stupanjem na snagu novog katastarskog operata i nove zemljišne knjige, mali dio područja Grada Zagreba</w:t>
      </w:r>
      <w:r w:rsidRPr="00CA0132">
        <w:rPr>
          <w:rFonts w:eastAsia="Times New Roman" w:cs="Calibri"/>
          <w:color w:val="201F1E"/>
          <w:sz w:val="22"/>
          <w:szCs w:val="22"/>
          <w:lang w:eastAsia="hr-HR"/>
        </w:rPr>
        <w:br/>
        <w:t>3. kontinuirana provedba promjena – kroz izradu i provedbu geodetskih elaborata:</w:t>
      </w:r>
      <w:r w:rsidRPr="00CA0132">
        <w:rPr>
          <w:rFonts w:eastAsia="Times New Roman" w:cs="Calibri"/>
          <w:color w:val="201F1E"/>
          <w:sz w:val="22"/>
          <w:szCs w:val="22"/>
          <w:lang w:eastAsia="hr-HR"/>
        </w:rPr>
        <w:br/>
        <w:t>-          vlasnici nekretnina su sukladno propisima obvezni prijavljivati promjene na zemljištu i u tu svrhu izrađivati geodetske elaborate kako bi se nastale promjene provele u službenim evidencijama, katastru i zemljišnoj knjizi</w:t>
      </w:r>
    </w:p>
    <w:p w14:paraId="0644CB75" w14:textId="77777777" w:rsidR="00C5315F" w:rsidRDefault="00C5315F" w:rsidP="00C5315F">
      <w:pPr>
        <w:pStyle w:val="Tekstkomentara"/>
        <w:jc w:val="both"/>
        <w:rPr>
          <w:rFonts w:eastAsia="Times New Roman" w:cs="Calibri"/>
          <w:color w:val="201F1E"/>
          <w:sz w:val="22"/>
          <w:szCs w:val="22"/>
          <w:lang w:eastAsia="hr-HR"/>
        </w:rPr>
      </w:pPr>
      <w:r w:rsidRPr="00CA0132">
        <w:rPr>
          <w:rFonts w:eastAsia="Times New Roman" w:cs="Calibri"/>
          <w:color w:val="201F1E"/>
          <w:sz w:val="22"/>
          <w:szCs w:val="22"/>
          <w:lang w:eastAsia="hr-HR"/>
        </w:rPr>
        <w:t>-          godišnje se u katastru Grada Zagreba pregleda i potvrdi preko 10000 geodetskih elaborata na temelju kojih se ažurira evidencija.</w:t>
      </w:r>
    </w:p>
    <w:p w14:paraId="183E015A" w14:textId="77777777" w:rsidR="00C5315F" w:rsidRPr="00CA0132" w:rsidRDefault="00C5315F" w:rsidP="00C5315F">
      <w:pPr>
        <w:pStyle w:val="Tekstkomentara"/>
        <w:jc w:val="both"/>
        <w:rPr>
          <w:rFonts w:cs="Calibri"/>
          <w:sz w:val="22"/>
          <w:szCs w:val="22"/>
        </w:rPr>
      </w:pPr>
      <w:r w:rsidRPr="00CA0132">
        <w:rPr>
          <w:rFonts w:eastAsia="Times New Roman" w:cs="Calibri"/>
          <w:color w:val="201F1E"/>
          <w:sz w:val="22"/>
          <w:szCs w:val="22"/>
          <w:lang w:eastAsia="hr-HR"/>
        </w:rPr>
        <w:t>-          Zakon o cestama, Zakon o državnoj imovini i Zakon o komunalnom gospodarstvu – propisuju način kako evidentirati određene nekretnine u korist JLS. Osim izrade geodetskih elaborata za nerazvrstane ceste, Grad Zagreb treba koristiti i ostale zakonske mogućnosti za evidenciju svojih nekretnina. Dosadašnje analize pokazuju da se neusklađenost podataka u Gradu Zagrebu u najvećoj mjeri odnosi na nerazvrstane ceste i komunalnu infrastrukturu, upravo imovinu Grada Zagreba.</w:t>
      </w:r>
    </w:p>
    <w:p w14:paraId="1DC695DD" w14:textId="77777777" w:rsidR="00C5315F" w:rsidRPr="00CA0132" w:rsidRDefault="00C5315F" w:rsidP="00C5315F">
      <w:pPr>
        <w:pStyle w:val="Tekstkomentara"/>
        <w:jc w:val="both"/>
        <w:rPr>
          <w:rFonts w:cs="Calibri"/>
          <w:sz w:val="22"/>
          <w:szCs w:val="22"/>
        </w:rPr>
      </w:pPr>
      <w:r w:rsidRPr="00CA0132">
        <w:rPr>
          <w:rFonts w:cs="Calibri"/>
          <w:sz w:val="22"/>
          <w:szCs w:val="22"/>
        </w:rPr>
        <w:t>Od 2016. godine Odlukom Vlade RH u Gradski ured za katastar implementiran je Zajednički informacijski sustav zemljišnih knjiga i katastra, ZIS, u kojem se podaci katastra i zemljišnih knjiga pohranjuju, održavaju i čuvaju. Implementacija je pridonijela podizanju kvalitete rada i većoj digitalizaciji procesa, što podrazumijeva i izdavanje javnih isprava iz evidencije putem sustava e-gradjani, ovlaštenim geodetskim izvoditeljima predaju digitalnih geodetskih elaborata putem OneStopShop sustava, uvođenje digitalnog potpisa u većini poslovnih procesa u Uredu, uvođenje otpreme putem korištenja sustava e-pošta, i mnogih drugih.</w:t>
      </w:r>
    </w:p>
    <w:p w14:paraId="74AEDBBC" w14:textId="24639639" w:rsidR="00C5315F" w:rsidRDefault="00C5315F" w:rsidP="00C5315F">
      <w:pPr>
        <w:spacing w:line="240" w:lineRule="auto"/>
        <w:jc w:val="both"/>
      </w:pPr>
      <w:r>
        <w:t>Katastar infrastrukture osniva se i vodi na temelju evidencija koje su za pojedinu vrstu infrastrukture dužni u skladu sa Zakonom o državnoj izmjeri i katastru nekretnina NN 112/2018 osnovati i voditi vlasnici odnosno njihovi upravitelji. U katastru infrastrukture vode se podaci o vodovima, pripadajućim objektima i uređenim područjima elektroenergetske, elektroničke komunikacijske, toplovodne, plinovodne, naftovodne, vodovodne i odvodne infrastrukture.</w:t>
      </w:r>
      <w:r w:rsidR="00C259BD">
        <w:t xml:space="preserve"> </w:t>
      </w:r>
      <w:r>
        <w:t>Vođenje i održavanje katastra infrastrukture obuhvaća pregledavanje i potvrđivanje geodetskih elaborata infrastrukture, unošenje podataka iz tih elaborata u katastar infrastrukture te čuvanje i korištenje podataka katastra infrastrukture.</w:t>
      </w:r>
    </w:p>
    <w:p w14:paraId="7330B4FA" w14:textId="77777777" w:rsidR="00C5315F" w:rsidRPr="00512624" w:rsidRDefault="00C5315F" w:rsidP="00C5315F">
      <w:pPr>
        <w:spacing w:line="240" w:lineRule="auto"/>
        <w:jc w:val="both"/>
      </w:pPr>
      <w:r w:rsidRPr="00512624">
        <w:t xml:space="preserve">Gradski ured za katastar i geodetske poslove kao upravno tijelo nadležno je za vođenje katastra infrastrukture na području Grada Zagreba i pedeset godina sustavno vodi evidenciju o vodovima. U tom periodu evidentirano je 18000 km vodova s pripadajućim objektima. Od 2005. koristi se VodGIS - sustav za upravljanje podacima katastra vodova/infrastrukture Grada Zagreba s osnovnim ciljem formiranja jedinstvene digitalne baze podataka katastra vodova/infrastrukture Grada Zagreba te je omogućeno jednostavnije i kvalitetnije ažuriranje podataka uz mogućnost lakšeg i bržeg izdavanje podataka u analognom i digitalnom obliku te preuzimanje digitalnih podataka od upravitelja i vlasnika infrastrukture i drugih korisnika. </w:t>
      </w:r>
      <w:r w:rsidRPr="00512624">
        <w:rPr>
          <w:bCs/>
        </w:rPr>
        <w:t>Strateški cilj Ureda u suradnji sa vlasnicima odnosno upraviteljima vodova/infrastrukture na području Grada Zagreba je usklađivanje evidencija o infrastrukturi temeljem postojećih propisa.</w:t>
      </w:r>
    </w:p>
    <w:p w14:paraId="2E9BDA6D" w14:textId="77777777" w:rsidR="00C5315F" w:rsidRPr="005A0A2E" w:rsidRDefault="00C5315F" w:rsidP="00C5315F">
      <w:pPr>
        <w:pStyle w:val="Tekstkomentara"/>
        <w:jc w:val="both"/>
      </w:pPr>
      <w:r w:rsidRPr="005A0A2E">
        <w:rPr>
          <w:sz w:val="22"/>
          <w:szCs w:val="22"/>
        </w:rPr>
        <w:t xml:space="preserve">Registar prostornih jedinica je evidencija u kojoj se vode i održavaju podaci o prostornim jedinicama za Grad Zagreb, naselja, ulice, kućne brojeve, gradske četvrti i mjesne odbore, statističke i popisne krugove. Propisano je da se podaci registra upotrebljavaju kao službena osnova za evidentiranje, iskazivanje, razmjenu i povezivanje različitih vrsta prostornih podataka. Zaključkom Vlade RH od 8.02.2013. Registar prostornih jedinica proglašen je jednim od temeljnih registara o prostoru. U skladu sa Zakonom o državnoj informacijskoj infrastrukturi svrha temeljnih registara je osigurati dostupnost prikupljenih autentičnih podataka svim tijelima javnog sektora koji su im potrebni za obavljanje poslova iz svog djelokruga. Zakonom o popisu birača, zakonom o prebivalištu i drugim zakonima propisana je obveza korištenja podataka o adresama na način kako se vode u registru prostornih jedinica. </w:t>
      </w:r>
    </w:p>
    <w:p w14:paraId="2C1747F6" w14:textId="77777777" w:rsidR="00C5315F" w:rsidRPr="00512624" w:rsidRDefault="00C5315F" w:rsidP="00C5315F">
      <w:pPr>
        <w:pStyle w:val="Tekstkomentara"/>
        <w:jc w:val="both"/>
      </w:pPr>
      <w:r w:rsidRPr="005A0A2E">
        <w:rPr>
          <w:sz w:val="22"/>
          <w:szCs w:val="22"/>
        </w:rPr>
        <w:t>Podaci Registra za područje Grada Zagreba u nadležnosti su Gradskog ureda za katastar i geodetske poslove, a vode se i održavaju u jedinstvenoj aplikaciji Državne geodetske uprave te je u strateškom smislu važno osigurati tehničko tehnološke i organizacijske preduvjete za vođenje registra na način da sadrži točne i ažurne podatke koji su dostupni svim korisnicima u realnom vremenu.</w:t>
      </w:r>
    </w:p>
    <w:p w14:paraId="14308355" w14:textId="77777777" w:rsidR="00C5315F" w:rsidRPr="00F110AE" w:rsidRDefault="00C5315F" w:rsidP="00C5315F">
      <w:pPr>
        <w:pStyle w:val="Tijeloteksta2"/>
        <w:ind w:right="70"/>
        <w:rPr>
          <w:rFonts w:ascii="Calibri" w:eastAsia="Calibri" w:hAnsi="Calibri"/>
          <w:b w:val="0"/>
          <w:bCs w:val="0"/>
          <w:sz w:val="24"/>
          <w:szCs w:val="24"/>
          <w:lang w:eastAsia="en-US"/>
        </w:rPr>
      </w:pPr>
    </w:p>
    <w:tbl>
      <w:tblPr>
        <w:tblW w:w="0" w:type="auto"/>
        <w:shd w:val="clear" w:color="auto" w:fill="CCCCCC"/>
        <w:tblLook w:val="01E0" w:firstRow="1" w:lastRow="1" w:firstColumn="1" w:lastColumn="1" w:noHBand="0" w:noVBand="0"/>
      </w:tblPr>
      <w:tblGrid>
        <w:gridCol w:w="4525"/>
        <w:gridCol w:w="4547"/>
      </w:tblGrid>
      <w:tr w:rsidR="00C5315F" w:rsidRPr="00A33E06" w14:paraId="2000E1AE" w14:textId="77777777" w:rsidTr="00072476">
        <w:tc>
          <w:tcPr>
            <w:tcW w:w="4643" w:type="dxa"/>
            <w:shd w:val="clear" w:color="auto" w:fill="CCCCCC"/>
          </w:tcPr>
          <w:p w14:paraId="242B1AFD"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RAZVOJNI PROBLEMI</w:t>
            </w:r>
          </w:p>
        </w:tc>
        <w:tc>
          <w:tcPr>
            <w:tcW w:w="4643" w:type="dxa"/>
            <w:shd w:val="clear" w:color="auto" w:fill="99CCFF"/>
          </w:tcPr>
          <w:p w14:paraId="24B71DD9"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RAZVOJNE POTREBE</w:t>
            </w:r>
          </w:p>
        </w:tc>
      </w:tr>
      <w:tr w:rsidR="00C5315F" w:rsidRPr="00A33E06" w14:paraId="04CD4691" w14:textId="77777777" w:rsidTr="00072476">
        <w:tc>
          <w:tcPr>
            <w:tcW w:w="4643" w:type="dxa"/>
            <w:shd w:val="clear" w:color="auto" w:fill="CCCCCC"/>
          </w:tcPr>
          <w:p w14:paraId="5CDE8D80"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Poteškoće u razmjeni, korištenju i diseminaciji prostornih podataka</w:t>
            </w:r>
          </w:p>
          <w:p w14:paraId="60E757AA"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Nedovoljno korištenje prostornih i statističkih podataka u donošenju odluka</w:t>
            </w:r>
          </w:p>
          <w:p w14:paraId="261B11BD"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Neusklađenost podataka katastra, zemljišne knjige i stvarnog stanja na terenu</w:t>
            </w:r>
          </w:p>
          <w:p w14:paraId="77845899" w14:textId="77777777" w:rsidR="00C5315F" w:rsidRPr="00D9078D"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D9078D">
              <w:rPr>
                <w:rFonts w:eastAsia="Arial Unicode MS" w:cs="Calibri"/>
                <w:color w:val="000000"/>
                <w:sz w:val="18"/>
                <w:szCs w:val="18"/>
              </w:rPr>
              <w:t xml:space="preserve">Nedostupnost i neusklađenost </w:t>
            </w:r>
            <w:r>
              <w:rPr>
                <w:rFonts w:eastAsia="Arial Unicode MS" w:cs="Calibri"/>
                <w:color w:val="000000"/>
                <w:sz w:val="18"/>
                <w:szCs w:val="18"/>
              </w:rPr>
              <w:t>podataka</w:t>
            </w:r>
            <w:r w:rsidRPr="00D9078D">
              <w:rPr>
                <w:rFonts w:eastAsia="Arial Unicode MS" w:cs="Calibri"/>
                <w:color w:val="000000"/>
                <w:sz w:val="18"/>
                <w:szCs w:val="18"/>
              </w:rPr>
              <w:t xml:space="preserve"> o </w:t>
            </w:r>
            <w:r>
              <w:rPr>
                <w:rFonts w:eastAsia="Arial Unicode MS" w:cs="Calibri"/>
                <w:color w:val="000000"/>
                <w:sz w:val="18"/>
                <w:szCs w:val="18"/>
              </w:rPr>
              <w:t xml:space="preserve">nekretninama i </w:t>
            </w:r>
            <w:r w:rsidRPr="00D9078D">
              <w:rPr>
                <w:sz w:val="18"/>
                <w:szCs w:val="18"/>
              </w:rPr>
              <w:t>infrastrukturi</w:t>
            </w:r>
          </w:p>
          <w:p w14:paraId="2B47D6BA" w14:textId="77777777" w:rsidR="00C5315F" w:rsidRPr="00A33E06" w:rsidRDefault="00C5315F" w:rsidP="00072476">
            <w:pPr>
              <w:spacing w:before="60" w:after="60"/>
              <w:ind w:left="284" w:right="70"/>
              <w:rPr>
                <w:rFonts w:eastAsia="Arial Unicode MS" w:cs="Calibri"/>
                <w:color w:val="000000"/>
                <w:sz w:val="18"/>
                <w:szCs w:val="18"/>
              </w:rPr>
            </w:pPr>
          </w:p>
        </w:tc>
        <w:tc>
          <w:tcPr>
            <w:tcW w:w="4643" w:type="dxa"/>
            <w:shd w:val="clear" w:color="auto" w:fill="99CCFF"/>
          </w:tcPr>
          <w:p w14:paraId="7E055BD5" w14:textId="77777777" w:rsidR="00C5315F" w:rsidRPr="00A33E06" w:rsidRDefault="00C5315F" w:rsidP="00165C16">
            <w:pPr>
              <w:numPr>
                <w:ilvl w:val="0"/>
                <w:numId w:val="1"/>
              </w:numPr>
              <w:tabs>
                <w:tab w:val="clear" w:pos="720"/>
                <w:tab w:val="num" w:pos="319"/>
              </w:tabs>
              <w:spacing w:before="60" w:after="60" w:line="240" w:lineRule="auto"/>
              <w:ind w:left="319" w:right="70" w:hanging="319"/>
              <w:rPr>
                <w:rFonts w:eastAsia="Arial Unicode MS" w:cs="Calibri"/>
                <w:color w:val="000000"/>
                <w:sz w:val="18"/>
                <w:szCs w:val="18"/>
              </w:rPr>
            </w:pPr>
            <w:r w:rsidRPr="00A33E06">
              <w:rPr>
                <w:rFonts w:eastAsia="Arial Unicode MS" w:cs="Calibri"/>
                <w:color w:val="000000"/>
                <w:sz w:val="18"/>
                <w:szCs w:val="18"/>
              </w:rPr>
              <w:t>Razvoj lokalne infrastrukture prostornih podataka</w:t>
            </w:r>
          </w:p>
          <w:p w14:paraId="2EA0F869" w14:textId="77777777" w:rsidR="00C5315F" w:rsidRDefault="00C5315F" w:rsidP="00165C16">
            <w:pPr>
              <w:numPr>
                <w:ilvl w:val="0"/>
                <w:numId w:val="1"/>
              </w:numPr>
              <w:tabs>
                <w:tab w:val="clear" w:pos="720"/>
                <w:tab w:val="num" w:pos="319"/>
              </w:tabs>
              <w:spacing w:before="60" w:after="60" w:line="240" w:lineRule="auto"/>
              <w:ind w:left="319" w:right="70" w:hanging="319"/>
              <w:rPr>
                <w:rFonts w:eastAsia="Arial Unicode MS" w:cs="Calibri"/>
                <w:color w:val="000000"/>
                <w:sz w:val="18"/>
                <w:szCs w:val="18"/>
              </w:rPr>
            </w:pPr>
            <w:r w:rsidRPr="00A33E06">
              <w:rPr>
                <w:rFonts w:eastAsia="Arial Unicode MS" w:cs="Calibri"/>
                <w:color w:val="000000"/>
                <w:sz w:val="18"/>
                <w:szCs w:val="18"/>
              </w:rPr>
              <w:t>Poboljšanje podataka i metodologije u području prostornih analiza i službene statistike</w:t>
            </w:r>
          </w:p>
          <w:p w14:paraId="70669BB3" w14:textId="77777777" w:rsidR="00C5315F" w:rsidRDefault="00C5315F" w:rsidP="00165C16">
            <w:pPr>
              <w:numPr>
                <w:ilvl w:val="0"/>
                <w:numId w:val="1"/>
              </w:numPr>
              <w:tabs>
                <w:tab w:val="clear" w:pos="720"/>
                <w:tab w:val="num" w:pos="319"/>
              </w:tabs>
              <w:spacing w:before="60" w:after="60" w:line="240" w:lineRule="auto"/>
              <w:ind w:left="319" w:right="70" w:hanging="319"/>
              <w:rPr>
                <w:rFonts w:eastAsia="Arial Unicode MS" w:cs="Calibri"/>
                <w:color w:val="000000"/>
                <w:sz w:val="18"/>
                <w:szCs w:val="18"/>
              </w:rPr>
            </w:pPr>
            <w:r w:rsidRPr="00D9078D">
              <w:rPr>
                <w:rFonts w:eastAsia="Arial Unicode MS" w:cs="Calibri"/>
                <w:color w:val="000000"/>
                <w:sz w:val="18"/>
                <w:szCs w:val="18"/>
              </w:rPr>
              <w:t>Obnova zemljišnih knjiga na temelju katastarskog operata, izrada geodetskih elaborata izvedenog stanja nerazvrstanih cesta i komunalne infrastrukture (izrazito važno za Grad Zagreb), te postupna uspostava baze zemljišnih podataka odnosno katastra nekretnina  kroz geodetske elaborate i nove katastarske izmjere</w:t>
            </w:r>
          </w:p>
          <w:p w14:paraId="2B700DC7" w14:textId="77777777" w:rsidR="00C5315F" w:rsidRPr="00D9078D" w:rsidRDefault="00C5315F" w:rsidP="00165C16">
            <w:pPr>
              <w:numPr>
                <w:ilvl w:val="0"/>
                <w:numId w:val="1"/>
              </w:numPr>
              <w:tabs>
                <w:tab w:val="clear" w:pos="720"/>
                <w:tab w:val="num" w:pos="319"/>
              </w:tabs>
              <w:spacing w:before="60" w:after="60" w:line="240" w:lineRule="auto"/>
              <w:ind w:left="319" w:right="70" w:hanging="319"/>
              <w:rPr>
                <w:rFonts w:eastAsia="Arial Unicode MS" w:cs="Calibri"/>
                <w:color w:val="000000"/>
                <w:sz w:val="18"/>
                <w:szCs w:val="18"/>
              </w:rPr>
            </w:pPr>
            <w:r w:rsidRPr="005A0A2E">
              <w:rPr>
                <w:rFonts w:eastAsia="Arial Unicode MS" w:cs="Calibri"/>
                <w:color w:val="000000"/>
                <w:sz w:val="18"/>
                <w:szCs w:val="18"/>
              </w:rPr>
              <w:t>Razvoj katastra infrastrukture i povezivanje s bazama podataka upravitelja vodova/infrastrukture</w:t>
            </w:r>
          </w:p>
        </w:tc>
      </w:tr>
    </w:tbl>
    <w:p w14:paraId="27960F38" w14:textId="1DAF5426" w:rsidR="008C03CC" w:rsidRPr="00BA33B5" w:rsidRDefault="00C5315F" w:rsidP="00BA33B5">
      <w:pPr>
        <w:pStyle w:val="Stil2"/>
        <w:rPr>
          <w:rStyle w:val="Stil2Char"/>
          <w:b/>
          <w:bCs/>
        </w:rPr>
      </w:pPr>
      <w:bookmarkStart w:id="104" w:name="_Toc97123824"/>
      <w:r w:rsidRPr="00BA33B5">
        <w:rPr>
          <w:rStyle w:val="Stil2Char"/>
          <w:b/>
          <w:bCs/>
        </w:rPr>
        <w:t>4.1.3. Upravljanje gradskom imovinom</w:t>
      </w:r>
      <w:bookmarkEnd w:id="104"/>
    </w:p>
    <w:p w14:paraId="1698F28A" w14:textId="30EA4CEE" w:rsidR="00C5315F" w:rsidRDefault="00C5315F" w:rsidP="008C03CC">
      <w:pPr>
        <w:tabs>
          <w:tab w:val="left" w:pos="-720"/>
        </w:tabs>
        <w:suppressAutoHyphens/>
        <w:ind w:right="70"/>
        <w:jc w:val="both"/>
        <w:rPr>
          <w:rFonts w:ascii="Calibri" w:hAnsi="Calibri" w:cs="Calibri"/>
          <w:b/>
        </w:rPr>
      </w:pPr>
      <w:r w:rsidRPr="00A33E06">
        <w:rPr>
          <w:rFonts w:ascii="Calibri" w:hAnsi="Calibri" w:cs="Calibri"/>
        </w:rPr>
        <w:t>Aktivno gospodarenje stanovima, poslovnim prostorima i neizgrađenim građevinskim zemljištima uključuje davanje stanova u najam, davanje u zakup poslovnih prostora te davanja gradskih prostora na privremeno korištenje, te upravljanje i raspolaganje neizgrađenim građevinskim zemljištem.</w:t>
      </w:r>
    </w:p>
    <w:p w14:paraId="049D4EE9" w14:textId="77777777" w:rsidR="00C5315F" w:rsidRPr="00BF0E99" w:rsidRDefault="00C5315F" w:rsidP="00C5315F">
      <w:pPr>
        <w:pStyle w:val="Tekstkomentara"/>
        <w:jc w:val="both"/>
        <w:rPr>
          <w:sz w:val="22"/>
          <w:szCs w:val="22"/>
        </w:rPr>
      </w:pPr>
      <w:r w:rsidRPr="00BF0E99">
        <w:rPr>
          <w:rFonts w:cs="Calibri"/>
          <w:b/>
          <w:sz w:val="22"/>
          <w:szCs w:val="22"/>
        </w:rPr>
        <w:t>Stanovi</w:t>
      </w:r>
      <w:r>
        <w:rPr>
          <w:rFonts w:cs="Calibri"/>
          <w:bCs/>
          <w:sz w:val="22"/>
          <w:szCs w:val="22"/>
        </w:rPr>
        <w:t>.</w:t>
      </w:r>
      <w:r>
        <w:rPr>
          <w:sz w:val="22"/>
          <w:szCs w:val="22"/>
        </w:rPr>
        <w:t xml:space="preserve"> </w:t>
      </w:r>
      <w:r w:rsidRPr="00BF0E99">
        <w:rPr>
          <w:sz w:val="22"/>
          <w:szCs w:val="22"/>
        </w:rPr>
        <w:t>Gradski stambeni fond, prema Izvještaju o stanju imovine na dan 31.12.2019., čini 4.718 stanova u vlasništvu Grada Zagreba, površine 228.477,42 m</w:t>
      </w:r>
      <w:r w:rsidRPr="001007F6">
        <w:rPr>
          <w:sz w:val="22"/>
          <w:szCs w:val="22"/>
          <w:vertAlign w:val="superscript"/>
        </w:rPr>
        <w:t>2</w:t>
      </w:r>
      <w:r w:rsidRPr="00BF0E99">
        <w:rPr>
          <w:sz w:val="22"/>
          <w:szCs w:val="22"/>
        </w:rPr>
        <w:t>, 211 stana ukupne površine 9.343,97 m</w:t>
      </w:r>
      <w:r w:rsidRPr="001007F6">
        <w:rPr>
          <w:sz w:val="22"/>
          <w:szCs w:val="22"/>
          <w:vertAlign w:val="superscript"/>
        </w:rPr>
        <w:t>2</w:t>
      </w:r>
      <w:r w:rsidRPr="00BF0E99">
        <w:rPr>
          <w:sz w:val="22"/>
          <w:szCs w:val="22"/>
        </w:rPr>
        <w:t>, suvlasništvo Grada Zagreba i trećih osoba, te 2.192 stana površine 174.436,62 m</w:t>
      </w:r>
      <w:r w:rsidRPr="001007F6">
        <w:rPr>
          <w:sz w:val="22"/>
          <w:szCs w:val="22"/>
          <w:vertAlign w:val="superscript"/>
        </w:rPr>
        <w:t>2</w:t>
      </w:r>
      <w:r w:rsidRPr="00BF0E99">
        <w:rPr>
          <w:sz w:val="22"/>
          <w:szCs w:val="22"/>
        </w:rPr>
        <w:t>, u vlasništvu Zagrebačkog holdinga d.o.o. i Zagrebačke stanogradnje d.o.o., kojima Grad Zagreb upravlja temeljem ugovora o najmu sklopljenih sa Zagrebačkim holdingom d.o.o. i Zagrebačkom stanogradnjom d.o.o.</w:t>
      </w:r>
    </w:p>
    <w:p w14:paraId="21E8EBA8" w14:textId="77777777" w:rsidR="00C5315F" w:rsidRPr="00BF0E99" w:rsidRDefault="00C5315F" w:rsidP="00C5315F">
      <w:pPr>
        <w:pStyle w:val="Tekstkomentara"/>
        <w:jc w:val="both"/>
        <w:rPr>
          <w:sz w:val="22"/>
          <w:szCs w:val="22"/>
        </w:rPr>
      </w:pPr>
      <w:r w:rsidRPr="00BF0E99">
        <w:rPr>
          <w:sz w:val="22"/>
          <w:szCs w:val="22"/>
        </w:rPr>
        <w:t>Na dan 31.12.2019. u stambenom upravljanju, odnosno s namjenom stanovanja, evidentirano je 4.957, stanova te ostalih jedinica imovine (vlasništvo/suvlasništvo), ukupne površine 233.185,55 m</w:t>
      </w:r>
      <w:r w:rsidRPr="001007F6">
        <w:rPr>
          <w:sz w:val="22"/>
          <w:szCs w:val="22"/>
          <w:vertAlign w:val="superscript"/>
        </w:rPr>
        <w:t>2</w:t>
      </w:r>
      <w:r w:rsidRPr="00BF0E99">
        <w:rPr>
          <w:sz w:val="22"/>
          <w:szCs w:val="22"/>
        </w:rPr>
        <w:t xml:space="preserve"> kao i 2.191 stan</w:t>
      </w:r>
      <w:r>
        <w:rPr>
          <w:sz w:val="22"/>
          <w:szCs w:val="22"/>
        </w:rPr>
        <w:t xml:space="preserve"> </w:t>
      </w:r>
      <w:r w:rsidRPr="00BF0E99">
        <w:rPr>
          <w:sz w:val="22"/>
          <w:szCs w:val="22"/>
        </w:rPr>
        <w:t>u vlasništvu Zagrebačkog holdinga d.o.o. i Zagrebačke stanogradnje d.o.o.</w:t>
      </w:r>
    </w:p>
    <w:p w14:paraId="7FA5498B" w14:textId="77777777" w:rsidR="00C5315F" w:rsidRPr="00A33E06" w:rsidRDefault="00C5315F" w:rsidP="00C5315F">
      <w:pPr>
        <w:autoSpaceDE w:val="0"/>
        <w:autoSpaceDN w:val="0"/>
        <w:adjustRightInd w:val="0"/>
        <w:spacing w:line="240" w:lineRule="auto"/>
        <w:jc w:val="both"/>
        <w:rPr>
          <w:rFonts w:cs="Calibri"/>
          <w:bCs/>
        </w:rPr>
      </w:pPr>
      <w:r w:rsidRPr="00A33E06">
        <w:rPr>
          <w:rFonts w:cs="Calibri"/>
          <w:bCs/>
        </w:rPr>
        <w:t>Stanovi kojima upravlja Grad Zagreb s obzirom na imovinsko-pravni status su:</w:t>
      </w:r>
    </w:p>
    <w:p w14:paraId="03035E93" w14:textId="77777777" w:rsidR="00C5315F" w:rsidRPr="00A33E06" w:rsidRDefault="00C5315F" w:rsidP="00165C16">
      <w:pPr>
        <w:numPr>
          <w:ilvl w:val="0"/>
          <w:numId w:val="25"/>
        </w:numPr>
        <w:autoSpaceDE w:val="0"/>
        <w:autoSpaceDN w:val="0"/>
        <w:adjustRightInd w:val="0"/>
        <w:spacing w:after="0" w:line="240" w:lineRule="auto"/>
        <w:contextualSpacing/>
        <w:jc w:val="both"/>
        <w:rPr>
          <w:rFonts w:cs="Calibri"/>
          <w:bCs/>
        </w:rPr>
      </w:pPr>
      <w:r w:rsidRPr="00A33E06">
        <w:rPr>
          <w:rFonts w:cs="Calibri"/>
          <w:bCs/>
        </w:rPr>
        <w:t xml:space="preserve">vlasništvo Grada (provedeno u javnim registrima i bez pravnih ograničenja): </w:t>
      </w:r>
      <w:r>
        <w:rPr>
          <w:rFonts w:cs="Calibri"/>
          <w:bCs/>
        </w:rPr>
        <w:t>1123</w:t>
      </w:r>
      <w:r w:rsidRPr="00A33E06">
        <w:rPr>
          <w:rFonts w:cs="Calibri"/>
          <w:bCs/>
        </w:rPr>
        <w:t xml:space="preserve"> stanova</w:t>
      </w:r>
    </w:p>
    <w:p w14:paraId="334FD14B" w14:textId="77777777" w:rsidR="00C5315F" w:rsidRPr="00A33E06" w:rsidRDefault="00C5315F" w:rsidP="00165C16">
      <w:pPr>
        <w:numPr>
          <w:ilvl w:val="0"/>
          <w:numId w:val="25"/>
        </w:numPr>
        <w:autoSpaceDE w:val="0"/>
        <w:autoSpaceDN w:val="0"/>
        <w:adjustRightInd w:val="0"/>
        <w:spacing w:after="0" w:line="240" w:lineRule="auto"/>
        <w:contextualSpacing/>
        <w:jc w:val="both"/>
        <w:rPr>
          <w:rFonts w:cs="Calibri"/>
          <w:bCs/>
        </w:rPr>
      </w:pPr>
      <w:r w:rsidRPr="00A33E06">
        <w:rPr>
          <w:rFonts w:cs="Calibri"/>
          <w:bCs/>
        </w:rPr>
        <w:t>u vanknjižnom vlasništvu Grada Zagreba:</w:t>
      </w:r>
      <w:r>
        <w:rPr>
          <w:rFonts w:cs="Calibri"/>
          <w:bCs/>
        </w:rPr>
        <w:t xml:space="preserve"> 3210</w:t>
      </w:r>
      <w:r w:rsidRPr="00A33E06">
        <w:rPr>
          <w:rFonts w:cs="Calibri"/>
          <w:bCs/>
        </w:rPr>
        <w:t xml:space="preserve"> stanova</w:t>
      </w:r>
    </w:p>
    <w:p w14:paraId="181D0451" w14:textId="77777777" w:rsidR="00C5315F" w:rsidRPr="00A33E06" w:rsidRDefault="00C5315F" w:rsidP="00165C16">
      <w:pPr>
        <w:numPr>
          <w:ilvl w:val="0"/>
          <w:numId w:val="25"/>
        </w:numPr>
        <w:autoSpaceDE w:val="0"/>
        <w:autoSpaceDN w:val="0"/>
        <w:adjustRightInd w:val="0"/>
        <w:spacing w:after="0" w:line="240" w:lineRule="auto"/>
        <w:contextualSpacing/>
        <w:jc w:val="both"/>
        <w:rPr>
          <w:rFonts w:cs="Calibri"/>
          <w:bCs/>
        </w:rPr>
      </w:pPr>
      <w:r w:rsidRPr="00A33E06">
        <w:rPr>
          <w:rFonts w:cs="Calibri"/>
          <w:bCs/>
        </w:rPr>
        <w:t>za koje su u tijeku postupci sukladno Zakonu o naknadi za imovinu oduzetu za vrijeme jugoslavenske komunističke vladavine i stanovi iz pretvorbe:</w:t>
      </w:r>
      <w:r>
        <w:rPr>
          <w:rFonts w:cs="Calibri"/>
          <w:bCs/>
        </w:rPr>
        <w:t xml:space="preserve"> 584</w:t>
      </w:r>
      <w:r w:rsidRPr="00A33E06">
        <w:rPr>
          <w:rFonts w:cs="Calibri"/>
          <w:bCs/>
        </w:rPr>
        <w:t xml:space="preserve"> stana</w:t>
      </w:r>
    </w:p>
    <w:p w14:paraId="2C3B4848" w14:textId="77777777" w:rsidR="00C5315F" w:rsidRDefault="00C5315F" w:rsidP="00165C16">
      <w:pPr>
        <w:numPr>
          <w:ilvl w:val="0"/>
          <w:numId w:val="25"/>
        </w:numPr>
        <w:autoSpaceDE w:val="0"/>
        <w:autoSpaceDN w:val="0"/>
        <w:adjustRightInd w:val="0"/>
        <w:spacing w:after="0" w:line="240" w:lineRule="auto"/>
        <w:contextualSpacing/>
        <w:jc w:val="both"/>
        <w:rPr>
          <w:rFonts w:cs="Calibri"/>
          <w:bCs/>
        </w:rPr>
      </w:pPr>
      <w:r w:rsidRPr="00A33E06">
        <w:rPr>
          <w:rFonts w:cs="Calibri"/>
          <w:bCs/>
        </w:rPr>
        <w:t>koje je Grad uzeo u dugogodišnji najam (stanovi u Novom Jelkovcu): 1878 stanova (Grad će po isteku roka i ispunjenju ugovornih obveza 2024. postati vlasnik tih stanova).</w:t>
      </w:r>
    </w:p>
    <w:p w14:paraId="7950B61D" w14:textId="77777777" w:rsidR="00C5315F" w:rsidRPr="00303604" w:rsidRDefault="00C5315F" w:rsidP="00C5315F">
      <w:pPr>
        <w:autoSpaceDE w:val="0"/>
        <w:autoSpaceDN w:val="0"/>
        <w:adjustRightInd w:val="0"/>
        <w:spacing w:after="0" w:line="240" w:lineRule="auto"/>
        <w:ind w:left="360"/>
        <w:contextualSpacing/>
        <w:jc w:val="both"/>
        <w:rPr>
          <w:rFonts w:cs="Calibri"/>
          <w:bCs/>
        </w:rPr>
      </w:pPr>
    </w:p>
    <w:p w14:paraId="28676D13" w14:textId="77777777" w:rsidR="00C5315F" w:rsidRPr="00BF0E99" w:rsidRDefault="00C5315F" w:rsidP="00C5315F">
      <w:pPr>
        <w:pStyle w:val="Tekstkomentara"/>
        <w:jc w:val="both"/>
        <w:rPr>
          <w:sz w:val="22"/>
          <w:szCs w:val="22"/>
        </w:rPr>
      </w:pPr>
      <w:r w:rsidRPr="00BF0E99">
        <w:rPr>
          <w:sz w:val="22"/>
          <w:szCs w:val="22"/>
        </w:rPr>
        <w:t>Obvezno-pravni odnos najmodavca i najmoprimca u svezi korištenja stana, prvenstveno polazeći od stečenih prava prema ranije važećem Zakonu o stambenim odnosima, određuje Zakon o najmu stanova.</w:t>
      </w:r>
    </w:p>
    <w:p w14:paraId="22D0332B" w14:textId="77777777" w:rsidR="00C5315F" w:rsidRPr="00BF0E99" w:rsidRDefault="00C5315F" w:rsidP="00C5315F">
      <w:pPr>
        <w:pStyle w:val="Tekstkomentara"/>
        <w:jc w:val="both"/>
        <w:rPr>
          <w:sz w:val="22"/>
          <w:szCs w:val="22"/>
        </w:rPr>
      </w:pPr>
      <w:r w:rsidRPr="00BF0E99">
        <w:rPr>
          <w:sz w:val="22"/>
          <w:szCs w:val="22"/>
        </w:rPr>
        <w:t>Grad Zagreb, sukladno pozitivnim propisima, daje u najam stanove uz plaćanje zaštićene najamnine: za korisnike koji se koriste stanovima izgrađenim sredstvima namijenjenim za rješavanje stambenih pitanja osoba slabijeg imovnog stanja, koji se koriste stanom na temelju propisa o pravima hrvatskih branitelja, koji su imali pravni položaj nositelja stanarskog prava na stanu te ostali korisnici određeni posebnim propisom.</w:t>
      </w:r>
    </w:p>
    <w:p w14:paraId="2847B41E" w14:textId="77777777" w:rsidR="00C5315F" w:rsidRPr="00BF0E99" w:rsidRDefault="00C5315F" w:rsidP="00C5315F">
      <w:pPr>
        <w:pStyle w:val="Tekstkomentara"/>
        <w:jc w:val="both"/>
        <w:rPr>
          <w:sz w:val="22"/>
          <w:szCs w:val="22"/>
        </w:rPr>
      </w:pPr>
      <w:r w:rsidRPr="00BF0E99">
        <w:rPr>
          <w:sz w:val="22"/>
          <w:szCs w:val="22"/>
        </w:rPr>
        <w:t>Sukladno Odluci o najmu stanova isti se daju u najam na temelju Konačne liste reda prvenstva za davanje stanova u najam utvrđene po provedenom javnom natječaju, te izvan liste reda prvenstva osobama, uz ispunjenje uvjeta određenih pozitivnim propisima.</w:t>
      </w:r>
    </w:p>
    <w:p w14:paraId="61D59EEA" w14:textId="77777777" w:rsidR="00C5315F" w:rsidRPr="00BF0E99" w:rsidRDefault="00C5315F" w:rsidP="00C5315F">
      <w:pPr>
        <w:pStyle w:val="Tekstkomentara"/>
        <w:jc w:val="both"/>
        <w:rPr>
          <w:sz w:val="22"/>
          <w:szCs w:val="22"/>
        </w:rPr>
      </w:pPr>
      <w:r w:rsidRPr="00BF0E99">
        <w:rPr>
          <w:sz w:val="22"/>
          <w:szCs w:val="22"/>
        </w:rPr>
        <w:t>Grad Zagreb se kroz javni najam stanova aktivno uključio u mjere rješavanje problema nastalih povećanjem kratkoročnih najmova stanova što je dovelo do smanjenja dostupnosti stanova za dugoročni najam i prouzročilo rast cijena stanovanja u mnogim gradovima uključujući i u Zagrebu.</w:t>
      </w:r>
      <w:r>
        <w:rPr>
          <w:sz w:val="22"/>
          <w:szCs w:val="22"/>
        </w:rPr>
        <w:t xml:space="preserve"> </w:t>
      </w:r>
      <w:r w:rsidRPr="00BF0E99">
        <w:rPr>
          <w:sz w:val="22"/>
          <w:szCs w:val="22"/>
        </w:rPr>
        <w:t>Iznajmljivanje javnih stanova ispod tržišnih cijena mjera je koju mnoge države EU sve češće odabiru kako bi povećale dostupnost stanovanja građanima.</w:t>
      </w:r>
    </w:p>
    <w:p w14:paraId="5B3E63CD" w14:textId="77777777" w:rsidR="00C5315F" w:rsidRPr="00BF0E99" w:rsidRDefault="00C5315F" w:rsidP="00C5315F">
      <w:pPr>
        <w:pStyle w:val="Tekstkomentara"/>
        <w:jc w:val="both"/>
        <w:rPr>
          <w:sz w:val="22"/>
          <w:szCs w:val="22"/>
        </w:rPr>
      </w:pPr>
      <w:r w:rsidRPr="00BF0E99">
        <w:rPr>
          <w:sz w:val="22"/>
          <w:szCs w:val="22"/>
        </w:rPr>
        <w:t>Odlukom o najmu javno najamnih stanova, kao novi model stambene politike Grada, uređuju se uvjeti, postupak i mjerila za davanje u najam javno najamnih stanova kojima upravlja Grad Zagreb.</w:t>
      </w:r>
      <w:r>
        <w:rPr>
          <w:sz w:val="22"/>
          <w:szCs w:val="22"/>
        </w:rPr>
        <w:t xml:space="preserve"> </w:t>
      </w:r>
      <w:r w:rsidRPr="00BF0E99">
        <w:rPr>
          <w:sz w:val="22"/>
          <w:szCs w:val="22"/>
        </w:rPr>
        <w:t>Javno najamni stanovi daju se u najam isključivo na temelju javnog natječaja, a najamninu određuje gradonačelnik Zaključkom o raspisivanju Natječaja za davanje u najam javno najamnih stanova i određivanju visine mjesečne najamnine.</w:t>
      </w:r>
    </w:p>
    <w:p w14:paraId="0387A5CA" w14:textId="77777777" w:rsidR="00C5315F" w:rsidRPr="00B06ACB" w:rsidRDefault="00C5315F" w:rsidP="00C5315F">
      <w:pPr>
        <w:pStyle w:val="Tekstkomentara"/>
        <w:jc w:val="both"/>
        <w:rPr>
          <w:sz w:val="22"/>
          <w:szCs w:val="22"/>
        </w:rPr>
      </w:pPr>
      <w:r w:rsidRPr="00B06ACB">
        <w:rPr>
          <w:rFonts w:cs="Calibri"/>
          <w:b/>
          <w:sz w:val="22"/>
          <w:szCs w:val="22"/>
        </w:rPr>
        <w:t>Poslovni prostori</w:t>
      </w:r>
      <w:r>
        <w:rPr>
          <w:rFonts w:cs="Calibri"/>
          <w:b/>
          <w:sz w:val="22"/>
          <w:szCs w:val="22"/>
        </w:rPr>
        <w:t>.</w:t>
      </w:r>
      <w:r>
        <w:rPr>
          <w:sz w:val="22"/>
          <w:szCs w:val="22"/>
        </w:rPr>
        <w:t xml:space="preserve"> </w:t>
      </w:r>
      <w:r w:rsidRPr="00B06ACB">
        <w:rPr>
          <w:sz w:val="22"/>
          <w:szCs w:val="22"/>
        </w:rPr>
        <w:t>U poslovnom fondu Grada Zagreba, prema Izvještaju o stanju imovine na dan 31.12.2019., evidentirano je 1915 poslovnih prostora površine 264.529,84 m</w:t>
      </w:r>
      <w:r w:rsidRPr="001007F6">
        <w:rPr>
          <w:sz w:val="22"/>
          <w:szCs w:val="22"/>
          <w:vertAlign w:val="superscript"/>
        </w:rPr>
        <w:t>2</w:t>
      </w:r>
      <w:r w:rsidRPr="00B06ACB">
        <w:rPr>
          <w:sz w:val="22"/>
          <w:szCs w:val="22"/>
        </w:rPr>
        <w:t>, 543 garaže i garažna mjesta površine 9.026,75 m</w:t>
      </w:r>
      <w:r w:rsidRPr="001007F6">
        <w:rPr>
          <w:sz w:val="22"/>
          <w:szCs w:val="22"/>
          <w:vertAlign w:val="superscript"/>
        </w:rPr>
        <w:t>2</w:t>
      </w:r>
      <w:r w:rsidRPr="00B06ACB">
        <w:rPr>
          <w:sz w:val="22"/>
          <w:szCs w:val="22"/>
        </w:rPr>
        <w:t>, 370 zgrada površine 344.712,48 m</w:t>
      </w:r>
      <w:r w:rsidRPr="001007F6">
        <w:rPr>
          <w:sz w:val="22"/>
          <w:szCs w:val="22"/>
          <w:vertAlign w:val="superscript"/>
        </w:rPr>
        <w:t>2</w:t>
      </w:r>
      <w:r w:rsidRPr="00B06ACB">
        <w:rPr>
          <w:sz w:val="22"/>
          <w:szCs w:val="22"/>
        </w:rPr>
        <w:t>, kao i 98 poslovnih prostora površine 9.875,00 m</w:t>
      </w:r>
      <w:r w:rsidRPr="001007F6">
        <w:rPr>
          <w:sz w:val="22"/>
          <w:szCs w:val="22"/>
          <w:vertAlign w:val="superscript"/>
        </w:rPr>
        <w:t>2</w:t>
      </w:r>
      <w:r w:rsidRPr="00B06ACB">
        <w:rPr>
          <w:sz w:val="22"/>
          <w:szCs w:val="22"/>
        </w:rPr>
        <w:t xml:space="preserve"> i 6 zgrada, površine 25.136,20 m</w:t>
      </w:r>
      <w:r w:rsidRPr="001007F6">
        <w:rPr>
          <w:sz w:val="22"/>
          <w:szCs w:val="22"/>
          <w:vertAlign w:val="superscript"/>
        </w:rPr>
        <w:t>2</w:t>
      </w:r>
      <w:r w:rsidRPr="00B06ACB">
        <w:rPr>
          <w:sz w:val="22"/>
          <w:szCs w:val="22"/>
        </w:rPr>
        <w:t xml:space="preserve"> u vlasništvu Zagrebačkog holdinga d.o.o., a kojima Grad Zagreb upravlja temeljem ugovora o zakupu sklopljenih sa Zagrebačkim holdingom d.o.o.</w:t>
      </w:r>
    </w:p>
    <w:p w14:paraId="05EFE298" w14:textId="77777777" w:rsidR="00C5315F" w:rsidRPr="00A33E06" w:rsidRDefault="00C5315F" w:rsidP="00C5315F">
      <w:pPr>
        <w:spacing w:before="96" w:after="120" w:line="240" w:lineRule="auto"/>
        <w:contextualSpacing/>
        <w:rPr>
          <w:rFonts w:cs="Calibri"/>
          <w:bCs/>
        </w:rPr>
      </w:pPr>
      <w:r w:rsidRPr="00A33E06">
        <w:rPr>
          <w:rFonts w:cs="Calibri"/>
          <w:bCs/>
        </w:rPr>
        <w:t>Poslovni prostori kojima upravlja Grad Zagreb s obzirom na imovinsko-pravni status mogu biti:</w:t>
      </w:r>
      <w:r>
        <w:rPr>
          <w:rFonts w:cs="Calibri"/>
          <w:bCs/>
        </w:rPr>
        <w:t xml:space="preserve"> </w:t>
      </w:r>
    </w:p>
    <w:p w14:paraId="5ED49B23" w14:textId="77777777" w:rsidR="00C5315F" w:rsidRPr="00A33E06" w:rsidRDefault="00C5315F" w:rsidP="00165C16">
      <w:pPr>
        <w:numPr>
          <w:ilvl w:val="0"/>
          <w:numId w:val="26"/>
        </w:numPr>
        <w:spacing w:before="96" w:after="120" w:line="240" w:lineRule="auto"/>
        <w:contextualSpacing/>
        <w:rPr>
          <w:rFonts w:cs="Calibri"/>
          <w:bCs/>
        </w:rPr>
      </w:pPr>
      <w:r w:rsidRPr="00A33E06">
        <w:rPr>
          <w:rFonts w:cs="Calibri"/>
          <w:bCs/>
        </w:rPr>
        <w:t xml:space="preserve">vlasništvo Grada Zagreba (provedeno u javnim registrima i bez ikakvih drugih pravnih ograničenja): </w:t>
      </w:r>
      <w:r>
        <w:rPr>
          <w:rFonts w:cs="Calibri"/>
          <w:bCs/>
        </w:rPr>
        <w:t>216</w:t>
      </w:r>
      <w:r w:rsidRPr="00A33E06">
        <w:rPr>
          <w:rFonts w:cs="Calibri"/>
          <w:bCs/>
        </w:rPr>
        <w:t xml:space="preserve"> poslovnih prostora, </w:t>
      </w:r>
      <w:r>
        <w:rPr>
          <w:rFonts w:cs="Calibri"/>
          <w:bCs/>
        </w:rPr>
        <w:t>99</w:t>
      </w:r>
      <w:r w:rsidRPr="00A33E06">
        <w:rPr>
          <w:rFonts w:cs="Calibri"/>
          <w:bCs/>
        </w:rPr>
        <w:t xml:space="preserve"> zgrada i </w:t>
      </w:r>
      <w:r>
        <w:rPr>
          <w:rFonts w:cs="Calibri"/>
          <w:bCs/>
        </w:rPr>
        <w:t>57</w:t>
      </w:r>
      <w:r w:rsidRPr="00A33E06">
        <w:rPr>
          <w:rFonts w:cs="Calibri"/>
          <w:bCs/>
        </w:rPr>
        <w:t xml:space="preserve"> garaža</w:t>
      </w:r>
    </w:p>
    <w:p w14:paraId="1D507737" w14:textId="77777777" w:rsidR="00C5315F" w:rsidRPr="00A33E06" w:rsidRDefault="00C5315F" w:rsidP="00165C16">
      <w:pPr>
        <w:numPr>
          <w:ilvl w:val="0"/>
          <w:numId w:val="26"/>
        </w:numPr>
        <w:spacing w:before="96" w:after="120" w:line="240" w:lineRule="auto"/>
        <w:contextualSpacing/>
        <w:rPr>
          <w:rFonts w:cs="Calibri"/>
          <w:bCs/>
        </w:rPr>
      </w:pPr>
      <w:r w:rsidRPr="00A33E06">
        <w:rPr>
          <w:rFonts w:cs="Calibri"/>
          <w:bCs/>
        </w:rPr>
        <w:t xml:space="preserve">u vanknjižnom vlasništvu Grada Zagreba: </w:t>
      </w:r>
      <w:r>
        <w:rPr>
          <w:rFonts w:cs="Calibri"/>
          <w:bCs/>
        </w:rPr>
        <w:t>748</w:t>
      </w:r>
      <w:r w:rsidRPr="00A33E06">
        <w:rPr>
          <w:rFonts w:cs="Calibri"/>
          <w:bCs/>
        </w:rPr>
        <w:t xml:space="preserve"> poslovnih prostora, </w:t>
      </w:r>
      <w:r>
        <w:rPr>
          <w:rFonts w:cs="Calibri"/>
          <w:bCs/>
        </w:rPr>
        <w:t>91</w:t>
      </w:r>
      <w:r w:rsidRPr="00A33E06">
        <w:rPr>
          <w:rFonts w:cs="Calibri"/>
          <w:bCs/>
        </w:rPr>
        <w:t xml:space="preserve"> zgrada i 4</w:t>
      </w:r>
      <w:r>
        <w:rPr>
          <w:rFonts w:cs="Calibri"/>
          <w:bCs/>
        </w:rPr>
        <w:t>16</w:t>
      </w:r>
      <w:r w:rsidRPr="00A33E06">
        <w:rPr>
          <w:rFonts w:cs="Calibri"/>
          <w:bCs/>
        </w:rPr>
        <w:t xml:space="preserve"> garaža</w:t>
      </w:r>
    </w:p>
    <w:p w14:paraId="32FA493B" w14:textId="77777777" w:rsidR="00C5315F" w:rsidRPr="00A33E06" w:rsidRDefault="00C5315F" w:rsidP="00165C16">
      <w:pPr>
        <w:numPr>
          <w:ilvl w:val="0"/>
          <w:numId w:val="26"/>
        </w:numPr>
        <w:spacing w:before="96" w:after="120" w:line="240" w:lineRule="auto"/>
        <w:contextualSpacing/>
        <w:rPr>
          <w:rFonts w:cs="Calibri"/>
          <w:bCs/>
        </w:rPr>
      </w:pPr>
      <w:r w:rsidRPr="00A33E06">
        <w:rPr>
          <w:rFonts w:cs="Calibri"/>
          <w:bCs/>
        </w:rPr>
        <w:t>za koje su u tijeku postupci sukladno Zakonu o naknadi za imovinu oduzetu za vrijeme jugoslavenske komunističke vladavine: 1</w:t>
      </w:r>
      <w:r>
        <w:rPr>
          <w:rFonts w:cs="Calibri"/>
          <w:bCs/>
        </w:rPr>
        <w:t>015</w:t>
      </w:r>
      <w:r w:rsidRPr="00A33E06">
        <w:rPr>
          <w:rFonts w:cs="Calibri"/>
          <w:bCs/>
        </w:rPr>
        <w:t xml:space="preserve"> poslovnih prostora, </w:t>
      </w:r>
      <w:r>
        <w:rPr>
          <w:rFonts w:cs="Calibri"/>
          <w:bCs/>
        </w:rPr>
        <w:t>50 zgrada</w:t>
      </w:r>
      <w:r w:rsidRPr="00A33E06">
        <w:rPr>
          <w:rFonts w:cs="Calibri"/>
          <w:bCs/>
        </w:rPr>
        <w:t xml:space="preserve"> i </w:t>
      </w:r>
      <w:r>
        <w:rPr>
          <w:rFonts w:cs="Calibri"/>
          <w:bCs/>
        </w:rPr>
        <w:t>70</w:t>
      </w:r>
      <w:r w:rsidRPr="00A33E06">
        <w:rPr>
          <w:rFonts w:cs="Calibri"/>
          <w:bCs/>
        </w:rPr>
        <w:t xml:space="preserve"> garaža</w:t>
      </w:r>
    </w:p>
    <w:p w14:paraId="46D82484" w14:textId="696FFD87" w:rsidR="00C5315F" w:rsidRDefault="00C5315F" w:rsidP="00165C16">
      <w:pPr>
        <w:numPr>
          <w:ilvl w:val="0"/>
          <w:numId w:val="26"/>
        </w:numPr>
        <w:autoSpaceDE w:val="0"/>
        <w:autoSpaceDN w:val="0"/>
        <w:adjustRightInd w:val="0"/>
        <w:spacing w:after="0" w:line="240" w:lineRule="auto"/>
        <w:contextualSpacing/>
        <w:jc w:val="both"/>
        <w:rPr>
          <w:rFonts w:cs="Calibri"/>
          <w:bCs/>
        </w:rPr>
      </w:pPr>
      <w:r w:rsidRPr="00A33E06">
        <w:rPr>
          <w:rFonts w:cs="Calibri"/>
          <w:bCs/>
        </w:rPr>
        <w:t>koje je Grad Zagreb uzeo u dugogodišnji zakup (Novi Jelkovec): 92 poslovna prostora, 601 garaže i 288 parkirnih garažnih mjesta, te objekt A11 sa ukupno 205 PGM i javne garaže oznake A12 (istekom roka zakupa i podmirenjem svih obveza Grad Zagreb stječe pravo vlasništva na navedenim prostorima).</w:t>
      </w:r>
    </w:p>
    <w:p w14:paraId="085E042E" w14:textId="77777777" w:rsidR="00982336" w:rsidRPr="00A33E06" w:rsidRDefault="00982336" w:rsidP="00982336">
      <w:pPr>
        <w:autoSpaceDE w:val="0"/>
        <w:autoSpaceDN w:val="0"/>
        <w:adjustRightInd w:val="0"/>
        <w:spacing w:after="0" w:line="240" w:lineRule="auto"/>
        <w:ind w:left="360"/>
        <w:contextualSpacing/>
        <w:jc w:val="both"/>
        <w:rPr>
          <w:rFonts w:cs="Calibri"/>
          <w:bCs/>
        </w:rPr>
      </w:pPr>
    </w:p>
    <w:p w14:paraId="6CFDABC0" w14:textId="77777777" w:rsidR="00C5315F" w:rsidRPr="00B06ACB" w:rsidRDefault="00C5315F" w:rsidP="00C5315F">
      <w:pPr>
        <w:pStyle w:val="Tekstkomentara"/>
        <w:jc w:val="both"/>
        <w:rPr>
          <w:sz w:val="22"/>
          <w:szCs w:val="22"/>
        </w:rPr>
      </w:pPr>
      <w:r w:rsidRPr="00B06ACB">
        <w:rPr>
          <w:sz w:val="22"/>
          <w:szCs w:val="22"/>
        </w:rPr>
        <w:t xml:space="preserve">Na dan 31.12.2019. u Modulu poslovnog upravljanja evidentirano je 2541 upravljanje, sa 1878 ugovora o zakupu/korištenju. </w:t>
      </w:r>
    </w:p>
    <w:p w14:paraId="5AB2CFBF" w14:textId="77777777" w:rsidR="00C5315F" w:rsidRPr="00B06ACB" w:rsidRDefault="00C5315F" w:rsidP="00C5315F">
      <w:pPr>
        <w:pStyle w:val="Tekstkomentara"/>
        <w:jc w:val="both"/>
        <w:rPr>
          <w:sz w:val="22"/>
          <w:szCs w:val="22"/>
        </w:rPr>
      </w:pPr>
      <w:r w:rsidRPr="00B06ACB">
        <w:rPr>
          <w:sz w:val="22"/>
          <w:szCs w:val="22"/>
        </w:rPr>
        <w:t>Zasnivanje i prestanak zakupa poslovnog prostora, međusobna prava i obveze zakupodavca i zakupnika, početna visina zakupnine, postupak dodjele gradskih prostora na korištenje udrugama, postupak za dodjelu gradskih poslovnih prostora i skloništa na korištenje političkim strankama i nositeljima nezavisnih lista za njihovu djelatnost, odnosno rad, likovnim i drugim umjetnicima, vjerskim zajednicama i ustanovama čiji je Grad Zagreb jedini osnivač ili suosnivač, regulirani su posebnim propisima (npr. Zakon o zakupu i kupoprodaji poslovnog prostora, Odluka o zakupu i kupoprodaji poslovnih prostora, Pravilnik o dodjeli gradskih prostora na korištenje udrugama itd.)</w:t>
      </w:r>
    </w:p>
    <w:p w14:paraId="18D8BAEA" w14:textId="77777777" w:rsidR="00C5315F" w:rsidRPr="00B06ACB" w:rsidRDefault="00C5315F" w:rsidP="00C5315F">
      <w:pPr>
        <w:pStyle w:val="Tekstkomentara"/>
        <w:jc w:val="both"/>
        <w:rPr>
          <w:sz w:val="22"/>
          <w:szCs w:val="22"/>
        </w:rPr>
      </w:pPr>
      <w:r w:rsidRPr="00B06ACB">
        <w:rPr>
          <w:sz w:val="22"/>
          <w:szCs w:val="22"/>
        </w:rPr>
        <w:t>Grad Zagreb s ciljem transparentnosti, na Službenoj stranici Grada Zagreba u Katalogu nekretnina objavljuje popis praznih poslovnih prostora, s posebnom napomenom kod prostora za koje je već u tijeku postupak dodjele, budući da su isti već bili oglašeni u natječaju, ali u trenutku usklađenja podataka o praznim prostorima i oglašavanja istih na službenoj stranici Grada Zagreba još nije bio sklopljen ugovor.</w:t>
      </w:r>
    </w:p>
    <w:p w14:paraId="4D876565" w14:textId="77777777" w:rsidR="00C5315F" w:rsidRPr="00B06ACB" w:rsidRDefault="00C5315F" w:rsidP="00C5315F">
      <w:pPr>
        <w:pStyle w:val="Tekstkomentara"/>
        <w:jc w:val="both"/>
        <w:rPr>
          <w:sz w:val="22"/>
          <w:szCs w:val="22"/>
        </w:rPr>
      </w:pPr>
      <w:r w:rsidRPr="00B06ACB">
        <w:rPr>
          <w:sz w:val="22"/>
          <w:szCs w:val="22"/>
        </w:rPr>
        <w:t>Zainteresirane osobe za pojedine lokacije mogu iskazati interes putem pisma namjere, radi raspisa natječaja za davanje poslovnog prostora u zakup/korištenje. Za davanje u zakup/korištenje poslovnih prostora Grad Zagreb raspisuje javne natječaje.</w:t>
      </w:r>
    </w:p>
    <w:p w14:paraId="5E49AAFB" w14:textId="77777777" w:rsidR="00C5315F" w:rsidRDefault="00C5315F" w:rsidP="00C5315F">
      <w:pPr>
        <w:pStyle w:val="Tekstkomentara"/>
        <w:jc w:val="both"/>
        <w:rPr>
          <w:sz w:val="22"/>
          <w:szCs w:val="22"/>
        </w:rPr>
      </w:pPr>
      <w:r w:rsidRPr="00B06ACB">
        <w:rPr>
          <w:sz w:val="22"/>
          <w:szCs w:val="22"/>
        </w:rPr>
        <w:t>Prihodi u 2019. godini temelje se na Izvješću o obavljanju stručnih poslova naplate za Grad Zagreb, koje je izradilo Gradsko stambeno komunalno gospodarstvo d.o.o. (u daljnjem tekstu GSKG) i obuhvaćaju zakupninu, zakupninu s PDV-om, naknadu za korištenje i naknadu za korištenje bez valjanog pravnog osnova. Ukupno je u 2019. godini naplaćeno zakupnine/naknade za korištenje 55.140.168,04 milijuna kuna.</w:t>
      </w:r>
    </w:p>
    <w:p w14:paraId="4B31507A" w14:textId="77777777" w:rsidR="00C5315F" w:rsidRPr="00C61FE1" w:rsidRDefault="00C5315F" w:rsidP="00C5315F">
      <w:pPr>
        <w:pStyle w:val="Tekstkomentara"/>
        <w:jc w:val="both"/>
        <w:rPr>
          <w:rFonts w:cs="Calibri"/>
          <w:b/>
          <w:sz w:val="22"/>
          <w:szCs w:val="22"/>
        </w:rPr>
      </w:pPr>
      <w:r w:rsidRPr="00C61FE1">
        <w:rPr>
          <w:rFonts w:cs="Calibri"/>
          <w:b/>
          <w:sz w:val="22"/>
          <w:szCs w:val="22"/>
        </w:rPr>
        <w:t>Zemljište</w:t>
      </w:r>
      <w:r>
        <w:rPr>
          <w:rFonts w:cs="Calibri"/>
          <w:b/>
          <w:sz w:val="22"/>
          <w:szCs w:val="22"/>
        </w:rPr>
        <w:t xml:space="preserve">. </w:t>
      </w:r>
      <w:r w:rsidRPr="00C61FE1">
        <w:rPr>
          <w:rFonts w:cs="Calibri"/>
          <w:bCs/>
          <w:sz w:val="22"/>
          <w:szCs w:val="22"/>
        </w:rPr>
        <w:t>Upravljanje zemljištem provodi se davanjem u zakup ili na korištenje na određeni rok s mogućnošću produljenja roka do donošenja odluke o privođenja zemljišta konačnoj namjeni odnosno otuđenja u nekom od prije opisanih postupaka ili utvrđenja vlasništva trećih osoba u postupcima koji se vode pred nadležnim upravnim i sudskim tijelima.</w:t>
      </w:r>
    </w:p>
    <w:p w14:paraId="3DE9245F" w14:textId="77777777" w:rsidR="00C5315F" w:rsidRPr="00A33E06" w:rsidRDefault="00C5315F" w:rsidP="00C5315F">
      <w:pPr>
        <w:autoSpaceDE w:val="0"/>
        <w:autoSpaceDN w:val="0"/>
        <w:adjustRightInd w:val="0"/>
        <w:spacing w:line="240" w:lineRule="auto"/>
        <w:jc w:val="both"/>
        <w:rPr>
          <w:rFonts w:cs="Calibri"/>
          <w:bCs/>
        </w:rPr>
      </w:pPr>
      <w:r w:rsidRPr="00A33E06">
        <w:rPr>
          <w:rFonts w:cs="Calibri"/>
          <w:bCs/>
        </w:rPr>
        <w:t>Radi utvrđivanja mogućnosti raspolaganja ili privođenja zemljišta konačnoj namjeni odnosno privremenom korištenju, kontinuirano se provode analize koje uključuju provjeru imovinsko-pravnog statusa, usklađenosti knjižnih stanja (katastra i zemljišne knjige), usklađenost knjižnih stanja sa stanjem na terenu, prostorno plansku namjenu, strategijski interes Grada, eventualne potrebe lokalne zajednice i drugo po potrebi, te se sukladno utvrđenom donose odluke o načinu raspolaganja.</w:t>
      </w:r>
    </w:p>
    <w:p w14:paraId="3425385D" w14:textId="77777777" w:rsidR="00C5315F" w:rsidRPr="008F2F2B" w:rsidRDefault="00C5315F" w:rsidP="00C5315F">
      <w:pPr>
        <w:pStyle w:val="Tekstkomentara"/>
        <w:jc w:val="both"/>
        <w:rPr>
          <w:sz w:val="22"/>
          <w:szCs w:val="22"/>
        </w:rPr>
      </w:pPr>
      <w:r w:rsidRPr="00C61FE1">
        <w:rPr>
          <w:rFonts w:cs="Calibri"/>
          <w:bCs/>
          <w:sz w:val="22"/>
          <w:szCs w:val="22"/>
        </w:rPr>
        <w:t xml:space="preserve">Analize lokacija i zemljišta kontinuirano se provode za različite potrebe i korisnike – reciklažna dvorišta, gradske vrtove, dječja i sportska igrališta, zelene površine i sl. Kontinuirano se analiziraju i lokacije radi postavljanja na web stranicu Grada Zagreba, u katalog nekretnina, koje se nude za prodaju. </w:t>
      </w:r>
      <w:r w:rsidRPr="008F2F2B">
        <w:rPr>
          <w:sz w:val="22"/>
          <w:szCs w:val="22"/>
        </w:rPr>
        <w:t>Na dan 31.12.2019. bila su evidentirana 674 ugovora o zakupu zemljišta ukupne površine 701.213 m</w:t>
      </w:r>
      <w:r w:rsidRPr="000C43E1">
        <w:rPr>
          <w:sz w:val="22"/>
          <w:szCs w:val="22"/>
          <w:vertAlign w:val="superscript"/>
        </w:rPr>
        <w:t>2</w:t>
      </w:r>
      <w:r w:rsidRPr="008F2F2B">
        <w:rPr>
          <w:sz w:val="22"/>
          <w:szCs w:val="22"/>
        </w:rPr>
        <w:t xml:space="preserve"> zemljišta. Ugovorena zakupnina za 2019. godinu, uvećana za naknadu za korištenje po isteku ugovora iznosila je 4.841.953,24 milijuna kuna.</w:t>
      </w:r>
    </w:p>
    <w:p w14:paraId="12F01830" w14:textId="77777777" w:rsidR="00C5315F" w:rsidRPr="00A33E06" w:rsidRDefault="00C5315F" w:rsidP="00C5315F">
      <w:pPr>
        <w:autoSpaceDE w:val="0"/>
        <w:autoSpaceDN w:val="0"/>
        <w:adjustRightInd w:val="0"/>
        <w:spacing w:line="240" w:lineRule="auto"/>
        <w:jc w:val="both"/>
        <w:rPr>
          <w:rFonts w:cs="Calibri"/>
          <w:bCs/>
        </w:rPr>
      </w:pPr>
      <w:r w:rsidRPr="008F2F2B">
        <w:t>22.4.2020. godine u katalogu je bilo 8 lokacija, površine cca 7.000 m², približne vrijednosti 15.480.740 milijuna kuna.</w:t>
      </w:r>
      <w:r>
        <w:t xml:space="preserve"> </w:t>
      </w:r>
      <w:r w:rsidRPr="008F2F2B">
        <w:rPr>
          <w:rFonts w:cs="Calibri"/>
          <w:bCs/>
        </w:rPr>
        <w:t>Katalog</w:t>
      </w:r>
      <w:r w:rsidRPr="00A33E06">
        <w:rPr>
          <w:rFonts w:cs="Calibri"/>
          <w:bCs/>
        </w:rPr>
        <w:t xml:space="preserve"> nekretnina je javan, a osim podataka o imovinsko-pravnom statusu i prostorno-planskim karakteristikama zemljišta</w:t>
      </w:r>
      <w:r>
        <w:rPr>
          <w:rFonts w:cs="Calibri"/>
          <w:bCs/>
        </w:rPr>
        <w:t xml:space="preserve"> </w:t>
      </w:r>
      <w:r w:rsidRPr="00A33E06">
        <w:rPr>
          <w:rFonts w:cs="Calibri"/>
          <w:bCs/>
        </w:rPr>
        <w:t>evidentiraju se i položajne karakteristike te podatak o okvirnoj vrijednosti dobiven na temelju podataka iz Zbirke kupoprodajnih cijena. Građani zainteresirani za kupnju gradskog zemljišta objavljenog u Katalogu nekretnina obraćaju se tijelu nadležnom za raspolaganje putem pisma namjere nakon čega se raspisuje javni natječaj sukladno propisima koji reguliraju raspolaganje.</w:t>
      </w:r>
    </w:p>
    <w:p w14:paraId="1FDC9918" w14:textId="77777777" w:rsidR="00C5315F" w:rsidRPr="00A14BB4" w:rsidRDefault="00C5315F" w:rsidP="00C5315F">
      <w:pPr>
        <w:pStyle w:val="Tijeloteksta2"/>
        <w:ind w:right="70"/>
        <w:rPr>
          <w:rFonts w:ascii="Calibri" w:hAnsi="Calibri" w:cs="Calibri"/>
          <w:b w:val="0"/>
          <w:sz w:val="22"/>
          <w:szCs w:val="22"/>
        </w:rPr>
      </w:pPr>
      <w:r w:rsidRPr="00A33E06">
        <w:rPr>
          <w:rFonts w:ascii="Calibri" w:hAnsi="Calibri" w:cs="Calibri"/>
          <w:bCs w:val="0"/>
          <w:sz w:val="22"/>
          <w:szCs w:val="22"/>
        </w:rPr>
        <w:t>Procjena vrijednosti nekretnina.</w:t>
      </w:r>
      <w:r w:rsidRPr="00A33E06">
        <w:rPr>
          <w:rFonts w:ascii="Calibri" w:hAnsi="Calibri" w:cs="Calibri"/>
          <w:b w:val="0"/>
          <w:sz w:val="22"/>
          <w:szCs w:val="22"/>
        </w:rPr>
        <w:t xml:space="preserve"> Pouzdane procjene vrijednosti nekretnina od iznimne su važnosti za domaćinstva, </w:t>
      </w:r>
      <w:r>
        <w:rPr>
          <w:rFonts w:ascii="Calibri" w:hAnsi="Calibri" w:cs="Calibri"/>
          <w:b w:val="0"/>
          <w:sz w:val="22"/>
          <w:szCs w:val="22"/>
        </w:rPr>
        <w:t>trgovačka društva</w:t>
      </w:r>
      <w:r w:rsidRPr="00A33E06">
        <w:rPr>
          <w:rFonts w:ascii="Calibri" w:hAnsi="Calibri" w:cs="Calibri"/>
          <w:b w:val="0"/>
          <w:sz w:val="22"/>
          <w:szCs w:val="22"/>
        </w:rPr>
        <w:t xml:space="preserve"> i javnopravne osobe, kao i kod prekograničnih kupoprodaja nekretnina koje se događaju zahvaljujući ukidanju prepreka za slobodan protok kapitala i usluga. Republika Hrvatska je sredinom 2014. donijela propise iz područja procjene vrijednosti nekretnina, a Grad Zagreb je Odlukom o građevinskom zemljištu vlastitu bazu podataka – zbirku kupoprodajnih cijena – otvorio ovlaštenicima opravdanog interesa, poimence procjeniteljima te pravosudnim i upravnim tijelima. Zbirka kupoprodajnih cijena sadrži sve podatke s tržišta nekretnina Grada Zagreba koji su pribavljeni i evidentirani te predstavlja izvornu sliku pojava na tržištu nekretnina</w:t>
      </w:r>
      <w:r w:rsidRPr="00A14BB4">
        <w:rPr>
          <w:rFonts w:ascii="Calibri" w:hAnsi="Calibri" w:cs="Calibri"/>
          <w:b w:val="0"/>
          <w:color w:val="FF0000"/>
          <w:sz w:val="22"/>
          <w:szCs w:val="22"/>
        </w:rPr>
        <w:t xml:space="preserve"> </w:t>
      </w:r>
      <w:r w:rsidRPr="00A14BB4">
        <w:rPr>
          <w:rFonts w:ascii="Calibri" w:hAnsi="Calibri" w:cs="Calibri"/>
          <w:b w:val="0"/>
          <w:sz w:val="22"/>
          <w:szCs w:val="22"/>
        </w:rPr>
        <w:t>a ista predstavlja preteču današnjoj bazi tzv. eNekretnine.</w:t>
      </w:r>
    </w:p>
    <w:p w14:paraId="6CE9F546" w14:textId="77777777" w:rsidR="00C5315F" w:rsidRPr="00A14BB4" w:rsidRDefault="00C5315F" w:rsidP="00BA33B5">
      <w:pPr>
        <w:rPr>
          <w:lang w:eastAsia="hr-HR"/>
        </w:rPr>
      </w:pPr>
      <w:r w:rsidRPr="00A14BB4">
        <w:rPr>
          <w:lang w:eastAsia="hr-HR"/>
        </w:rPr>
        <w:t xml:space="preserve">U ožujku 2016. Ministarstvo graditeljstva i prostornog uređenja prezentiralo je I fazu Informacijskog sustava tržišta nekretnina </w:t>
      </w:r>
      <w:hyperlink r:id="rId32" w:history="1">
        <w:r w:rsidRPr="00A14BB4">
          <w:rPr>
            <w:lang w:eastAsia="hr-HR"/>
          </w:rPr>
          <w:t>eNekretnine</w:t>
        </w:r>
      </w:hyperlink>
      <w:r w:rsidRPr="00A14BB4">
        <w:rPr>
          <w:lang w:eastAsia="hr-HR"/>
        </w:rPr>
        <w:t> putem koje je ovlaštenim procjeniteljima i posrednicima u prometu nekretninama omogućen lak pristup korisnim informacijama koje su dobra podloga za njihov kvalitetan stručni rad. Ova baza podataka važna je radi osiguranja transparentnosti tržišta nekretnina, a trenutno je od Porezne uprave preuzeto preko 70.000 ugovora o kupoprodaji/najmu/zakupu na području Grada Zagreba ugovorenih od 2012. do danas i u tijeku je evaluacija ugovora od strane djelatnika Službe za vrednovanje nekretnina. Također je u srpnju 2017. godine omogućen uvid u skenirane ugovore što je riješilo problem nedostatka podataka od 1.5.2016.</w:t>
      </w:r>
      <w:r>
        <w:rPr>
          <w:lang w:eastAsia="hr-HR"/>
        </w:rPr>
        <w:t xml:space="preserve"> </w:t>
      </w:r>
      <w:r w:rsidRPr="00A14BB4">
        <w:rPr>
          <w:lang w:eastAsia="hr-HR"/>
        </w:rPr>
        <w:t xml:space="preserve">godine kada je prestala dostava ugovora od strane javnih bilježnika. </w:t>
      </w:r>
    </w:p>
    <w:p w14:paraId="66736A2D" w14:textId="77777777" w:rsidR="00C5315F" w:rsidRPr="00A14BB4" w:rsidRDefault="00C5315F" w:rsidP="00BA33B5">
      <w:pPr>
        <w:rPr>
          <w:lang w:eastAsia="hr-HR"/>
        </w:rPr>
      </w:pPr>
      <w:r w:rsidRPr="00A14BB4">
        <w:rPr>
          <w:lang w:eastAsia="hr-HR"/>
        </w:rPr>
        <w:t>Za unos, evaluaciju, čuvanje i izdavanje podataka zadužena su prema ZPVN-u upravna tijela JLP(R)S u županiji, Gradu Zagrebu odnosno velikom gradu. Evaluacija podataka je izuzetno važna aktivnost, s izrazito lokalnim obilježjem, pa se od službenika pri JLP(R)S očekuje postupni razvoj kompetencija u vezi s upravljanjem podacima za potrebe vred</w:t>
      </w:r>
      <w:r>
        <w:rPr>
          <w:lang w:eastAsia="hr-HR"/>
        </w:rPr>
        <w:t>n</w:t>
      </w:r>
      <w:r w:rsidRPr="00A14BB4">
        <w:rPr>
          <w:lang w:eastAsia="hr-HR"/>
        </w:rPr>
        <w:t>ovanja nekretnina, a na taj način i povećanje usluge prema građanima i gospodarstvu lokalne zajednice.</w:t>
      </w:r>
    </w:p>
    <w:p w14:paraId="74BD21FA" w14:textId="77777777" w:rsidR="00C5315F" w:rsidRPr="00A14BB4" w:rsidRDefault="00C5315F" w:rsidP="00C5315F">
      <w:pPr>
        <w:tabs>
          <w:tab w:val="left" w:pos="-720"/>
        </w:tabs>
        <w:suppressAutoHyphens/>
        <w:spacing w:after="0" w:line="240" w:lineRule="auto"/>
        <w:ind w:right="70"/>
        <w:jc w:val="both"/>
        <w:rPr>
          <w:rFonts w:eastAsia="Times New Roman" w:cs="Calibri"/>
          <w:bCs/>
          <w:lang w:eastAsia="hr-HR"/>
        </w:rPr>
      </w:pPr>
      <w:r w:rsidRPr="00A14BB4">
        <w:rPr>
          <w:rFonts w:eastAsia="Times New Roman" w:cs="Calibri"/>
          <w:bCs/>
          <w:lang w:eastAsia="hr-HR"/>
        </w:rPr>
        <w:t>Obz</w:t>
      </w:r>
      <w:r>
        <w:rPr>
          <w:rFonts w:eastAsia="Times New Roman" w:cs="Calibri"/>
          <w:bCs/>
          <w:lang w:eastAsia="hr-HR"/>
        </w:rPr>
        <w:t>i</w:t>
      </w:r>
      <w:r w:rsidRPr="00A14BB4">
        <w:rPr>
          <w:rFonts w:eastAsia="Times New Roman" w:cs="Calibri"/>
          <w:bCs/>
          <w:lang w:eastAsia="hr-HR"/>
        </w:rPr>
        <w:t>ro</w:t>
      </w:r>
      <w:r>
        <w:rPr>
          <w:rFonts w:eastAsia="Times New Roman" w:cs="Calibri"/>
          <w:bCs/>
          <w:lang w:eastAsia="hr-HR"/>
        </w:rPr>
        <w:t>m</w:t>
      </w:r>
      <w:r w:rsidRPr="00A14BB4">
        <w:rPr>
          <w:rFonts w:eastAsia="Times New Roman" w:cs="Calibri"/>
          <w:bCs/>
          <w:lang w:eastAsia="hr-HR"/>
        </w:rPr>
        <w:t xml:space="preserve"> na značaj vođenja kvalitetne zbirke kupoprodajnih cijena i izdavanja podataka procjeniteljima za potrebe procjene nekretnina, od iznimne je važnosti osigurati dovoljan broj kvalitetnih službenika, a također i omogućiti uvide u veliki broj aplikacija i baza podataka koji su nužni preduvjet za ispunjavanje svih zadaća propisanih ZPVN-a.</w:t>
      </w:r>
    </w:p>
    <w:p w14:paraId="16CD67AA" w14:textId="77777777" w:rsidR="00C5315F" w:rsidRPr="00A33E06" w:rsidRDefault="00C5315F" w:rsidP="00C5315F">
      <w:pPr>
        <w:pStyle w:val="Tijeloteksta2"/>
        <w:ind w:right="70"/>
        <w:rPr>
          <w:rFonts w:ascii="Calibri" w:hAnsi="Calibri" w:cs="Calibri"/>
          <w:bCs w:val="0"/>
          <w:sz w:val="22"/>
          <w:szCs w:val="22"/>
        </w:rPr>
      </w:pPr>
    </w:p>
    <w:p w14:paraId="610E9157" w14:textId="77777777" w:rsidR="00C5315F" w:rsidRDefault="00C5315F" w:rsidP="00C5315F">
      <w:pPr>
        <w:pStyle w:val="Tijeloteksta2"/>
        <w:ind w:right="70"/>
        <w:rPr>
          <w:rFonts w:ascii="Calibri" w:hAnsi="Calibri" w:cs="Calibri"/>
          <w:b w:val="0"/>
          <w:sz w:val="22"/>
          <w:szCs w:val="22"/>
        </w:rPr>
      </w:pPr>
      <w:r w:rsidRPr="00A33E06">
        <w:rPr>
          <w:rFonts w:ascii="Calibri" w:hAnsi="Calibri" w:cs="Calibri"/>
          <w:bCs w:val="0"/>
          <w:sz w:val="22"/>
          <w:szCs w:val="22"/>
        </w:rPr>
        <w:t>Aktivna zemljišna politika.</w:t>
      </w:r>
      <w:r w:rsidRPr="00A33E06">
        <w:rPr>
          <w:rFonts w:ascii="Calibri" w:hAnsi="Calibri" w:cs="Calibri"/>
          <w:b w:val="0"/>
          <w:color w:val="FF00FF"/>
          <w:sz w:val="22"/>
          <w:szCs w:val="22"/>
        </w:rPr>
        <w:t xml:space="preserve"> </w:t>
      </w:r>
      <w:r w:rsidRPr="00A33E06">
        <w:rPr>
          <w:rFonts w:ascii="Calibri" w:hAnsi="Calibri" w:cs="Calibri"/>
          <w:b w:val="0"/>
          <w:sz w:val="22"/>
          <w:szCs w:val="22"/>
        </w:rPr>
        <w:t xml:space="preserve">Provedba obuhvaća uređivanje građevinskog zemljišta i gospodarenje zemljištem u vlasništvu Grada. </w:t>
      </w:r>
      <w:r w:rsidRPr="005D6ADE">
        <w:rPr>
          <w:rFonts w:ascii="Calibri" w:hAnsi="Calibri" w:cs="Calibri"/>
          <w:b w:val="0"/>
          <w:bCs w:val="0"/>
          <w:sz w:val="22"/>
          <w:szCs w:val="22"/>
        </w:rPr>
        <w:t xml:space="preserve">Teškoće u uređivanju zemljišta u cilju njegova osposobljavanja za građenje, rekonstrukciju i korištenje zgrada u skladu s dokumentom prostornog uređenja uzrokovane su nepostojanjem ili nerealizacije urbanističkih planova uređenja područne (regionalne) i lokalne razine, neusklađenost i dvojnost podataka katastra i zemljišne knjige, te njihova neusklađenost sa stanjem na terenu, te konačno kompleksnim imovinsko-pravnim pitanjima i visokom cijenom zemljišta. </w:t>
      </w:r>
    </w:p>
    <w:p w14:paraId="06EA935F" w14:textId="12A3C71B" w:rsidR="00C5315F" w:rsidRDefault="00C5315F" w:rsidP="00C5315F">
      <w:pPr>
        <w:pStyle w:val="Tijeloteksta2"/>
        <w:ind w:right="70"/>
        <w:rPr>
          <w:rFonts w:ascii="Calibri" w:hAnsi="Calibri" w:cs="Calibri"/>
          <w:b w:val="0"/>
          <w:sz w:val="22"/>
          <w:szCs w:val="22"/>
        </w:rPr>
      </w:pPr>
    </w:p>
    <w:p w14:paraId="301A03C4" w14:textId="65F43588" w:rsidR="00710303" w:rsidRDefault="00710303" w:rsidP="00C5315F">
      <w:pPr>
        <w:pStyle w:val="Tijeloteksta2"/>
        <w:ind w:right="70"/>
        <w:rPr>
          <w:rFonts w:ascii="Calibri" w:hAnsi="Calibri" w:cs="Calibri"/>
          <w:b w:val="0"/>
          <w:sz w:val="22"/>
          <w:szCs w:val="22"/>
        </w:rPr>
      </w:pPr>
    </w:p>
    <w:p w14:paraId="64B6A202" w14:textId="4D720D61" w:rsidR="00710303" w:rsidRDefault="00710303" w:rsidP="00C5315F">
      <w:pPr>
        <w:pStyle w:val="Tijeloteksta2"/>
        <w:ind w:right="70"/>
        <w:rPr>
          <w:rFonts w:ascii="Calibri" w:hAnsi="Calibri" w:cs="Calibri"/>
          <w:b w:val="0"/>
          <w:sz w:val="22"/>
          <w:szCs w:val="22"/>
        </w:rPr>
      </w:pPr>
    </w:p>
    <w:p w14:paraId="2B78163C" w14:textId="38F9C707" w:rsidR="00710303" w:rsidRDefault="00710303" w:rsidP="00C5315F">
      <w:pPr>
        <w:pStyle w:val="Tijeloteksta2"/>
        <w:ind w:right="70"/>
        <w:rPr>
          <w:rFonts w:ascii="Calibri" w:hAnsi="Calibri" w:cs="Calibri"/>
          <w:b w:val="0"/>
          <w:sz w:val="22"/>
          <w:szCs w:val="22"/>
        </w:rPr>
      </w:pPr>
    </w:p>
    <w:p w14:paraId="6155191B" w14:textId="18B0F82D" w:rsidR="00710303" w:rsidRDefault="00710303" w:rsidP="00C5315F">
      <w:pPr>
        <w:pStyle w:val="Tijeloteksta2"/>
        <w:ind w:right="70"/>
        <w:rPr>
          <w:rFonts w:ascii="Calibri" w:hAnsi="Calibri" w:cs="Calibri"/>
          <w:b w:val="0"/>
          <w:sz w:val="22"/>
          <w:szCs w:val="22"/>
        </w:rPr>
      </w:pPr>
    </w:p>
    <w:p w14:paraId="582DA83E" w14:textId="6A9C40D1" w:rsidR="00710303" w:rsidRDefault="00710303" w:rsidP="00C5315F">
      <w:pPr>
        <w:pStyle w:val="Tijeloteksta2"/>
        <w:ind w:right="70"/>
        <w:rPr>
          <w:rFonts w:ascii="Calibri" w:hAnsi="Calibri" w:cs="Calibri"/>
          <w:b w:val="0"/>
          <w:sz w:val="22"/>
          <w:szCs w:val="22"/>
        </w:rPr>
      </w:pPr>
    </w:p>
    <w:p w14:paraId="076F7A28" w14:textId="77777777" w:rsidR="00710303" w:rsidRPr="00A33E06" w:rsidRDefault="00710303" w:rsidP="00C5315F">
      <w:pPr>
        <w:pStyle w:val="Tijeloteksta2"/>
        <w:ind w:right="70"/>
        <w:rPr>
          <w:rFonts w:ascii="Calibri" w:hAnsi="Calibri" w:cs="Calibri"/>
          <w:b w:val="0"/>
          <w:sz w:val="22"/>
          <w:szCs w:val="22"/>
        </w:rPr>
      </w:pPr>
    </w:p>
    <w:tbl>
      <w:tblPr>
        <w:tblW w:w="0" w:type="auto"/>
        <w:shd w:val="clear" w:color="auto" w:fill="CCCCCC"/>
        <w:tblLook w:val="01E0" w:firstRow="1" w:lastRow="1" w:firstColumn="1" w:lastColumn="1" w:noHBand="0" w:noVBand="0"/>
      </w:tblPr>
      <w:tblGrid>
        <w:gridCol w:w="4533"/>
        <w:gridCol w:w="4539"/>
      </w:tblGrid>
      <w:tr w:rsidR="00C5315F" w:rsidRPr="00A33E06" w14:paraId="203155BD" w14:textId="77777777" w:rsidTr="00072476">
        <w:tc>
          <w:tcPr>
            <w:tcW w:w="4643" w:type="dxa"/>
            <w:shd w:val="clear" w:color="auto" w:fill="CCCCCC"/>
          </w:tcPr>
          <w:p w14:paraId="7024520A" w14:textId="77777777" w:rsidR="00C5315F" w:rsidRPr="00A33E06" w:rsidRDefault="00C5315F" w:rsidP="00072476">
            <w:pPr>
              <w:pStyle w:val="StandardWeb"/>
              <w:spacing w:before="60" w:beforeAutospacing="0" w:after="0" w:afterAutospacing="0" w:line="360" w:lineRule="auto"/>
              <w:ind w:right="70"/>
              <w:rPr>
                <w:rFonts w:ascii="Calibri" w:hAnsi="Calibri" w:cs="Calibri"/>
                <w:b/>
                <w:sz w:val="18"/>
                <w:szCs w:val="18"/>
              </w:rPr>
            </w:pPr>
            <w:r w:rsidRPr="00A33E06">
              <w:rPr>
                <w:rFonts w:ascii="Calibri" w:hAnsi="Calibri" w:cs="Calibri"/>
                <w:b/>
                <w:sz w:val="18"/>
                <w:szCs w:val="18"/>
              </w:rPr>
              <w:t>RAZVOJNI PROBLEMI</w:t>
            </w:r>
          </w:p>
        </w:tc>
        <w:tc>
          <w:tcPr>
            <w:tcW w:w="4643" w:type="dxa"/>
            <w:shd w:val="clear" w:color="auto" w:fill="99CCFF"/>
          </w:tcPr>
          <w:p w14:paraId="3C6C421E" w14:textId="77777777" w:rsidR="00C5315F" w:rsidRPr="00A33E06" w:rsidRDefault="00C5315F" w:rsidP="00072476">
            <w:pPr>
              <w:pStyle w:val="StandardWeb"/>
              <w:spacing w:before="60" w:beforeAutospacing="0" w:after="0" w:afterAutospacing="0" w:line="360" w:lineRule="auto"/>
              <w:ind w:right="70"/>
              <w:rPr>
                <w:rFonts w:ascii="Calibri" w:hAnsi="Calibri" w:cs="Calibri"/>
                <w:b/>
                <w:sz w:val="18"/>
                <w:szCs w:val="18"/>
              </w:rPr>
            </w:pPr>
            <w:r w:rsidRPr="00A33E06">
              <w:rPr>
                <w:rFonts w:ascii="Calibri" w:hAnsi="Calibri" w:cs="Calibri"/>
                <w:b/>
                <w:sz w:val="18"/>
                <w:szCs w:val="18"/>
              </w:rPr>
              <w:t>RAZVOJNE POTREBE</w:t>
            </w:r>
          </w:p>
        </w:tc>
      </w:tr>
      <w:tr w:rsidR="00C5315F" w:rsidRPr="00A33E06" w14:paraId="68D14FDE" w14:textId="77777777" w:rsidTr="00072476">
        <w:trPr>
          <w:trHeight w:val="1639"/>
        </w:trPr>
        <w:tc>
          <w:tcPr>
            <w:tcW w:w="4643" w:type="dxa"/>
            <w:shd w:val="clear" w:color="auto" w:fill="CCCCCC"/>
          </w:tcPr>
          <w:p w14:paraId="1FB2E929"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Bespravno korištenje gradskih nekretnina</w:t>
            </w:r>
          </w:p>
          <w:p w14:paraId="2DA797E5"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Derutni poslovni prostori u središtu grada</w:t>
            </w:r>
          </w:p>
          <w:p w14:paraId="117B0968"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Nemogućnost provedbe planiranog razvoja zbog imovinsko pravnih pitanja na zemljištu</w:t>
            </w:r>
          </w:p>
          <w:p w14:paraId="38248CC2"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Visoka cijena zemljišta za prometnu i komunalnu infrastrukturu te javnu i društvenu namjenu</w:t>
            </w:r>
          </w:p>
        </w:tc>
        <w:tc>
          <w:tcPr>
            <w:tcW w:w="4643" w:type="dxa"/>
            <w:shd w:val="clear" w:color="auto" w:fill="99CCFF"/>
          </w:tcPr>
          <w:p w14:paraId="3C6962CA" w14:textId="7E83D0D1" w:rsidR="00FA2BAF" w:rsidRPr="00FA2BAF" w:rsidRDefault="00C5315F" w:rsidP="00FA2BAF">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 xml:space="preserve">Veći nadzor korištenja gradskih nekretnina </w:t>
            </w:r>
          </w:p>
          <w:p w14:paraId="374CB2E2"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70" w:hanging="284"/>
              <w:rPr>
                <w:rFonts w:ascii="Calibri" w:hAnsi="Calibri" w:cs="Calibri"/>
                <w:sz w:val="18"/>
                <w:szCs w:val="18"/>
              </w:rPr>
            </w:pPr>
            <w:r w:rsidRPr="00A33E06">
              <w:rPr>
                <w:rFonts w:ascii="Calibri" w:hAnsi="Calibri" w:cs="Calibri"/>
                <w:sz w:val="18"/>
                <w:szCs w:val="18"/>
              </w:rPr>
              <w:t>Prilagodba zakupnina stanju na tržištu</w:t>
            </w:r>
          </w:p>
          <w:p w14:paraId="14774EE9" w14:textId="77777777" w:rsidR="00C5315F" w:rsidRPr="00A33E06" w:rsidRDefault="00C5315F" w:rsidP="00165C16">
            <w:pPr>
              <w:numPr>
                <w:ilvl w:val="0"/>
                <w:numId w:val="1"/>
              </w:numPr>
              <w:tabs>
                <w:tab w:val="clear" w:pos="720"/>
                <w:tab w:val="num" w:pos="319"/>
              </w:tabs>
              <w:spacing w:after="0" w:line="240" w:lineRule="auto"/>
              <w:ind w:left="319" w:right="70" w:hanging="319"/>
              <w:rPr>
                <w:rFonts w:eastAsia="Arial Unicode MS" w:cs="Calibri"/>
                <w:color w:val="000000"/>
                <w:sz w:val="18"/>
                <w:szCs w:val="18"/>
              </w:rPr>
            </w:pPr>
            <w:r w:rsidRPr="00A33E06">
              <w:rPr>
                <w:rFonts w:cs="Calibri"/>
                <w:sz w:val="18"/>
                <w:szCs w:val="18"/>
              </w:rPr>
              <w:t>Osnovati</w:t>
            </w:r>
            <w:r>
              <w:rPr>
                <w:rFonts w:cs="Calibri"/>
                <w:sz w:val="18"/>
                <w:szCs w:val="18"/>
              </w:rPr>
              <w:t xml:space="preserve"> </w:t>
            </w:r>
            <w:r w:rsidRPr="00A33E06">
              <w:rPr>
                <w:rFonts w:cs="Calibri"/>
                <w:sz w:val="18"/>
                <w:szCs w:val="18"/>
              </w:rPr>
              <w:t>fond za financiranje uređivanja zemljišta za javne potrebe</w:t>
            </w:r>
          </w:p>
          <w:p w14:paraId="54E39375" w14:textId="77777777" w:rsidR="00FA2BAF" w:rsidRPr="00346D21" w:rsidRDefault="00C5315F" w:rsidP="00CC50B6">
            <w:pPr>
              <w:numPr>
                <w:ilvl w:val="0"/>
                <w:numId w:val="48"/>
              </w:numPr>
              <w:spacing w:after="0" w:line="240" w:lineRule="auto"/>
              <w:ind w:left="319" w:right="70" w:hanging="319"/>
              <w:rPr>
                <w:rFonts w:ascii="Calibri" w:eastAsia="Calibri" w:hAnsi="Calibri" w:cs="Calibri"/>
                <w:lang w:eastAsia="hr-HR"/>
              </w:rPr>
            </w:pPr>
            <w:r w:rsidRPr="00A33E06">
              <w:rPr>
                <w:rFonts w:cs="Calibri"/>
                <w:sz w:val="18"/>
                <w:szCs w:val="18"/>
              </w:rPr>
              <w:t>Razvoj sustava procjene nekretnina u tehničkom, organizacijskom i kadrovskom pogledu</w:t>
            </w:r>
          </w:p>
          <w:p w14:paraId="26AF7C4D" w14:textId="5EE961B8" w:rsidR="00CC50B6" w:rsidRPr="00CC50B6" w:rsidRDefault="00C5315F" w:rsidP="00CC50B6">
            <w:pPr>
              <w:numPr>
                <w:ilvl w:val="0"/>
                <w:numId w:val="48"/>
              </w:numPr>
              <w:spacing w:after="0" w:line="240" w:lineRule="auto"/>
              <w:ind w:left="319" w:right="70" w:hanging="319"/>
              <w:rPr>
                <w:rFonts w:ascii="Calibri" w:eastAsia="Calibri" w:hAnsi="Calibri" w:cs="Calibri"/>
                <w:lang w:eastAsia="hr-HR"/>
              </w:rPr>
            </w:pPr>
            <w:r w:rsidRPr="00A33E06">
              <w:rPr>
                <w:rFonts w:cs="Calibri"/>
                <w:sz w:val="18"/>
                <w:szCs w:val="18"/>
              </w:rPr>
              <w:t xml:space="preserve"> </w:t>
            </w:r>
            <w:r w:rsidR="00FA2BAF" w:rsidRPr="00CC2018">
              <w:rPr>
                <w:rFonts w:cs="Calibri"/>
                <w:sz w:val="18"/>
                <w:szCs w:val="18"/>
              </w:rPr>
              <w:t>poveća</w:t>
            </w:r>
            <w:r w:rsidR="00D66A6E">
              <w:rPr>
                <w:rFonts w:cs="Calibri"/>
                <w:sz w:val="18"/>
                <w:szCs w:val="18"/>
              </w:rPr>
              <w:t>nje</w:t>
            </w:r>
            <w:r w:rsidR="00FA2BAF" w:rsidRPr="00CC2018">
              <w:rPr>
                <w:rFonts w:cs="Calibri"/>
                <w:sz w:val="18"/>
                <w:szCs w:val="18"/>
              </w:rPr>
              <w:t>broj</w:t>
            </w:r>
            <w:r w:rsidR="00D66A6E">
              <w:rPr>
                <w:rFonts w:cs="Calibri"/>
                <w:sz w:val="18"/>
                <w:szCs w:val="18"/>
              </w:rPr>
              <w:t>a</w:t>
            </w:r>
            <w:r w:rsidR="00FA2BAF" w:rsidRPr="00CC2018">
              <w:rPr>
                <w:rFonts w:cs="Calibri"/>
                <w:sz w:val="18"/>
                <w:szCs w:val="18"/>
              </w:rPr>
              <w:t xml:space="preserve"> javno najamnih stanova radi povećanja dostupnosti stanovanja građanima </w:t>
            </w:r>
            <w:sdt>
              <w:sdtPr>
                <w:rPr>
                  <w:rFonts w:ascii="Calibri" w:eastAsia="Calibri" w:hAnsi="Calibri" w:cs="Calibri"/>
                  <w:lang w:eastAsia="hr-HR"/>
                </w:rPr>
                <w:tag w:val="goog_rdk_4"/>
                <w:id w:val="-1998652766"/>
                <w:showingPlcHdr/>
              </w:sdtPr>
              <w:sdtEndPr/>
              <w:sdtContent>
                <w:r w:rsidR="00CC50B6" w:rsidRPr="00CC2018">
                  <w:rPr>
                    <w:rFonts w:ascii="Calibri" w:eastAsia="Calibri" w:hAnsi="Calibri" w:cs="Calibri"/>
                    <w:lang w:eastAsia="hr-HR"/>
                  </w:rPr>
                  <w:t xml:space="preserve">     </w:t>
                </w:r>
              </w:sdtContent>
            </w:sdt>
          </w:p>
          <w:p w14:paraId="401B0D12" w14:textId="69FDC821" w:rsidR="00C5315F" w:rsidRPr="00A33E06" w:rsidRDefault="00751C19" w:rsidP="00165C16">
            <w:pPr>
              <w:numPr>
                <w:ilvl w:val="0"/>
                <w:numId w:val="1"/>
              </w:numPr>
              <w:tabs>
                <w:tab w:val="clear" w:pos="720"/>
                <w:tab w:val="num" w:pos="319"/>
              </w:tabs>
              <w:spacing w:after="0" w:line="240" w:lineRule="auto"/>
              <w:ind w:left="319" w:right="70" w:hanging="319"/>
              <w:rPr>
                <w:rFonts w:eastAsia="Arial Unicode MS" w:cs="Calibri"/>
                <w:color w:val="000000"/>
                <w:sz w:val="18"/>
                <w:szCs w:val="18"/>
              </w:rPr>
            </w:pPr>
            <w:sdt>
              <w:sdtPr>
                <w:rPr>
                  <w:rFonts w:ascii="Calibri" w:eastAsia="Calibri" w:hAnsi="Calibri" w:cs="Calibri"/>
                  <w:lang w:eastAsia="hr-HR"/>
                </w:rPr>
                <w:tag w:val="goog_rdk_4"/>
                <w:id w:val="-1853333919"/>
              </w:sdtPr>
              <w:sdtEndPr/>
              <w:sdtContent>
                <w:sdt>
                  <w:sdtPr>
                    <w:rPr>
                      <w:rFonts w:ascii="Calibri" w:eastAsia="Calibri" w:hAnsi="Calibri" w:cs="Calibri"/>
                      <w:lang w:eastAsia="hr-HR"/>
                    </w:rPr>
                    <w:tag w:val="goog_rdk_3"/>
                    <w:id w:val="86039292"/>
                  </w:sdtPr>
                  <w:sdtEndPr/>
                  <w:sdtContent/>
                </w:sdt>
              </w:sdtContent>
            </w:sdt>
          </w:p>
        </w:tc>
      </w:tr>
    </w:tbl>
    <w:p w14:paraId="60A210A4" w14:textId="77777777" w:rsidR="00C259BD" w:rsidRDefault="00C259BD" w:rsidP="00C5315F">
      <w:pPr>
        <w:tabs>
          <w:tab w:val="left" w:pos="-720"/>
        </w:tabs>
        <w:suppressAutoHyphens/>
        <w:ind w:right="70"/>
        <w:jc w:val="both"/>
        <w:rPr>
          <w:rFonts w:cs="Calibri"/>
          <w:b/>
          <w:bCs/>
        </w:rPr>
      </w:pPr>
    </w:p>
    <w:p w14:paraId="40F1D9CE" w14:textId="65159953" w:rsidR="00C5315F" w:rsidRPr="00A33E06" w:rsidRDefault="00C5315F" w:rsidP="00C45A8C">
      <w:pPr>
        <w:pStyle w:val="Stil2"/>
      </w:pPr>
      <w:bookmarkStart w:id="105" w:name="_Toc97123825"/>
      <w:r>
        <w:t>4.1</w:t>
      </w:r>
      <w:r w:rsidRPr="00A33E06">
        <w:t>.</w:t>
      </w:r>
      <w:r>
        <w:t>4</w:t>
      </w:r>
      <w:r w:rsidRPr="00A33E06">
        <w:t>. Stanovanje</w:t>
      </w:r>
      <w:bookmarkEnd w:id="105"/>
    </w:p>
    <w:p w14:paraId="193D8BBB" w14:textId="1E26C5DD" w:rsidR="00C5315F" w:rsidRPr="00A33E06" w:rsidRDefault="00C5315F" w:rsidP="00C259BD">
      <w:pPr>
        <w:pStyle w:val="Default"/>
        <w:ind w:right="70"/>
        <w:jc w:val="both"/>
        <w:rPr>
          <w:rFonts w:ascii="Calibri" w:hAnsi="Calibri" w:cs="Calibri"/>
          <w:sz w:val="20"/>
          <w:szCs w:val="20"/>
        </w:rPr>
      </w:pPr>
      <w:r w:rsidRPr="00576956">
        <w:rPr>
          <w:rFonts w:ascii="Calibri" w:hAnsi="Calibri" w:cs="Calibri"/>
          <w:b/>
          <w:bCs/>
          <w:sz w:val="22"/>
          <w:szCs w:val="22"/>
        </w:rPr>
        <w:t>Stanovi.</w:t>
      </w:r>
      <w:r w:rsidRPr="00576956">
        <w:rPr>
          <w:rFonts w:ascii="Calibri" w:hAnsi="Calibri" w:cs="Calibri"/>
          <w:bCs/>
          <w:sz w:val="22"/>
          <w:szCs w:val="22"/>
        </w:rPr>
        <w:t xml:space="preserve"> U razdoblju od 2001. do 2011. broj stanova za stalno stanovanje povećan je za 69.375 i iznosi 373.538, a ukupan broj stambenih jedinica iznosi 384.333.</w:t>
      </w:r>
      <w:r>
        <w:rPr>
          <w:rFonts w:cs="Calibri"/>
          <w:bCs/>
        </w:rPr>
        <w:t xml:space="preserve"> </w:t>
      </w:r>
      <w:r>
        <w:rPr>
          <w:rFonts w:ascii="Calibri" w:hAnsi="Calibri" w:cs="Calibri"/>
          <w:bCs/>
          <w:sz w:val="22"/>
          <w:szCs w:val="22"/>
        </w:rPr>
        <w:t>U</w:t>
      </w:r>
      <w:r w:rsidRPr="00FC7617">
        <w:rPr>
          <w:rFonts w:ascii="Calibri" w:hAnsi="Calibri" w:cs="Calibri"/>
          <w:bCs/>
          <w:sz w:val="22"/>
          <w:szCs w:val="22"/>
        </w:rPr>
        <w:t xml:space="preserve"> Gradu Zagrebu</w:t>
      </w:r>
      <w:r>
        <w:rPr>
          <w:rFonts w:ascii="Calibri" w:hAnsi="Calibri" w:cs="Calibri"/>
          <w:bCs/>
          <w:sz w:val="22"/>
          <w:szCs w:val="22"/>
        </w:rPr>
        <w:t>,</w:t>
      </w:r>
      <w:r>
        <w:rPr>
          <w:rFonts w:cs="Calibri"/>
          <w:bCs/>
        </w:rPr>
        <w:t xml:space="preserve"> </w:t>
      </w:r>
      <w:r w:rsidRPr="00FC7617">
        <w:rPr>
          <w:rFonts w:ascii="Calibri" w:hAnsi="Calibri" w:cs="Calibri"/>
          <w:bCs/>
          <w:sz w:val="22"/>
          <w:szCs w:val="22"/>
        </w:rPr>
        <w:t>prema podaci</w:t>
      </w:r>
      <w:r>
        <w:rPr>
          <w:rFonts w:ascii="Calibri" w:hAnsi="Calibri" w:cs="Calibri"/>
          <w:bCs/>
          <w:sz w:val="22"/>
          <w:szCs w:val="22"/>
        </w:rPr>
        <w:t>ma</w:t>
      </w:r>
      <w:r w:rsidRPr="00FC7617">
        <w:rPr>
          <w:rFonts w:ascii="Calibri" w:hAnsi="Calibri" w:cs="Calibri"/>
          <w:bCs/>
          <w:sz w:val="22"/>
          <w:szCs w:val="22"/>
        </w:rPr>
        <w:t xml:space="preserve"> Popisa </w:t>
      </w:r>
      <w:r>
        <w:rPr>
          <w:rFonts w:ascii="Calibri" w:hAnsi="Calibri" w:cs="Calibri"/>
          <w:bCs/>
          <w:sz w:val="22"/>
          <w:szCs w:val="22"/>
        </w:rPr>
        <w:t xml:space="preserve">stanovništva, kućanstava i stanova </w:t>
      </w:r>
      <w:r w:rsidRPr="00FC7617">
        <w:rPr>
          <w:rFonts w:ascii="Calibri" w:hAnsi="Calibri" w:cs="Calibri"/>
          <w:bCs/>
          <w:sz w:val="22"/>
          <w:szCs w:val="22"/>
        </w:rPr>
        <w:t>iz 2011.</w:t>
      </w:r>
      <w:r>
        <w:rPr>
          <w:rFonts w:ascii="Calibri" w:hAnsi="Calibri" w:cs="Calibri"/>
          <w:bCs/>
          <w:sz w:val="22"/>
          <w:szCs w:val="22"/>
        </w:rPr>
        <w:t>,</w:t>
      </w:r>
      <w:r w:rsidRPr="00FC7617">
        <w:rPr>
          <w:rFonts w:ascii="Calibri" w:hAnsi="Calibri" w:cs="Calibri"/>
          <w:bCs/>
          <w:sz w:val="22"/>
          <w:szCs w:val="22"/>
        </w:rPr>
        <w:t xml:space="preserve"> nalazi se 19,5% stanova za stalno stanovanje u RH. </w:t>
      </w:r>
      <w:r>
        <w:rPr>
          <w:rFonts w:ascii="Calibri" w:hAnsi="Calibri" w:cs="Calibri"/>
          <w:bCs/>
          <w:sz w:val="22"/>
          <w:szCs w:val="22"/>
        </w:rPr>
        <w:t>B</w:t>
      </w:r>
      <w:r w:rsidRPr="00A33E06">
        <w:rPr>
          <w:rFonts w:ascii="Calibri" w:hAnsi="Calibri" w:cs="Calibri"/>
          <w:bCs/>
          <w:sz w:val="22"/>
          <w:szCs w:val="22"/>
        </w:rPr>
        <w:t xml:space="preserve">roj privremeno nenastanjenih stanova </w:t>
      </w:r>
      <w:r>
        <w:rPr>
          <w:rFonts w:ascii="Calibri" w:hAnsi="Calibri" w:cs="Calibri"/>
          <w:bCs/>
          <w:sz w:val="22"/>
          <w:szCs w:val="22"/>
        </w:rPr>
        <w:t>p</w:t>
      </w:r>
      <w:r w:rsidRPr="00A33E06">
        <w:rPr>
          <w:rFonts w:ascii="Calibri" w:hAnsi="Calibri" w:cs="Calibri"/>
          <w:bCs/>
          <w:sz w:val="22"/>
          <w:szCs w:val="22"/>
        </w:rPr>
        <w:t>ovećan je s 31.284 (2001.) na 69.870 (2011.), iz čega možemo zaključiti da su u</w:t>
      </w:r>
      <w:r w:rsidRPr="00A33E06">
        <w:rPr>
          <w:rFonts w:ascii="Calibri" w:hAnsi="Calibri" w:cs="Calibri"/>
          <w:sz w:val="23"/>
          <w:szCs w:val="23"/>
        </w:rPr>
        <w:t xml:space="preserve">laganja u kupnju stanova u proteklom desetljeću često bila motivirana očuvanjem ili povećanjem bogatstva te se povećanje stambenog fonda ne može tumačiti kao rast životnog standarda i kvalitete života svih građana. </w:t>
      </w:r>
      <w:r>
        <w:rPr>
          <w:rFonts w:ascii="Calibri" w:hAnsi="Calibri" w:cs="Calibri"/>
          <w:sz w:val="23"/>
          <w:szCs w:val="23"/>
        </w:rPr>
        <w:t xml:space="preserve">U proteklih nekoliko godina zamjetan je trend povećanja broja stanova za kratkoročni najam. </w:t>
      </w:r>
    </w:p>
    <w:p w14:paraId="69263AE1" w14:textId="77777777" w:rsidR="00C5315F" w:rsidRDefault="00C5315F" w:rsidP="00C259BD">
      <w:pPr>
        <w:tabs>
          <w:tab w:val="left" w:pos="-720"/>
        </w:tabs>
        <w:suppressAutoHyphens/>
        <w:spacing w:line="240" w:lineRule="auto"/>
        <w:ind w:right="70"/>
        <w:jc w:val="both"/>
        <w:rPr>
          <w:rFonts w:cs="Calibri"/>
          <w:bCs/>
        </w:rPr>
      </w:pPr>
      <w:r w:rsidRPr="00A33E06">
        <w:rPr>
          <w:rFonts w:cs="Calibri"/>
          <w:bCs/>
        </w:rPr>
        <w:t xml:space="preserve">Nakon izrazito naglog rasta broja novoizgrađenih stanova do 2007., slijedio je nagli pad te je </w:t>
      </w:r>
      <w:r>
        <w:rPr>
          <w:rFonts w:cs="Calibri"/>
          <w:bCs/>
        </w:rPr>
        <w:t xml:space="preserve">tek 2015. ponovo zabilježen rast broja novoizgrađenih stanova. </w:t>
      </w:r>
    </w:p>
    <w:p w14:paraId="7AADC18C" w14:textId="7203BEE1" w:rsidR="00C5315F" w:rsidRPr="00586452" w:rsidRDefault="00682389" w:rsidP="00E2286C">
      <w:pPr>
        <w:pStyle w:val="Opisslike"/>
        <w:rPr>
          <w:rFonts w:cs="Calibri"/>
          <w:bCs/>
        </w:rPr>
      </w:pPr>
      <w:r>
        <w:t xml:space="preserve">Tablica </w:t>
      </w:r>
      <w:r w:rsidR="00751C19">
        <w:fldChar w:fldCharType="begin"/>
      </w:r>
      <w:r w:rsidR="00751C19">
        <w:instrText xml:space="preserve"> SEQ Tablica \* ARABIC </w:instrText>
      </w:r>
      <w:r w:rsidR="00751C19">
        <w:fldChar w:fldCharType="separate"/>
      </w:r>
      <w:r w:rsidR="00803E25">
        <w:rPr>
          <w:noProof/>
        </w:rPr>
        <w:t>20</w:t>
      </w:r>
      <w:r w:rsidR="00751C19">
        <w:rPr>
          <w:noProof/>
        </w:rPr>
        <w:fldChar w:fldCharType="end"/>
      </w:r>
      <w:r>
        <w:t>. B</w:t>
      </w:r>
      <w:r w:rsidRPr="00606E3A">
        <w:t>roj završenih stanova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746"/>
        <w:gridCol w:w="746"/>
        <w:gridCol w:w="746"/>
        <w:gridCol w:w="746"/>
        <w:gridCol w:w="746"/>
        <w:gridCol w:w="742"/>
        <w:gridCol w:w="742"/>
        <w:gridCol w:w="742"/>
        <w:gridCol w:w="742"/>
      </w:tblGrid>
      <w:tr w:rsidR="00C5315F" w:rsidRPr="00F43851" w14:paraId="3B140461" w14:textId="77777777" w:rsidTr="00072476">
        <w:tc>
          <w:tcPr>
            <w:tcW w:w="965" w:type="dxa"/>
          </w:tcPr>
          <w:p w14:paraId="76E702B4"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godina</w:t>
            </w:r>
          </w:p>
        </w:tc>
        <w:tc>
          <w:tcPr>
            <w:tcW w:w="746" w:type="dxa"/>
          </w:tcPr>
          <w:p w14:paraId="175FB47F"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2011.</w:t>
            </w:r>
          </w:p>
        </w:tc>
        <w:tc>
          <w:tcPr>
            <w:tcW w:w="746" w:type="dxa"/>
          </w:tcPr>
          <w:p w14:paraId="4D9C1E6A"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2012.</w:t>
            </w:r>
          </w:p>
        </w:tc>
        <w:tc>
          <w:tcPr>
            <w:tcW w:w="746" w:type="dxa"/>
          </w:tcPr>
          <w:p w14:paraId="79479DC6"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2013.</w:t>
            </w:r>
          </w:p>
        </w:tc>
        <w:tc>
          <w:tcPr>
            <w:tcW w:w="746" w:type="dxa"/>
          </w:tcPr>
          <w:p w14:paraId="4B7CA9E4"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2014.</w:t>
            </w:r>
          </w:p>
        </w:tc>
        <w:tc>
          <w:tcPr>
            <w:tcW w:w="746" w:type="dxa"/>
          </w:tcPr>
          <w:p w14:paraId="088E7E80"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2015.</w:t>
            </w:r>
          </w:p>
        </w:tc>
        <w:tc>
          <w:tcPr>
            <w:tcW w:w="742" w:type="dxa"/>
          </w:tcPr>
          <w:p w14:paraId="5D97B2D7"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2016.</w:t>
            </w:r>
          </w:p>
        </w:tc>
        <w:tc>
          <w:tcPr>
            <w:tcW w:w="742" w:type="dxa"/>
          </w:tcPr>
          <w:p w14:paraId="1FB4C0BE"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 xml:space="preserve">2017. </w:t>
            </w:r>
          </w:p>
        </w:tc>
        <w:tc>
          <w:tcPr>
            <w:tcW w:w="742" w:type="dxa"/>
          </w:tcPr>
          <w:p w14:paraId="7452FC4E"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2018.</w:t>
            </w:r>
          </w:p>
        </w:tc>
        <w:tc>
          <w:tcPr>
            <w:tcW w:w="742" w:type="dxa"/>
          </w:tcPr>
          <w:p w14:paraId="2EA640E3" w14:textId="77777777" w:rsidR="00C5315F"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2019.</w:t>
            </w:r>
          </w:p>
        </w:tc>
      </w:tr>
      <w:tr w:rsidR="00C5315F" w:rsidRPr="00F43851" w14:paraId="6883B6D9" w14:textId="77777777" w:rsidTr="00072476">
        <w:tc>
          <w:tcPr>
            <w:tcW w:w="965" w:type="dxa"/>
          </w:tcPr>
          <w:p w14:paraId="09F8D4C2"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Završeni stanovi</w:t>
            </w:r>
          </w:p>
        </w:tc>
        <w:tc>
          <w:tcPr>
            <w:tcW w:w="746" w:type="dxa"/>
          </w:tcPr>
          <w:p w14:paraId="2A06CFF3"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2388</w:t>
            </w:r>
          </w:p>
        </w:tc>
        <w:tc>
          <w:tcPr>
            <w:tcW w:w="746" w:type="dxa"/>
          </w:tcPr>
          <w:p w14:paraId="62645CF7"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2729</w:t>
            </w:r>
          </w:p>
        </w:tc>
        <w:tc>
          <w:tcPr>
            <w:tcW w:w="746" w:type="dxa"/>
          </w:tcPr>
          <w:p w14:paraId="3F4F58B5"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1227</w:t>
            </w:r>
          </w:p>
        </w:tc>
        <w:tc>
          <w:tcPr>
            <w:tcW w:w="746" w:type="dxa"/>
          </w:tcPr>
          <w:p w14:paraId="620ADD96"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638</w:t>
            </w:r>
          </w:p>
        </w:tc>
        <w:tc>
          <w:tcPr>
            <w:tcW w:w="746" w:type="dxa"/>
          </w:tcPr>
          <w:p w14:paraId="55E3A86B"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sidRPr="00586452">
              <w:rPr>
                <w:rFonts w:eastAsia="Times New Roman" w:cs="Calibri"/>
                <w:bCs/>
                <w:sz w:val="20"/>
                <w:szCs w:val="20"/>
              </w:rPr>
              <w:t>1798</w:t>
            </w:r>
          </w:p>
        </w:tc>
        <w:tc>
          <w:tcPr>
            <w:tcW w:w="742" w:type="dxa"/>
          </w:tcPr>
          <w:p w14:paraId="19C1046A"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1056</w:t>
            </w:r>
          </w:p>
        </w:tc>
        <w:tc>
          <w:tcPr>
            <w:tcW w:w="742" w:type="dxa"/>
          </w:tcPr>
          <w:p w14:paraId="1CD30D6F"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1672</w:t>
            </w:r>
          </w:p>
        </w:tc>
        <w:tc>
          <w:tcPr>
            <w:tcW w:w="742" w:type="dxa"/>
          </w:tcPr>
          <w:p w14:paraId="67B71445" w14:textId="77777777" w:rsidR="00C5315F" w:rsidRPr="00586452"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2746</w:t>
            </w:r>
          </w:p>
        </w:tc>
        <w:tc>
          <w:tcPr>
            <w:tcW w:w="742" w:type="dxa"/>
          </w:tcPr>
          <w:p w14:paraId="759176B3" w14:textId="77777777" w:rsidR="00C5315F" w:rsidRDefault="00C5315F" w:rsidP="00072476">
            <w:pPr>
              <w:tabs>
                <w:tab w:val="left" w:pos="-720"/>
              </w:tabs>
              <w:suppressAutoHyphens/>
              <w:spacing w:line="240" w:lineRule="auto"/>
              <w:ind w:right="70"/>
              <w:jc w:val="both"/>
              <w:rPr>
                <w:rFonts w:eastAsia="Times New Roman" w:cs="Calibri"/>
                <w:bCs/>
                <w:sz w:val="20"/>
                <w:szCs w:val="20"/>
              </w:rPr>
            </w:pPr>
            <w:r>
              <w:rPr>
                <w:rFonts w:eastAsia="Times New Roman" w:cs="Calibri"/>
                <w:bCs/>
                <w:sz w:val="20"/>
                <w:szCs w:val="20"/>
              </w:rPr>
              <w:t>2665</w:t>
            </w:r>
          </w:p>
        </w:tc>
      </w:tr>
    </w:tbl>
    <w:p w14:paraId="200A8C8F" w14:textId="77777777" w:rsidR="00C5315F" w:rsidRPr="00236226" w:rsidRDefault="00C5315F" w:rsidP="00C5315F">
      <w:pPr>
        <w:tabs>
          <w:tab w:val="left" w:pos="-720"/>
        </w:tabs>
        <w:suppressAutoHyphens/>
        <w:spacing w:line="240" w:lineRule="auto"/>
        <w:ind w:right="70"/>
        <w:jc w:val="both"/>
        <w:rPr>
          <w:rFonts w:cs="Calibri"/>
          <w:bCs/>
          <w:sz w:val="20"/>
          <w:szCs w:val="20"/>
        </w:rPr>
      </w:pPr>
      <w:r w:rsidRPr="00236226">
        <w:rPr>
          <w:rFonts w:cs="Calibri"/>
          <w:bCs/>
          <w:sz w:val="20"/>
          <w:szCs w:val="20"/>
        </w:rPr>
        <w:t xml:space="preserve">Izvor: </w:t>
      </w:r>
      <w:hyperlink r:id="rId33" w:tgtFrame="_blank" w:history="1">
        <w:r w:rsidRPr="0025012A">
          <w:rPr>
            <w:rStyle w:val="Hiperveza"/>
            <w:rFonts w:cs="Calibri"/>
            <w:sz w:val="20"/>
            <w:szCs w:val="20"/>
            <w:shd w:val="clear" w:color="auto" w:fill="FFFFFF"/>
          </w:rPr>
          <w:t xml:space="preserve">Završene zgrade i stanovi </w:t>
        </w:r>
      </w:hyperlink>
      <w:r>
        <w:rPr>
          <w:rFonts w:cs="Calibri"/>
          <w:sz w:val="20"/>
          <w:szCs w:val="20"/>
          <w:shd w:val="clear" w:color="auto" w:fill="FFFFFF"/>
        </w:rPr>
        <w:t>, Statistički ljetopis Grada Zagreba 2020.</w:t>
      </w:r>
    </w:p>
    <w:p w14:paraId="4FBF08BD" w14:textId="77777777" w:rsidR="00C5315F" w:rsidRPr="00A33E06" w:rsidRDefault="00C5315F" w:rsidP="00C5315F">
      <w:pPr>
        <w:tabs>
          <w:tab w:val="left" w:pos="-720"/>
        </w:tabs>
        <w:suppressAutoHyphens/>
        <w:spacing w:line="240" w:lineRule="auto"/>
        <w:ind w:right="70"/>
        <w:jc w:val="both"/>
        <w:rPr>
          <w:rFonts w:cs="Calibri"/>
          <w:bCs/>
        </w:rPr>
      </w:pPr>
      <w:r w:rsidRPr="00A33E06">
        <w:rPr>
          <w:rFonts w:cs="Calibri"/>
          <w:b/>
          <w:bCs/>
        </w:rPr>
        <w:t>Kućanstva.</w:t>
      </w:r>
      <w:r w:rsidRPr="00A33E06">
        <w:rPr>
          <w:rFonts w:cs="Calibri"/>
          <w:bCs/>
        </w:rPr>
        <w:t xml:space="preserve"> Ukupan broj kućanstava u Gradu Zagrebu je 304.681 (2011.). Po načelu jedan stan za stalno stanovanje na jedno kućanstvo, moglo bi se zaključiti da u Gradu Zagrebu nema stambene krize, dapače, da postoji višak stanova (68.857). Na svako kućanstvo dolazi 1,2 stana, što je povećanje u odnosu na 2001. kad je omjer bio 1,1. Obiteljskih kućanstava je 69%, a udio samačkih kućanstava je u porastu i iznosi 28,6% (23,2% 2001.). Od obiteljskih kućanstava najviše je dvočlanih (35,4%) i tročlanih (27,6%). Prosječan broj članova kućanstava je 2,57, što je smanjenje u odnosu na Popis 2001. kada je bio 2,8. Veći broj staračkih, samačkih kućanstava je u središnjim gradskim dijelovima.</w:t>
      </w:r>
    </w:p>
    <w:p w14:paraId="6EBF1CBD" w14:textId="77777777" w:rsidR="00C5315F" w:rsidRPr="00A33E06" w:rsidRDefault="00C5315F" w:rsidP="00C5315F">
      <w:pPr>
        <w:autoSpaceDE w:val="0"/>
        <w:autoSpaceDN w:val="0"/>
        <w:adjustRightInd w:val="0"/>
        <w:spacing w:after="0" w:line="240" w:lineRule="auto"/>
        <w:jc w:val="both"/>
        <w:rPr>
          <w:rFonts w:cs="Calibri"/>
          <w:bCs/>
        </w:rPr>
      </w:pPr>
      <w:r w:rsidRPr="00A33E06">
        <w:rPr>
          <w:rFonts w:cs="Calibri"/>
          <w:b/>
        </w:rPr>
        <w:t xml:space="preserve">Veličina stanova. </w:t>
      </w:r>
      <w:r w:rsidRPr="00A33E06">
        <w:rPr>
          <w:rFonts w:cs="Calibri"/>
          <w:bCs/>
        </w:rPr>
        <w:t>Grad Zagreb ulazi u krug županija u kojima se u prosjeku grade najmanji stanovi. Korisna površina novoizgrađenih stanova</w:t>
      </w:r>
      <w:r>
        <w:rPr>
          <w:rFonts w:cs="Calibri"/>
          <w:bCs/>
        </w:rPr>
        <w:t xml:space="preserve"> bila je</w:t>
      </w:r>
      <w:r w:rsidRPr="00A33E06">
        <w:rPr>
          <w:rFonts w:cs="Calibri"/>
          <w:bCs/>
        </w:rPr>
        <w:t xml:space="preserve"> 75,1 m</w:t>
      </w:r>
      <w:r w:rsidRPr="00A33E06">
        <w:rPr>
          <w:rFonts w:cs="Calibri"/>
          <w:bCs/>
          <w:vertAlign w:val="superscript"/>
        </w:rPr>
        <w:t>2</w:t>
      </w:r>
      <w:r w:rsidRPr="00A33E06">
        <w:rPr>
          <w:rFonts w:cs="Calibri"/>
          <w:bCs/>
        </w:rPr>
        <w:t xml:space="preserve"> </w:t>
      </w:r>
      <w:r>
        <w:rPr>
          <w:rFonts w:cs="Calibri"/>
          <w:bCs/>
        </w:rPr>
        <w:t xml:space="preserve">u </w:t>
      </w:r>
      <w:r w:rsidRPr="00A33E06">
        <w:rPr>
          <w:rFonts w:cs="Calibri"/>
          <w:bCs/>
        </w:rPr>
        <w:t>2008</w:t>
      </w:r>
      <w:r>
        <w:rPr>
          <w:rFonts w:cs="Calibri"/>
          <w:bCs/>
        </w:rPr>
        <w:t>,</w:t>
      </w:r>
      <w:r w:rsidRPr="00A33E06">
        <w:rPr>
          <w:rFonts w:cs="Calibri"/>
          <w:bCs/>
        </w:rPr>
        <w:t xml:space="preserve"> 65,1 m</w:t>
      </w:r>
      <w:r w:rsidRPr="00A33E06">
        <w:rPr>
          <w:rFonts w:cs="Calibri"/>
          <w:bCs/>
          <w:vertAlign w:val="superscript"/>
        </w:rPr>
        <w:t>2</w:t>
      </w:r>
      <w:r w:rsidRPr="00A33E06">
        <w:rPr>
          <w:rFonts w:cs="Calibri"/>
          <w:bCs/>
        </w:rPr>
        <w:t xml:space="preserve"> u 2012. </w:t>
      </w:r>
      <w:r>
        <w:rPr>
          <w:rFonts w:cs="Calibri"/>
          <w:bCs/>
        </w:rPr>
        <w:t>, 78,3 m</w:t>
      </w:r>
      <w:r w:rsidRPr="00576956">
        <w:rPr>
          <w:rFonts w:cs="Calibri"/>
          <w:bCs/>
          <w:vertAlign w:val="superscript"/>
        </w:rPr>
        <w:t>2</w:t>
      </w:r>
      <w:r w:rsidRPr="00A33E06">
        <w:rPr>
          <w:rFonts w:cs="Calibri"/>
          <w:bCs/>
        </w:rPr>
        <w:t xml:space="preserve"> </w:t>
      </w:r>
      <w:r>
        <w:rPr>
          <w:rFonts w:cs="Calibri"/>
          <w:bCs/>
        </w:rPr>
        <w:t>u 2015. te 73,6 m</w:t>
      </w:r>
      <w:r w:rsidRPr="00576956">
        <w:rPr>
          <w:rFonts w:cs="Calibri"/>
          <w:bCs/>
          <w:vertAlign w:val="superscript"/>
        </w:rPr>
        <w:t>2</w:t>
      </w:r>
      <w:r w:rsidRPr="00A33E06">
        <w:rPr>
          <w:rFonts w:cs="Calibri"/>
          <w:bCs/>
        </w:rPr>
        <w:t xml:space="preserve"> </w:t>
      </w:r>
      <w:r>
        <w:rPr>
          <w:rFonts w:cs="Calibri"/>
          <w:bCs/>
        </w:rPr>
        <w:t xml:space="preserve"> u 2017. godini. </w:t>
      </w:r>
      <w:r w:rsidRPr="00513944">
        <w:rPr>
          <w:rFonts w:cs="Calibri"/>
          <w:bCs/>
        </w:rPr>
        <w:t>te 74,</w:t>
      </w:r>
      <w:r>
        <w:rPr>
          <w:rFonts w:cs="Calibri"/>
          <w:bCs/>
        </w:rPr>
        <w:t>8</w:t>
      </w:r>
      <w:r w:rsidRPr="00513944">
        <w:rPr>
          <w:rFonts w:cs="Calibri"/>
          <w:bCs/>
        </w:rPr>
        <w:t xml:space="preserve"> m2 u 201</w:t>
      </w:r>
      <w:r>
        <w:rPr>
          <w:rFonts w:cs="Calibri"/>
          <w:bCs/>
        </w:rPr>
        <w:t>9</w:t>
      </w:r>
      <w:r w:rsidRPr="00513944">
        <w:rPr>
          <w:rFonts w:cs="Calibri"/>
          <w:bCs/>
        </w:rPr>
        <w:t>.</w:t>
      </w:r>
      <w:r w:rsidRPr="00A33E06">
        <w:rPr>
          <w:rFonts w:cs="Calibri"/>
          <w:bCs/>
        </w:rPr>
        <w:t xml:space="preserve"> (Prosječna površina stana po članu kućanstva po gradskim četvrtima kreće se od 37,5 m</w:t>
      </w:r>
      <w:r w:rsidRPr="00A33E06">
        <w:rPr>
          <w:rFonts w:cs="Calibri"/>
          <w:bCs/>
          <w:vertAlign w:val="superscript"/>
        </w:rPr>
        <w:t>2</w:t>
      </w:r>
      <w:r w:rsidRPr="00A33E06">
        <w:rPr>
          <w:rFonts w:cs="Calibri"/>
          <w:bCs/>
        </w:rPr>
        <w:t xml:space="preserve"> u Gornjem gradu-Medveščaku do svega 23,9 m</w:t>
      </w:r>
      <w:r w:rsidRPr="00A33E06">
        <w:rPr>
          <w:rFonts w:cs="Calibri"/>
          <w:bCs/>
          <w:vertAlign w:val="superscript"/>
        </w:rPr>
        <w:t>2</w:t>
      </w:r>
      <w:r w:rsidRPr="00A33E06">
        <w:rPr>
          <w:rFonts w:cs="Calibri"/>
          <w:bCs/>
        </w:rPr>
        <w:t xml:space="preserve"> u Stenjevcu (Popis 2011.).</w:t>
      </w:r>
    </w:p>
    <w:p w14:paraId="34BE75F2" w14:textId="77777777" w:rsidR="00C5315F" w:rsidRPr="00A33E06" w:rsidRDefault="00C5315F" w:rsidP="00C5315F">
      <w:pPr>
        <w:tabs>
          <w:tab w:val="left" w:pos="-720"/>
        </w:tabs>
        <w:suppressAutoHyphens/>
        <w:spacing w:line="240" w:lineRule="auto"/>
        <w:ind w:right="70"/>
        <w:jc w:val="both"/>
        <w:rPr>
          <w:rFonts w:cs="Calibri"/>
          <w:bCs/>
        </w:rPr>
      </w:pPr>
      <w:r w:rsidRPr="00A33E06">
        <w:rPr>
          <w:rFonts w:cs="Calibri"/>
          <w:b/>
          <w:bCs/>
        </w:rPr>
        <w:t>Komunalna opremljenost stambenih jedinica</w:t>
      </w:r>
      <w:r w:rsidRPr="00A33E06">
        <w:rPr>
          <w:rFonts w:cs="Calibri"/>
          <w:bCs/>
        </w:rPr>
        <w:t xml:space="preserve">. Relativno zadovoljavajuća u Gradu kao cjelini, stanovi su u 70% slučajeva opremljeni centralnim grijanjem (toplovod, etažno grijanje) i svim drugim komunalijama u skoro 100% slučajeva. </w:t>
      </w:r>
    </w:p>
    <w:p w14:paraId="09BFA55A" w14:textId="77777777" w:rsidR="00C5315F" w:rsidRPr="00513944" w:rsidRDefault="00C5315F" w:rsidP="00C5315F">
      <w:pPr>
        <w:tabs>
          <w:tab w:val="left" w:pos="-720"/>
        </w:tabs>
        <w:suppressAutoHyphens/>
        <w:spacing w:line="240" w:lineRule="auto"/>
        <w:ind w:right="70"/>
        <w:jc w:val="both"/>
        <w:rPr>
          <w:rFonts w:cs="Calibri"/>
          <w:bCs/>
        </w:rPr>
      </w:pPr>
      <w:r w:rsidRPr="00A33E06">
        <w:rPr>
          <w:rFonts w:cs="Calibri"/>
          <w:b/>
          <w:bCs/>
        </w:rPr>
        <w:t>Prikladnost za stanovanje.</w:t>
      </w:r>
      <w:r w:rsidRPr="00A33E06">
        <w:rPr>
          <w:rFonts w:cs="Calibri"/>
          <w:bCs/>
        </w:rPr>
        <w:t xml:space="preserve"> Dio stambenog fonda neprikladan je za stanovanje zbog prokišnjavanja, vlage (26%), nekvalitetnih prozora i vrata (27%), odnosno, zbog neodgovarajućeg održavanja. Oko jedna četvrtina (21%) građana Grada Zagreba nezadovoljna je standardom stanovanja, a oni žive u uvjetima prenaseljenosti. </w:t>
      </w:r>
      <w:r w:rsidRPr="00513944">
        <w:rPr>
          <w:rFonts w:cs="Calibri"/>
          <w:bCs/>
        </w:rPr>
        <w:t>U</w:t>
      </w:r>
      <w:r>
        <w:rPr>
          <w:rFonts w:cs="Calibri"/>
          <w:bCs/>
        </w:rPr>
        <w:t xml:space="preserve"> Gradu</w:t>
      </w:r>
      <w:r w:rsidRPr="00513944">
        <w:rPr>
          <w:rFonts w:cs="Calibri"/>
          <w:bCs/>
        </w:rPr>
        <w:t xml:space="preserve"> Zagrebu 48% stambenog fonda čine garsonijere, jednosobni i dvosobni stanovi, </w:t>
      </w:r>
      <w:r>
        <w:rPr>
          <w:rFonts w:cs="Calibri"/>
          <w:bCs/>
        </w:rPr>
        <w:t xml:space="preserve">a </w:t>
      </w:r>
      <w:r w:rsidRPr="00513944">
        <w:rPr>
          <w:rFonts w:cs="Calibri"/>
          <w:bCs/>
        </w:rPr>
        <w:t>često u istom</w:t>
      </w:r>
      <w:r>
        <w:rPr>
          <w:rFonts w:cs="Calibri"/>
          <w:bCs/>
        </w:rPr>
        <w:t xml:space="preserve"> </w:t>
      </w:r>
      <w:r w:rsidRPr="00513944">
        <w:rPr>
          <w:rFonts w:cs="Calibri"/>
          <w:bCs/>
        </w:rPr>
        <w:t xml:space="preserve">stambenom prostoru stanuju predstavnici triju različitih generacija, </w:t>
      </w:r>
      <w:r>
        <w:rPr>
          <w:rFonts w:cs="Calibri"/>
          <w:bCs/>
        </w:rPr>
        <w:t>što</w:t>
      </w:r>
      <w:r w:rsidRPr="00513944">
        <w:rPr>
          <w:rFonts w:cs="Calibri"/>
          <w:bCs/>
        </w:rPr>
        <w:t xml:space="preserve"> upozorava na kvantitativni</w:t>
      </w:r>
      <w:r>
        <w:rPr>
          <w:rFonts w:cs="Calibri"/>
          <w:bCs/>
        </w:rPr>
        <w:t xml:space="preserve"> </w:t>
      </w:r>
      <w:r w:rsidRPr="00513944">
        <w:rPr>
          <w:rFonts w:cs="Calibri"/>
          <w:bCs/>
        </w:rPr>
        <w:t>manjak stambenog fonda.</w:t>
      </w:r>
    </w:p>
    <w:p w14:paraId="18371868" w14:textId="77777777" w:rsidR="00C5315F" w:rsidRPr="00D771AD" w:rsidRDefault="00C5315F" w:rsidP="00C5315F">
      <w:pPr>
        <w:spacing w:after="0" w:line="240" w:lineRule="auto"/>
        <w:jc w:val="both"/>
        <w:rPr>
          <w:rFonts w:cs="Calibri"/>
          <w:bCs/>
        </w:rPr>
      </w:pPr>
      <w:r>
        <w:rPr>
          <w:rFonts w:cs="Calibri"/>
          <w:bCs/>
        </w:rPr>
        <w:t>U potresu koji je pogodio Grad Zagreb</w:t>
      </w:r>
      <w:r w:rsidRPr="00E302B7">
        <w:rPr>
          <w:rFonts w:cs="Calibri"/>
          <w:bCs/>
        </w:rPr>
        <w:t xml:space="preserve"> 22.3.2020. godine stradao </w:t>
      </w:r>
      <w:r>
        <w:rPr>
          <w:rFonts w:cs="Calibri"/>
          <w:bCs/>
        </w:rPr>
        <w:t xml:space="preserve">je značajan </w:t>
      </w:r>
      <w:r w:rsidRPr="00E302B7">
        <w:rPr>
          <w:rFonts w:cs="Calibri"/>
          <w:bCs/>
        </w:rPr>
        <w:t>dio stambenog fonda</w:t>
      </w:r>
      <w:r>
        <w:rPr>
          <w:rFonts w:cs="Calibri"/>
          <w:bCs/>
        </w:rPr>
        <w:t xml:space="preserve"> - d</w:t>
      </w:r>
      <w:r w:rsidRPr="00D771AD">
        <w:rPr>
          <w:rFonts w:cs="Calibri"/>
          <w:bCs/>
        </w:rPr>
        <w:t xml:space="preserve">ošlo je do oštećenja brojnih stambenih građevina u Gradu Zagrebu, a ponajviše na području gradskih četvrti Donji grad, Gornji grad – Medveščak i Podsljeme. Teško je stradalo povijesno središte grada kao i njegovi rubni sjeveroistočni dijelovi, a oštećene su brojne zgrade i pokretna i nepokretna kulturna dobra. Najveća šteta pretrpljena je na području centra Zagreba, a to se posebice odnosi na  dio Donjeg grada koji je povijesna jezgra grada, gdje su gotovo sve zgrade izgrađene između potresa 1880. i sredine 20. stoljeća i izrađivane su od opeke, bez armiranobetonskih elemenata te su stoga  bile iznimno ranjive na seizmičku aktivnost. Također, osim što su te zgrade konstrukcijski slabe, velike štete odnose se i na pročelja prepuna štukatura i raznih ukrasnih detalja koja su u ovom potresu također stradala, a čija je rekonstrukcija iznimno skupa. Utjecaj katastrofe na povijesno središte Zagreba značajno je pridonio povećanju troškova štete od potresa. </w:t>
      </w:r>
      <w:r>
        <w:rPr>
          <w:rFonts w:cs="Calibri"/>
          <w:bCs/>
        </w:rPr>
        <w:t>Potrebno</w:t>
      </w:r>
      <w:r w:rsidRPr="00E302B7">
        <w:rPr>
          <w:rFonts w:cs="Calibri"/>
          <w:bCs/>
        </w:rPr>
        <w:t xml:space="preserve"> </w:t>
      </w:r>
      <w:r>
        <w:rPr>
          <w:rFonts w:cs="Calibri"/>
          <w:bCs/>
        </w:rPr>
        <w:t xml:space="preserve">je </w:t>
      </w:r>
      <w:r w:rsidRPr="00E302B7">
        <w:rPr>
          <w:rFonts w:cs="Calibri"/>
          <w:bCs/>
        </w:rPr>
        <w:t>izrad</w:t>
      </w:r>
      <w:r>
        <w:rPr>
          <w:rFonts w:cs="Calibri"/>
          <w:bCs/>
        </w:rPr>
        <w:t>iti programe i planove za sanaciju i rekonstrukciju</w:t>
      </w:r>
      <w:r w:rsidRPr="00E302B7">
        <w:rPr>
          <w:rFonts w:cs="Calibri"/>
          <w:bCs/>
        </w:rPr>
        <w:t xml:space="preserve"> uništenih građevina</w:t>
      </w:r>
      <w:r>
        <w:rPr>
          <w:rFonts w:cs="Calibri"/>
          <w:bCs/>
        </w:rPr>
        <w:t>, osobito vodeći računa o starijim</w:t>
      </w:r>
      <w:r w:rsidRPr="00E302B7">
        <w:rPr>
          <w:rFonts w:cs="Calibri"/>
          <w:bCs/>
        </w:rPr>
        <w:t xml:space="preserve"> stamben</w:t>
      </w:r>
      <w:r>
        <w:rPr>
          <w:rFonts w:cs="Calibri"/>
          <w:bCs/>
        </w:rPr>
        <w:t>im</w:t>
      </w:r>
      <w:r w:rsidRPr="00E302B7">
        <w:rPr>
          <w:rFonts w:cs="Calibri"/>
          <w:bCs/>
        </w:rPr>
        <w:t xml:space="preserve"> zgrad</w:t>
      </w:r>
      <w:r>
        <w:rPr>
          <w:rFonts w:cs="Calibri"/>
          <w:bCs/>
        </w:rPr>
        <w:t>ama</w:t>
      </w:r>
      <w:r w:rsidRPr="00E302B7">
        <w:rPr>
          <w:rFonts w:cs="Calibri"/>
          <w:bCs/>
        </w:rPr>
        <w:t xml:space="preserve"> </w:t>
      </w:r>
      <w:r>
        <w:rPr>
          <w:rFonts w:cs="Calibri"/>
          <w:bCs/>
        </w:rPr>
        <w:t>(</w:t>
      </w:r>
      <w:r w:rsidRPr="00E302B7">
        <w:rPr>
          <w:rFonts w:cs="Calibri"/>
          <w:bCs/>
        </w:rPr>
        <w:t>izgrađene do 1964.</w:t>
      </w:r>
      <w:r>
        <w:rPr>
          <w:rFonts w:cs="Calibri"/>
          <w:bCs/>
        </w:rPr>
        <w:t xml:space="preserve">g.) </w:t>
      </w:r>
      <w:r w:rsidRPr="00E302B7">
        <w:rPr>
          <w:rFonts w:cs="Calibri"/>
          <w:bCs/>
        </w:rPr>
        <w:t>koje su Procjenom rizika od katastrofa za Republiku Hrvatsku ocijenjene kao zgrade s inicijalnom i minimalnom razinom potresne otpornosti.</w:t>
      </w:r>
    </w:p>
    <w:p w14:paraId="7B735DB8" w14:textId="77777777" w:rsidR="00C259BD" w:rsidRDefault="00C259BD" w:rsidP="00C5315F">
      <w:pPr>
        <w:tabs>
          <w:tab w:val="left" w:pos="-720"/>
        </w:tabs>
        <w:suppressAutoHyphens/>
        <w:spacing w:line="240" w:lineRule="auto"/>
        <w:ind w:right="70"/>
        <w:jc w:val="both"/>
        <w:rPr>
          <w:rFonts w:cs="Calibri"/>
          <w:b/>
          <w:bCs/>
        </w:rPr>
      </w:pPr>
    </w:p>
    <w:p w14:paraId="4240AF37" w14:textId="446540CA" w:rsidR="00C5315F" w:rsidRDefault="00C5315F" w:rsidP="00C5315F">
      <w:pPr>
        <w:tabs>
          <w:tab w:val="left" w:pos="-720"/>
        </w:tabs>
        <w:suppressAutoHyphens/>
        <w:spacing w:line="240" w:lineRule="auto"/>
        <w:ind w:right="70"/>
        <w:jc w:val="both"/>
        <w:rPr>
          <w:rFonts w:cs="Calibri"/>
          <w:bCs/>
        </w:rPr>
      </w:pPr>
      <w:r w:rsidRPr="00A33E06">
        <w:rPr>
          <w:rFonts w:cs="Calibri"/>
          <w:b/>
          <w:bCs/>
        </w:rPr>
        <w:t>Planiranje prostora za stambenu gradnju.</w:t>
      </w:r>
      <w:r w:rsidRPr="00A33E06">
        <w:rPr>
          <w:rFonts w:cs="Calibri"/>
          <w:bCs/>
        </w:rPr>
        <w:t xml:space="preserve"> Na kvalitetnijim gradskim zemljištima omogućena je gradnja gospodarskih sadržaja i trgovačkih centara, a gradski projekti stanovanja smješteni su na nepovoljnijim lokacijama što dovodi do prostorne segregacije stanovanja. Izrada i donošenje urbanističkih planova uređenja za nova stambena naselja opterećeni su pritiscima investitora planova za maksimalne stambene kapacitete, a na štetu javnih i društvenih sadržaja naselja, posebice kvalitetnog javnog otvorenog prostora kao preduvjeta kvalitetnog stanovanja. Jedan od dugogodišnjih prostornih problema vezanih uz stambenu politiku i planiranje prostora jest i dugogodišnji izostanak pripremljenih i uređenih građevinskih čestica za individualnu stambenu gradnju (samostojeće, poluugrađene i ugrađene obiteljske kuće), što je u potpunom nerazmjeru s bujanjem individualne stambene gradnje na gradskim rubovima.</w:t>
      </w:r>
      <w:r>
        <w:rPr>
          <w:rFonts w:cs="Calibri"/>
          <w:bCs/>
        </w:rPr>
        <w:t xml:space="preserve"> </w:t>
      </w:r>
    </w:p>
    <w:p w14:paraId="468E99BC" w14:textId="77777777" w:rsidR="00C5315F" w:rsidRPr="00513944" w:rsidRDefault="00C5315F" w:rsidP="00C5315F">
      <w:pPr>
        <w:tabs>
          <w:tab w:val="left" w:pos="-720"/>
        </w:tabs>
        <w:suppressAutoHyphens/>
        <w:spacing w:line="240" w:lineRule="auto"/>
        <w:ind w:right="70"/>
        <w:jc w:val="both"/>
        <w:rPr>
          <w:rFonts w:cs="Calibri"/>
          <w:bCs/>
        </w:rPr>
      </w:pPr>
      <w:r w:rsidRPr="00513944">
        <w:rPr>
          <w:rFonts w:cs="Calibri"/>
          <w:bCs/>
        </w:rPr>
        <w:t>Sustavnu i suvremenu stanogradnju trebalo bi usmjeriti na veće površine unutar područja Zagreb -Sesvete, te na taj način osigurati kvalitetno stanovanje financijski dostupno prosječnom stanovniku</w:t>
      </w:r>
      <w:r>
        <w:rPr>
          <w:rFonts w:cs="Calibri"/>
          <w:bCs/>
        </w:rPr>
        <w:t xml:space="preserve"> </w:t>
      </w:r>
      <w:r w:rsidRPr="00513944">
        <w:rPr>
          <w:rFonts w:cs="Calibri"/>
          <w:bCs/>
        </w:rPr>
        <w:t>Zagreba, kao i primjereni standard stanovanja stanovnicima okolnih naselja.</w:t>
      </w:r>
    </w:p>
    <w:tbl>
      <w:tblPr>
        <w:tblW w:w="8897" w:type="dxa"/>
        <w:shd w:val="clear" w:color="auto" w:fill="CCCCCC"/>
        <w:tblLook w:val="01E0" w:firstRow="1" w:lastRow="1" w:firstColumn="1" w:lastColumn="1" w:noHBand="0" w:noVBand="0"/>
      </w:tblPr>
      <w:tblGrid>
        <w:gridCol w:w="4361"/>
        <w:gridCol w:w="4536"/>
      </w:tblGrid>
      <w:tr w:rsidR="00C5315F" w:rsidRPr="00A33E06" w14:paraId="3AE067CB" w14:textId="77777777" w:rsidTr="00072476">
        <w:tc>
          <w:tcPr>
            <w:tcW w:w="4361" w:type="dxa"/>
            <w:shd w:val="clear" w:color="auto" w:fill="CCCCCC"/>
          </w:tcPr>
          <w:p w14:paraId="65ED66AF"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RAZVOJNI PROBLEMI</w:t>
            </w:r>
          </w:p>
        </w:tc>
        <w:tc>
          <w:tcPr>
            <w:tcW w:w="4536" w:type="dxa"/>
            <w:vMerge w:val="restart"/>
            <w:shd w:val="clear" w:color="auto" w:fill="99CCFF"/>
          </w:tcPr>
          <w:p w14:paraId="5F893378"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RAZVOJNE POTREBE</w:t>
            </w:r>
          </w:p>
          <w:p w14:paraId="2D887203"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Izrada stambene strategije</w:t>
            </w:r>
          </w:p>
          <w:p w14:paraId="668ABAC0" w14:textId="77777777" w:rsidR="00C5315F"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Izraditi analizu postojećih potreba, kapaciteta i opremljenosti zemljišta za stambenu gradnju</w:t>
            </w:r>
          </w:p>
          <w:p w14:paraId="732B3389"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8296D">
              <w:rPr>
                <w:rFonts w:eastAsia="Arial Unicode MS" w:cs="Calibri"/>
                <w:color w:val="000000"/>
                <w:sz w:val="18"/>
                <w:szCs w:val="18"/>
              </w:rPr>
              <w:t>Izvršiti analizu pristupačnosti objekata pod upravljanjem Grada Zagreba</w:t>
            </w:r>
          </w:p>
          <w:p w14:paraId="5B64FC2A"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Razvijati sustav socijalnog stanovanja</w:t>
            </w:r>
          </w:p>
          <w:p w14:paraId="4C2AB897"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 xml:space="preserve">Uvoditi mjere kojima se potiče obnova i modernizacija postojećega stambenog fonda, pogotovo u pogledu energetske učinkovitosti </w:t>
            </w:r>
            <w:r>
              <w:rPr>
                <w:rFonts w:eastAsia="Arial Unicode MS" w:cs="Calibri"/>
                <w:color w:val="000000"/>
                <w:sz w:val="18"/>
                <w:szCs w:val="18"/>
              </w:rPr>
              <w:t>te osobito radi saniranja oštećenja uzrokovanih potresom 22. ožujka 2020.</w:t>
            </w:r>
          </w:p>
          <w:p w14:paraId="1DF850D3"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 xml:space="preserve">Uspostaviti pravni i institucionalni okvir za očuvanje stanovanja u povijesnoj jezgri </w:t>
            </w:r>
          </w:p>
          <w:p w14:paraId="5A416B91"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Poboljšati javnu infrastrukturu u stambenim područjima</w:t>
            </w:r>
          </w:p>
          <w:p w14:paraId="1AC88D5E" w14:textId="77777777" w:rsidR="00C5315F" w:rsidRPr="00A213D3" w:rsidRDefault="00C5315F" w:rsidP="00165C16">
            <w:pPr>
              <w:numPr>
                <w:ilvl w:val="0"/>
                <w:numId w:val="1"/>
              </w:numPr>
              <w:tabs>
                <w:tab w:val="clear" w:pos="720"/>
                <w:tab w:val="num" w:pos="284"/>
              </w:tabs>
              <w:spacing w:before="60" w:after="60" w:line="240" w:lineRule="auto"/>
              <w:ind w:left="284" w:right="70" w:hanging="284"/>
              <w:rPr>
                <w:rFonts w:eastAsia="Arial Unicode MS" w:cs="Calibri"/>
                <w:b/>
                <w:color w:val="000000"/>
                <w:sz w:val="18"/>
                <w:szCs w:val="18"/>
              </w:rPr>
            </w:pPr>
            <w:r w:rsidRPr="00A33E06">
              <w:rPr>
                <w:rFonts w:eastAsia="Arial Unicode MS" w:cs="Calibri"/>
                <w:color w:val="000000"/>
                <w:sz w:val="18"/>
                <w:szCs w:val="18"/>
              </w:rPr>
              <w:t>Podržavati socijalnu integraciju i razvoj lokalnih zajednica</w:t>
            </w:r>
          </w:p>
          <w:p w14:paraId="54E55307" w14:textId="77777777" w:rsidR="00C5315F" w:rsidRPr="00367049" w:rsidRDefault="00C5315F" w:rsidP="00165C16">
            <w:pPr>
              <w:numPr>
                <w:ilvl w:val="0"/>
                <w:numId w:val="1"/>
              </w:numPr>
              <w:tabs>
                <w:tab w:val="clear" w:pos="720"/>
                <w:tab w:val="num" w:pos="284"/>
              </w:tabs>
              <w:spacing w:before="60" w:after="60" w:line="240" w:lineRule="auto"/>
              <w:ind w:left="284" w:right="70" w:hanging="284"/>
              <w:rPr>
                <w:rFonts w:eastAsia="Arial Unicode MS" w:cs="Calibri"/>
                <w:bCs/>
                <w:color w:val="000000"/>
                <w:sz w:val="18"/>
                <w:szCs w:val="18"/>
              </w:rPr>
            </w:pPr>
            <w:r w:rsidRPr="00C118D7">
              <w:rPr>
                <w:rFonts w:eastAsia="Arial Unicode MS" w:cs="Calibri"/>
                <w:bCs/>
                <w:color w:val="000000"/>
                <w:sz w:val="18"/>
                <w:szCs w:val="18"/>
              </w:rPr>
              <w:t>Osigurati kapacitete za razvoj organiziranog stanovanja i stambenih zajednica</w:t>
            </w:r>
          </w:p>
          <w:p w14:paraId="1AE41403" w14:textId="07AC7D2A" w:rsidR="00367049" w:rsidRPr="00A33E06" w:rsidRDefault="00751C19" w:rsidP="00F07A44">
            <w:pPr>
              <w:spacing w:before="60" w:after="60" w:line="240" w:lineRule="auto"/>
              <w:ind w:left="284" w:right="70"/>
              <w:rPr>
                <w:rFonts w:eastAsia="Arial Unicode MS" w:cs="Calibri"/>
                <w:b/>
                <w:color w:val="000000"/>
                <w:sz w:val="18"/>
                <w:szCs w:val="18"/>
              </w:rPr>
            </w:pPr>
            <w:sdt>
              <w:sdtPr>
                <w:tag w:val="goog_rdk_7"/>
                <w:id w:val="1783607197"/>
                <w:showingPlcHdr/>
              </w:sdtPr>
              <w:sdtEndPr/>
              <w:sdtContent>
                <w:r w:rsidR="00F07A44">
                  <w:t xml:space="preserve">     </w:t>
                </w:r>
              </w:sdtContent>
            </w:sdt>
          </w:p>
        </w:tc>
      </w:tr>
      <w:tr w:rsidR="00C5315F" w:rsidRPr="00A33E06" w14:paraId="31FD6A8F" w14:textId="77777777" w:rsidTr="00072476">
        <w:tc>
          <w:tcPr>
            <w:tcW w:w="4361" w:type="dxa"/>
            <w:shd w:val="clear" w:color="auto" w:fill="CCCCCC"/>
          </w:tcPr>
          <w:p w14:paraId="4DFAB322"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 xml:space="preserve">Nepostojanje dugoročne nacionalne i gradske stambene politike </w:t>
            </w:r>
          </w:p>
          <w:p w14:paraId="25B6F7C5"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 xml:space="preserve">Nedostatak podataka i procjena o stambenim potrebama </w:t>
            </w:r>
          </w:p>
          <w:p w14:paraId="774C00ED"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Neadekvatno održavanje stambenog fonda</w:t>
            </w:r>
          </w:p>
          <w:p w14:paraId="39CC856D"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Smanjivanje broja stanovnika u središnjem gradskom prostoru i prevladavanje starijeg stanovništva</w:t>
            </w:r>
          </w:p>
          <w:p w14:paraId="76276DDA"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Brojna stambena područja su slabo opremljena javnom infrastrukturom</w:t>
            </w:r>
          </w:p>
          <w:p w14:paraId="61AE3A6E" w14:textId="77777777" w:rsidR="00C5315F"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Prostorna segregacija stanovanja koja dovodi do razvoja socijalnih problema</w:t>
            </w:r>
          </w:p>
          <w:p w14:paraId="1B309744" w14:textId="77777777" w:rsidR="00C5315F"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Pr>
                <w:rFonts w:eastAsia="Arial Unicode MS" w:cs="Calibri"/>
                <w:color w:val="000000"/>
                <w:sz w:val="18"/>
                <w:szCs w:val="18"/>
              </w:rPr>
              <w:t>Oštećenja dijela stambenog fonda uzrokovana potresom 22. ožujka 2020.</w:t>
            </w:r>
          </w:p>
          <w:p w14:paraId="74048013" w14:textId="3227D1D6" w:rsidR="00367049" w:rsidRPr="00A33E06" w:rsidRDefault="00751C19"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sdt>
              <w:sdtPr>
                <w:tag w:val="goog_rdk_12"/>
                <w:id w:val="137926012"/>
              </w:sdtPr>
              <w:sdtEndPr/>
              <w:sdtContent>
                <w:r w:rsidR="00367049">
                  <w:rPr>
                    <w:color w:val="000000"/>
                    <w:sz w:val="18"/>
                    <w:szCs w:val="18"/>
                  </w:rPr>
                  <w:t>Preveliki porast cijena nekretnina za najam i prodaju</w:t>
                </w:r>
              </w:sdtContent>
            </w:sdt>
          </w:p>
        </w:tc>
        <w:tc>
          <w:tcPr>
            <w:tcW w:w="4536" w:type="dxa"/>
            <w:vMerge/>
            <w:shd w:val="clear" w:color="auto" w:fill="99CCFF"/>
          </w:tcPr>
          <w:p w14:paraId="6BB24B3E"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p>
        </w:tc>
      </w:tr>
    </w:tbl>
    <w:p w14:paraId="61EDAC1D" w14:textId="77777777" w:rsidR="00C5315F" w:rsidRDefault="00C5315F" w:rsidP="00C5315F">
      <w:pPr>
        <w:pStyle w:val="astandard3520normal"/>
        <w:shd w:val="clear" w:color="auto" w:fill="FFFFFF"/>
        <w:spacing w:before="0" w:beforeAutospacing="0" w:after="0" w:afterAutospacing="0"/>
        <w:ind w:right="57"/>
        <w:jc w:val="both"/>
        <w:rPr>
          <w:rFonts w:ascii="Calibri" w:hAnsi="Calibri" w:cs="Calibri"/>
          <w:b/>
          <w:sz w:val="22"/>
          <w:szCs w:val="22"/>
          <w:lang w:eastAsia="en-US"/>
        </w:rPr>
      </w:pPr>
    </w:p>
    <w:p w14:paraId="75F0CF44" w14:textId="56472AD4" w:rsidR="00C5315F" w:rsidRPr="00A33E06" w:rsidRDefault="00C5315F" w:rsidP="00C45A8C">
      <w:pPr>
        <w:pStyle w:val="Stil2"/>
      </w:pPr>
      <w:bookmarkStart w:id="106" w:name="_Toc97123826"/>
      <w:r>
        <w:t>4.1</w:t>
      </w:r>
      <w:r w:rsidRPr="00A33E06">
        <w:t>.</w:t>
      </w:r>
      <w:r>
        <w:t>5</w:t>
      </w:r>
      <w:r w:rsidRPr="00A33E06">
        <w:t>. Zelena infrastruktura</w:t>
      </w:r>
      <w:bookmarkEnd w:id="106"/>
    </w:p>
    <w:p w14:paraId="34E9EC53" w14:textId="77777777" w:rsidR="00C5315F" w:rsidRPr="00A33E06" w:rsidRDefault="00C5315F" w:rsidP="00C5315F">
      <w:pPr>
        <w:pStyle w:val="astandard3520normal"/>
        <w:shd w:val="clear" w:color="auto" w:fill="FFFFFF"/>
        <w:spacing w:before="0" w:beforeAutospacing="0" w:after="0" w:afterAutospacing="0"/>
        <w:ind w:right="57"/>
        <w:jc w:val="both"/>
        <w:rPr>
          <w:rFonts w:ascii="Calibri" w:eastAsia="Times New Roman" w:hAnsi="Calibri" w:cs="Calibri"/>
          <w:bCs/>
          <w:sz w:val="22"/>
          <w:szCs w:val="22"/>
        </w:rPr>
      </w:pPr>
      <w:r w:rsidRPr="00A33E06">
        <w:rPr>
          <w:rFonts w:ascii="Calibri" w:eastAsia="Times New Roman" w:hAnsi="Calibri" w:cs="Calibri"/>
          <w:bCs/>
          <w:sz w:val="22"/>
          <w:szCs w:val="22"/>
        </w:rPr>
        <w:t xml:space="preserve">Zelene površine – zelena infrastruktura izuzetno je vrijedna sastavnica prostora i kvalitete života i okoliša, te važan identitetski element Grada Zagreba. </w:t>
      </w:r>
    </w:p>
    <w:p w14:paraId="0D1C0C5D" w14:textId="77777777" w:rsidR="00C5315F" w:rsidRPr="00A33E06" w:rsidRDefault="00C5315F" w:rsidP="00C5315F">
      <w:pPr>
        <w:pStyle w:val="astandard3520normal"/>
        <w:shd w:val="clear" w:color="auto" w:fill="FFFFFF"/>
        <w:spacing w:before="0" w:beforeAutospacing="0" w:after="0" w:afterAutospacing="0"/>
        <w:ind w:right="57"/>
        <w:jc w:val="both"/>
        <w:rPr>
          <w:rFonts w:ascii="Calibri" w:eastAsia="Times New Roman" w:hAnsi="Calibri" w:cs="Calibri"/>
          <w:bCs/>
          <w:sz w:val="22"/>
          <w:szCs w:val="22"/>
        </w:rPr>
      </w:pPr>
      <w:r w:rsidRPr="00A33E06">
        <w:rPr>
          <w:rFonts w:ascii="Calibri" w:eastAsia="Times New Roman" w:hAnsi="Calibri" w:cs="Calibri"/>
          <w:bCs/>
          <w:sz w:val="22"/>
          <w:szCs w:val="22"/>
        </w:rPr>
        <w:t>Kako bismo unaprijedili pristup i očuvali zelene površine i zdrave ekosustave na području Grada Zagreba</w:t>
      </w:r>
      <w:r w:rsidRPr="00A33E06">
        <w:rPr>
          <w:rFonts w:ascii="Calibri" w:eastAsia="Times New Roman" w:hAnsi="Calibri" w:cs="Calibri"/>
          <w:bCs/>
          <w:color w:val="FF0000"/>
          <w:sz w:val="22"/>
          <w:szCs w:val="22"/>
        </w:rPr>
        <w:t xml:space="preserve"> </w:t>
      </w:r>
      <w:r w:rsidRPr="00A33E06">
        <w:rPr>
          <w:rFonts w:ascii="Calibri" w:eastAsia="Times New Roman" w:hAnsi="Calibri" w:cs="Calibri"/>
          <w:bCs/>
          <w:sz w:val="22"/>
          <w:szCs w:val="22"/>
        </w:rPr>
        <w:t xml:space="preserve">potrebno je izgraditi sustav strateški planirane mreže prirodnih i poluprirodnih staništa visoke kvalitete - zelenu infrastrukturu koja predstavlja multifunkcionalnu međusobno povezanu mrežu zaštićenih i ostalih prirodnih te čovjekovim djelovanjem stvorenih područja i krajobraza visoke ekološke vrijednosti. </w:t>
      </w:r>
    </w:p>
    <w:p w14:paraId="081307F5" w14:textId="77777777" w:rsidR="00C5315F" w:rsidRPr="00A33E06" w:rsidRDefault="00C5315F" w:rsidP="00C5315F">
      <w:pPr>
        <w:pStyle w:val="astandard3520normal"/>
        <w:shd w:val="clear" w:color="auto" w:fill="FFFFFF"/>
        <w:spacing w:before="0" w:beforeAutospacing="0" w:after="0" w:afterAutospacing="0"/>
        <w:ind w:right="57"/>
        <w:jc w:val="both"/>
        <w:rPr>
          <w:rFonts w:ascii="Calibri" w:eastAsia="Times New Roman" w:hAnsi="Calibri" w:cs="Calibri"/>
          <w:bCs/>
          <w:sz w:val="22"/>
          <w:szCs w:val="22"/>
        </w:rPr>
      </w:pPr>
      <w:r w:rsidRPr="00A33E06">
        <w:rPr>
          <w:rFonts w:ascii="Calibri" w:eastAsia="Times New Roman" w:hAnsi="Calibri" w:cs="Calibri"/>
          <w:bCs/>
          <w:sz w:val="22"/>
          <w:szCs w:val="22"/>
        </w:rPr>
        <w:t>Potencijalne sastavnice zelene infrastrukture na području Grada Zagreba su: zaštićena područja i područja ekološke mreže Natura 2000, zdravi ekosustavi visoke prirodne vrijednosti izvan zaštićenih područja, parkovi i šume u urbanom prostoru, npr. Park šume grada Zagreba, prirodni krajobrazi kao što su mali vodotoci, male šume, šikare, živice, obnovljeni dijelovi staništa, umjetno izgrađeni oblici kao što zeleni prolazi/prijelazi dizajnirani da pomognu mobilnost vrsta, višenamjenske zone gdje se zemljište koristi kao pomoć u obnovi i održavanju zdravih i biološki raznolikih ekosustava, područja gdje su implementirane mjere koje podižu opću kvalitetu okoliša, prateći građevinski zahvati koji odgovaraju zelenoj gradnji, energetskoj učinkovitosti – ekološki građevni materijali, značajke za prilagodbu klimatskim promjenama kao što su močvarna i poplavna područja za zaštitu od poplava, čuvanje vode i unos CO</w:t>
      </w:r>
      <w:r w:rsidRPr="00A33E06">
        <w:rPr>
          <w:rFonts w:ascii="Calibri" w:eastAsia="Times New Roman" w:hAnsi="Calibri" w:cs="Calibri"/>
          <w:bCs/>
          <w:sz w:val="22"/>
          <w:szCs w:val="22"/>
          <w:vertAlign w:val="subscript"/>
        </w:rPr>
        <w:t>2</w:t>
      </w:r>
      <w:r w:rsidRPr="00A33E06">
        <w:rPr>
          <w:rFonts w:ascii="Calibri" w:eastAsia="Times New Roman" w:hAnsi="Calibri" w:cs="Calibri"/>
          <w:bCs/>
          <w:sz w:val="22"/>
          <w:szCs w:val="22"/>
        </w:rPr>
        <w:t xml:space="preserve"> i druge sastavnice koje će se utvrditi detaljnijim analizama.</w:t>
      </w:r>
    </w:p>
    <w:p w14:paraId="5D24F002" w14:textId="77777777" w:rsidR="00C5315F" w:rsidRPr="00A33E06" w:rsidRDefault="00C5315F" w:rsidP="00C5315F">
      <w:pPr>
        <w:spacing w:line="240" w:lineRule="auto"/>
        <w:jc w:val="both"/>
        <w:rPr>
          <w:rFonts w:cs="Calibri"/>
          <w:bCs/>
        </w:rPr>
      </w:pPr>
      <w:r w:rsidRPr="00A33E06">
        <w:rPr>
          <w:rFonts w:cs="Calibri"/>
          <w:bCs/>
        </w:rPr>
        <w:t>Na prostorno planskoj razini sastavnice zelene infrastrukture Grada čine u Prostornom planu Grada Zagreba šume, poljoprivredne površine, javne zelene površine, zaštitne zelene površine, zone vodocrpilišta, te vode i vodna dobra. Na razini generalnih urbanističkih planova grada Zagreba i Sesveta sastavnice zelene infrastrukture funkcionalno su i oblikovno detaljnije tipologizirane kao javni parkovi, gradske park šume, tematski parkovi, javne gradske površine – tematske zone, zaštitne zelene površine. Na obje razine planova određeni su uvjeti uređenja i zaštite posebno vrijednih i zaštićenih područja i cjelina.</w:t>
      </w:r>
    </w:p>
    <w:tbl>
      <w:tblPr>
        <w:tblW w:w="8897" w:type="dxa"/>
        <w:shd w:val="clear" w:color="auto" w:fill="CCCCCC"/>
        <w:tblLook w:val="01E0" w:firstRow="1" w:lastRow="1" w:firstColumn="1" w:lastColumn="1" w:noHBand="0" w:noVBand="0"/>
      </w:tblPr>
      <w:tblGrid>
        <w:gridCol w:w="4361"/>
        <w:gridCol w:w="4536"/>
      </w:tblGrid>
      <w:tr w:rsidR="00C5315F" w:rsidRPr="00A33E06" w14:paraId="2F4C4034" w14:textId="77777777" w:rsidTr="00072476">
        <w:tc>
          <w:tcPr>
            <w:tcW w:w="4361" w:type="dxa"/>
            <w:shd w:val="clear" w:color="auto" w:fill="CCCCCC"/>
          </w:tcPr>
          <w:p w14:paraId="6D186ACB"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RAZVOJNI PROBLEMI</w:t>
            </w:r>
          </w:p>
        </w:tc>
        <w:tc>
          <w:tcPr>
            <w:tcW w:w="4536" w:type="dxa"/>
            <w:shd w:val="clear" w:color="auto" w:fill="99CCFF"/>
          </w:tcPr>
          <w:p w14:paraId="5CC5E76E" w14:textId="77777777" w:rsidR="00C5315F" w:rsidRPr="00A33E06" w:rsidRDefault="00C5315F" w:rsidP="00072476">
            <w:pPr>
              <w:spacing w:before="60" w:line="360" w:lineRule="auto"/>
              <w:ind w:right="70"/>
              <w:rPr>
                <w:rFonts w:eastAsia="Arial Unicode MS" w:cs="Calibri"/>
                <w:b/>
                <w:color w:val="000000"/>
                <w:sz w:val="18"/>
                <w:szCs w:val="18"/>
              </w:rPr>
            </w:pPr>
            <w:r w:rsidRPr="00A33E06">
              <w:rPr>
                <w:rFonts w:eastAsia="Arial Unicode MS" w:cs="Calibri"/>
                <w:b/>
                <w:color w:val="000000"/>
                <w:sz w:val="18"/>
                <w:szCs w:val="18"/>
              </w:rPr>
              <w:t>RAZVOJNE POTREBE</w:t>
            </w:r>
          </w:p>
        </w:tc>
      </w:tr>
      <w:tr w:rsidR="00C5315F" w:rsidRPr="00A33E06" w14:paraId="2A9F7A92" w14:textId="77777777" w:rsidTr="00072476">
        <w:trPr>
          <w:trHeight w:val="2098"/>
        </w:trPr>
        <w:tc>
          <w:tcPr>
            <w:tcW w:w="4361" w:type="dxa"/>
            <w:shd w:val="clear" w:color="auto" w:fill="CCCCCC"/>
          </w:tcPr>
          <w:p w14:paraId="1B47CB2F"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Neriješen imovinski status zelenih površina</w:t>
            </w:r>
          </w:p>
          <w:p w14:paraId="2C4A77B5"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Bespravna gradnja i širenje drugih namjena u prostor zelenila</w:t>
            </w:r>
          </w:p>
          <w:p w14:paraId="3FDF25FB"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Neusklađeni standardi za oblikovanje, uređivanje, zaštitu te upravljanje sastavnica</w:t>
            </w:r>
            <w:r>
              <w:rPr>
                <w:rFonts w:eastAsia="Arial Unicode MS" w:cs="Calibri"/>
                <w:color w:val="000000"/>
                <w:sz w:val="18"/>
                <w:szCs w:val="18"/>
              </w:rPr>
              <w:t>ma</w:t>
            </w:r>
            <w:r w:rsidRPr="00A33E06">
              <w:rPr>
                <w:rFonts w:eastAsia="Arial Unicode MS" w:cs="Calibri"/>
                <w:color w:val="000000"/>
                <w:sz w:val="18"/>
                <w:szCs w:val="18"/>
              </w:rPr>
              <w:t xml:space="preserve"> zelene infrastrukture </w:t>
            </w:r>
          </w:p>
          <w:p w14:paraId="6EC0F61B" w14:textId="77777777" w:rsidR="00C5315F" w:rsidRPr="00A33E06" w:rsidRDefault="00C5315F" w:rsidP="00165C16">
            <w:pPr>
              <w:numPr>
                <w:ilvl w:val="0"/>
                <w:numId w:val="1"/>
              </w:numPr>
              <w:tabs>
                <w:tab w:val="clear" w:pos="720"/>
                <w:tab w:val="num" w:pos="284"/>
              </w:tabs>
              <w:spacing w:before="60" w:after="60" w:line="240" w:lineRule="auto"/>
              <w:ind w:left="284" w:right="70" w:hanging="284"/>
              <w:rPr>
                <w:rFonts w:eastAsia="Arial Unicode MS" w:cs="Calibri"/>
                <w:color w:val="000000"/>
                <w:sz w:val="18"/>
                <w:szCs w:val="18"/>
              </w:rPr>
            </w:pPr>
            <w:r w:rsidRPr="00A33E06">
              <w:rPr>
                <w:rFonts w:eastAsia="Arial Unicode MS" w:cs="Calibri"/>
                <w:color w:val="000000"/>
                <w:sz w:val="18"/>
                <w:szCs w:val="18"/>
              </w:rPr>
              <w:t>Nepovezanost i neumreženost nadležnih tijela u planiranju i provedbi planova zelene infrastrukture</w:t>
            </w:r>
          </w:p>
          <w:p w14:paraId="7BAE6789" w14:textId="77777777" w:rsidR="00C5315F" w:rsidRPr="00A33E06" w:rsidRDefault="00C5315F" w:rsidP="00072476">
            <w:pPr>
              <w:spacing w:before="60" w:after="60"/>
              <w:ind w:right="70"/>
              <w:rPr>
                <w:rFonts w:eastAsia="Arial Unicode MS" w:cs="Calibri"/>
                <w:color w:val="000000"/>
                <w:sz w:val="18"/>
                <w:szCs w:val="18"/>
              </w:rPr>
            </w:pPr>
          </w:p>
        </w:tc>
        <w:tc>
          <w:tcPr>
            <w:tcW w:w="4536" w:type="dxa"/>
            <w:shd w:val="clear" w:color="auto" w:fill="99CCFF"/>
          </w:tcPr>
          <w:p w14:paraId="6CC6EB2D"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line="264" w:lineRule="auto"/>
              <w:ind w:left="284" w:right="-2" w:hanging="284"/>
              <w:jc w:val="both"/>
              <w:rPr>
                <w:rFonts w:ascii="Calibri" w:hAnsi="Calibri" w:cs="Calibri"/>
                <w:sz w:val="18"/>
                <w:szCs w:val="18"/>
              </w:rPr>
            </w:pPr>
            <w:r>
              <w:rPr>
                <w:rFonts w:ascii="Calibri" w:hAnsi="Calibri" w:cs="Calibri"/>
                <w:sz w:val="18"/>
                <w:szCs w:val="18"/>
              </w:rPr>
              <w:t>O</w:t>
            </w:r>
            <w:r w:rsidRPr="00A33E06">
              <w:rPr>
                <w:rFonts w:ascii="Calibri" w:hAnsi="Calibri" w:cs="Calibri"/>
                <w:sz w:val="18"/>
                <w:szCs w:val="18"/>
              </w:rPr>
              <w:t>blikovanje i uspostava odgovarajućeg modela multifunkcionalne mreže ''Zelene infrastrukture'' Grada Zagreba – kartiranje i valorizacija na području Grada Zagreba, uvrštavanje odrednic</w:t>
            </w:r>
            <w:r>
              <w:rPr>
                <w:rFonts w:ascii="Calibri" w:hAnsi="Calibri" w:cs="Calibri"/>
                <w:sz w:val="18"/>
                <w:szCs w:val="18"/>
              </w:rPr>
              <w:t>a</w:t>
            </w:r>
            <w:r w:rsidRPr="00A33E06">
              <w:rPr>
                <w:rFonts w:ascii="Calibri" w:hAnsi="Calibri" w:cs="Calibri"/>
                <w:sz w:val="18"/>
                <w:szCs w:val="18"/>
              </w:rPr>
              <w:t xml:space="preserve"> Zelene infrastrukture u ostale akte planiranja i dokumente prostornog planiranja </w:t>
            </w:r>
          </w:p>
          <w:p w14:paraId="263919A8"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line="264" w:lineRule="auto"/>
              <w:ind w:left="284" w:right="-2" w:hanging="284"/>
              <w:jc w:val="both"/>
              <w:rPr>
                <w:rFonts w:ascii="Calibri" w:hAnsi="Calibri" w:cs="Calibri"/>
                <w:sz w:val="18"/>
                <w:szCs w:val="18"/>
              </w:rPr>
            </w:pPr>
            <w:r>
              <w:rPr>
                <w:rFonts w:ascii="Calibri" w:hAnsi="Calibri" w:cs="Calibri"/>
                <w:sz w:val="18"/>
                <w:szCs w:val="18"/>
              </w:rPr>
              <w:t>U</w:t>
            </w:r>
            <w:r w:rsidRPr="00A33E06">
              <w:rPr>
                <w:rFonts w:ascii="Calibri" w:hAnsi="Calibri" w:cs="Calibri"/>
                <w:sz w:val="18"/>
                <w:szCs w:val="18"/>
              </w:rPr>
              <w:t>ključivanje ključnih dionika na svim razinama i javnosti u procese planiranja i provođenja planova razvoja zelene infrastrukture</w:t>
            </w:r>
          </w:p>
          <w:p w14:paraId="779A02B1"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line="264" w:lineRule="auto"/>
              <w:ind w:left="284" w:right="-2" w:hanging="284"/>
              <w:jc w:val="both"/>
              <w:rPr>
                <w:rFonts w:ascii="Calibri" w:hAnsi="Calibri" w:cs="Calibri"/>
                <w:sz w:val="18"/>
                <w:szCs w:val="18"/>
              </w:rPr>
            </w:pPr>
            <w:r>
              <w:rPr>
                <w:rFonts w:ascii="Calibri" w:hAnsi="Calibri" w:cs="Calibri"/>
                <w:sz w:val="18"/>
                <w:szCs w:val="18"/>
              </w:rPr>
              <w:t>P</w:t>
            </w:r>
            <w:r w:rsidRPr="00A33E06">
              <w:rPr>
                <w:rFonts w:ascii="Calibri" w:hAnsi="Calibri" w:cs="Calibri"/>
                <w:sz w:val="18"/>
                <w:szCs w:val="18"/>
              </w:rPr>
              <w:t>rovođenje edukativnih programa</w:t>
            </w:r>
          </w:p>
          <w:p w14:paraId="6A663723"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line="264" w:lineRule="auto"/>
              <w:ind w:left="284" w:right="-2" w:hanging="284"/>
              <w:jc w:val="both"/>
              <w:rPr>
                <w:rFonts w:ascii="Calibri" w:hAnsi="Calibri" w:cs="Calibri"/>
                <w:sz w:val="18"/>
                <w:szCs w:val="18"/>
              </w:rPr>
            </w:pPr>
            <w:r>
              <w:rPr>
                <w:rFonts w:ascii="Calibri" w:hAnsi="Calibri" w:cs="Calibri"/>
                <w:sz w:val="18"/>
                <w:szCs w:val="18"/>
              </w:rPr>
              <w:t>U</w:t>
            </w:r>
            <w:r w:rsidRPr="00A33E06">
              <w:rPr>
                <w:rFonts w:ascii="Calibri" w:hAnsi="Calibri" w:cs="Calibri"/>
                <w:sz w:val="18"/>
                <w:szCs w:val="18"/>
              </w:rPr>
              <w:t xml:space="preserve">građivanje na odgovarajući način svih sastavnica zelene infrastrukture u prostorne dokumente </w:t>
            </w:r>
          </w:p>
          <w:p w14:paraId="6E5E16D9"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line="264" w:lineRule="auto"/>
              <w:ind w:left="284" w:right="-2" w:hanging="284"/>
              <w:jc w:val="both"/>
              <w:rPr>
                <w:rFonts w:ascii="Calibri" w:hAnsi="Calibri" w:cs="Calibri"/>
                <w:sz w:val="18"/>
                <w:szCs w:val="18"/>
              </w:rPr>
            </w:pPr>
            <w:r w:rsidRPr="00A33E06">
              <w:rPr>
                <w:rFonts w:ascii="Calibri" w:hAnsi="Calibri" w:cs="Calibri"/>
                <w:sz w:val="18"/>
                <w:szCs w:val="18"/>
              </w:rPr>
              <w:t>obnova na</w:t>
            </w:r>
            <w:r>
              <w:rPr>
                <w:rFonts w:ascii="Calibri" w:hAnsi="Calibri" w:cs="Calibri"/>
                <w:sz w:val="18"/>
                <w:szCs w:val="18"/>
              </w:rPr>
              <w:t>jm</w:t>
            </w:r>
            <w:r w:rsidRPr="00A33E06">
              <w:rPr>
                <w:rFonts w:ascii="Calibri" w:hAnsi="Calibri" w:cs="Calibri"/>
                <w:sz w:val="18"/>
                <w:szCs w:val="18"/>
              </w:rPr>
              <w:t>anje 15% degradiranih ekosustava</w:t>
            </w:r>
          </w:p>
        </w:tc>
      </w:tr>
      <w:tr w:rsidR="00C5315F" w:rsidRPr="00A33E06" w14:paraId="718077C0" w14:textId="77777777" w:rsidTr="00072476">
        <w:tc>
          <w:tcPr>
            <w:tcW w:w="4361" w:type="dxa"/>
            <w:shd w:val="clear" w:color="auto" w:fill="CCCCCC"/>
          </w:tcPr>
          <w:p w14:paraId="432DF0B5" w14:textId="77777777" w:rsidR="00C5315F" w:rsidRPr="00A33E06" w:rsidRDefault="00C5315F" w:rsidP="00072476">
            <w:pPr>
              <w:spacing w:before="60" w:after="60"/>
              <w:ind w:right="70"/>
              <w:rPr>
                <w:rFonts w:eastAsia="Arial Unicode MS" w:cs="Calibri"/>
                <w:color w:val="000000"/>
                <w:sz w:val="18"/>
                <w:szCs w:val="18"/>
              </w:rPr>
            </w:pPr>
          </w:p>
        </w:tc>
        <w:tc>
          <w:tcPr>
            <w:tcW w:w="4536" w:type="dxa"/>
            <w:shd w:val="clear" w:color="auto" w:fill="99CCFF"/>
          </w:tcPr>
          <w:p w14:paraId="54781609" w14:textId="77777777" w:rsidR="00C5315F" w:rsidRPr="00A213D3" w:rsidRDefault="00C5315F" w:rsidP="00165C16">
            <w:pPr>
              <w:pStyle w:val="StandardWeb"/>
              <w:numPr>
                <w:ilvl w:val="0"/>
                <w:numId w:val="1"/>
              </w:numPr>
              <w:tabs>
                <w:tab w:val="clear" w:pos="720"/>
                <w:tab w:val="num" w:pos="284"/>
              </w:tabs>
              <w:spacing w:before="60" w:beforeAutospacing="0" w:after="60" w:afterAutospacing="0" w:line="264" w:lineRule="auto"/>
              <w:ind w:left="284" w:right="-2" w:hanging="284"/>
              <w:jc w:val="both"/>
              <w:rPr>
                <w:rFonts w:ascii="Calibri" w:hAnsi="Calibri" w:cs="Calibri"/>
                <w:sz w:val="18"/>
                <w:szCs w:val="18"/>
              </w:rPr>
            </w:pPr>
            <w:r w:rsidRPr="00A213D3">
              <w:rPr>
                <w:rFonts w:ascii="Calibri" w:hAnsi="Calibri" w:cs="Calibri"/>
                <w:sz w:val="18"/>
                <w:szCs w:val="18"/>
              </w:rPr>
              <w:t>Maksimalno koristiti dostupna bespovratna sredstva EU i/ili sredstvima drugih nacionalnih i/ili međunarodnih institucija</w:t>
            </w:r>
            <w:r w:rsidRPr="00A213D3" w:rsidDel="0084160F">
              <w:rPr>
                <w:rFonts w:ascii="Calibri" w:hAnsi="Calibri" w:cs="Calibri"/>
                <w:sz w:val="18"/>
                <w:szCs w:val="18"/>
              </w:rPr>
              <w:t xml:space="preserve"> </w:t>
            </w:r>
          </w:p>
          <w:p w14:paraId="1DF23FA6"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line="264" w:lineRule="auto"/>
              <w:ind w:left="284" w:right="-2" w:hanging="284"/>
              <w:jc w:val="both"/>
              <w:rPr>
                <w:rFonts w:ascii="Calibri" w:hAnsi="Calibri" w:cs="Calibri"/>
                <w:sz w:val="18"/>
                <w:szCs w:val="18"/>
              </w:rPr>
            </w:pPr>
            <w:r w:rsidRPr="006E0848">
              <w:rPr>
                <w:rFonts w:ascii="Calibri" w:hAnsi="Calibri" w:cs="Calibri"/>
                <w:sz w:val="18"/>
                <w:szCs w:val="18"/>
              </w:rPr>
              <w:t>Planiranje zelenih površina prilikom gradnje u većem postotku u odnosu na cjelinu koja se gradi</w:t>
            </w:r>
          </w:p>
        </w:tc>
      </w:tr>
    </w:tbl>
    <w:p w14:paraId="202D0404" w14:textId="77777777" w:rsidR="0061125B" w:rsidRDefault="0061125B" w:rsidP="00C5315F">
      <w:pPr>
        <w:rPr>
          <w:rFonts w:cs="Calibri"/>
          <w:b/>
        </w:rPr>
      </w:pPr>
    </w:p>
    <w:p w14:paraId="6C2ED88E" w14:textId="22C341DF" w:rsidR="00C5315F" w:rsidRPr="00A33E06" w:rsidRDefault="00C5315F" w:rsidP="00C45A8C">
      <w:pPr>
        <w:pStyle w:val="Stil2"/>
      </w:pPr>
      <w:bookmarkStart w:id="107" w:name="_Toc97123827"/>
      <w:r>
        <w:t>4.1</w:t>
      </w:r>
      <w:r w:rsidRPr="00A33E06">
        <w:t>.</w:t>
      </w:r>
      <w:r>
        <w:t>6</w:t>
      </w:r>
      <w:r w:rsidRPr="00A33E06">
        <w:t>. Javni gradski prostori i sadržaji</w:t>
      </w:r>
      <w:bookmarkEnd w:id="107"/>
    </w:p>
    <w:p w14:paraId="5C36C003" w14:textId="77777777" w:rsidR="00C5315F" w:rsidRPr="00A33E06" w:rsidRDefault="00C5315F" w:rsidP="00C5315F">
      <w:pPr>
        <w:spacing w:line="240" w:lineRule="auto"/>
        <w:jc w:val="both"/>
        <w:rPr>
          <w:rFonts w:cs="Calibri"/>
        </w:rPr>
      </w:pPr>
      <w:r w:rsidRPr="00A33E06">
        <w:rPr>
          <w:rFonts w:cs="Calibri"/>
        </w:rPr>
        <w:t>Grad je u značajnoj mjeri određen kvalitetom, prostornim rasporedom i dostupnošću svojih javnih prostora i sadržaja. Javni prostori su ujedno i nositelji identiteta grada, kao i brojnih kulturnih, političkih i zabavnih aktivnosti. Javne zgrade i sadržaji često su smješteni uz javne prostore te se oni po potrebi doživljavaju kao cjelina.</w:t>
      </w:r>
    </w:p>
    <w:p w14:paraId="3B7119D1" w14:textId="77777777" w:rsidR="00C5315F" w:rsidRPr="00A33E06" w:rsidRDefault="00C5315F" w:rsidP="00C5315F">
      <w:pPr>
        <w:spacing w:line="240" w:lineRule="auto"/>
        <w:jc w:val="both"/>
        <w:rPr>
          <w:rFonts w:cs="Calibri"/>
        </w:rPr>
      </w:pPr>
      <w:r w:rsidRPr="00A33E06">
        <w:rPr>
          <w:rFonts w:cs="Calibri"/>
        </w:rPr>
        <w:t xml:space="preserve">Potrebno je održavati i uređivati postojeće javne prostore, upravljati trajnim i privremenim sadržajima koji se na njima planiraju, te uz sve aktivnosti očuvati vizure i kulturno povijesni identitet tih prostora. Očuvanjem identiteta grada postiže se da se stanovnici lakše poistovjećuju sa prostorom koji ih okružuje te se pažljivije odnose prema njemu. U novoplaniranim gradskim područjima potrebno je predvidjeti adekvatne javne prostore uz planiranje kulturnih i društvenih sadržaja. Potrebno je planirati zelene površine za boravak stanovništva na zraku i za rekreaciju, te javne trgove i pješačke zone kao prostor za javni život grada. Prilikom planiranja novih naselja i stambenih sklopova često se premalo pažnje poklanja javnom zajedničkom prostoru, koji biva poddimenzioniran nauštrb parkirališta. </w:t>
      </w:r>
    </w:p>
    <w:p w14:paraId="7CF841E3" w14:textId="77777777" w:rsidR="00C5315F" w:rsidRPr="00A33E06" w:rsidRDefault="00C5315F" w:rsidP="00C5315F">
      <w:pPr>
        <w:spacing w:line="240" w:lineRule="auto"/>
        <w:jc w:val="both"/>
        <w:rPr>
          <w:rFonts w:cs="Calibri"/>
        </w:rPr>
      </w:pPr>
      <w:r w:rsidRPr="00A33E06">
        <w:rPr>
          <w:rFonts w:cs="Calibri"/>
        </w:rPr>
        <w:t xml:space="preserve">Zagreb je okružen i premrežen prirodnim bogatstvima, među kojima se prvenstveno ističu prostor Medvednice i zeleni pojas vezan uz rijeku Savu, te njihovi prodori u urbano tkivo grada, te je i njih potrebno tretirati kao dio mreže javnih prostora, uz uređenje parkova i zaštitu od njihove devastacije i neprimjerenog korištenja. Zagreb je značajno određen i urbanim, uređenim zelenim površinama, koji su tradicionalno sastavni dio povijesne urbane matrice, kao što su Lenucijeva potkova, Svačićev trg, Rooseveltov trg, Park kralja Petra Krešimira IV, Trg </w:t>
      </w:r>
      <w:r>
        <w:rPr>
          <w:rFonts w:cs="Calibri"/>
        </w:rPr>
        <w:t>F</w:t>
      </w:r>
      <w:r w:rsidRPr="00A33E06">
        <w:rPr>
          <w:rFonts w:cs="Calibri"/>
        </w:rPr>
        <w:t>rancuske republike i drugi, te planiranim parkovima kasnijeg datuma, kao što je Park mladenaca, park u Selskoj i drugi.</w:t>
      </w:r>
    </w:p>
    <w:tbl>
      <w:tblPr>
        <w:tblW w:w="0" w:type="auto"/>
        <w:shd w:val="clear" w:color="auto" w:fill="CCCCCC"/>
        <w:tblLook w:val="01E0" w:firstRow="1" w:lastRow="1" w:firstColumn="1" w:lastColumn="1" w:noHBand="0" w:noVBand="0"/>
      </w:tblPr>
      <w:tblGrid>
        <w:gridCol w:w="4543"/>
        <w:gridCol w:w="4529"/>
      </w:tblGrid>
      <w:tr w:rsidR="00C5315F" w:rsidRPr="00A33E06" w14:paraId="7CA73256" w14:textId="77777777" w:rsidTr="00072476">
        <w:tc>
          <w:tcPr>
            <w:tcW w:w="4644" w:type="dxa"/>
            <w:shd w:val="clear" w:color="auto" w:fill="CCCCCC"/>
          </w:tcPr>
          <w:p w14:paraId="5B048EEF" w14:textId="77777777" w:rsidR="00C5315F" w:rsidRPr="00A33E06" w:rsidRDefault="00C5315F" w:rsidP="00072476">
            <w:pPr>
              <w:pStyle w:val="StandardWeb"/>
              <w:spacing w:before="60" w:beforeAutospacing="0" w:after="0" w:afterAutospacing="0" w:line="360" w:lineRule="auto"/>
              <w:rPr>
                <w:rFonts w:ascii="Calibri" w:hAnsi="Calibri" w:cs="Calibri"/>
                <w:b/>
                <w:sz w:val="18"/>
                <w:szCs w:val="18"/>
              </w:rPr>
            </w:pPr>
            <w:r w:rsidRPr="00A33E06">
              <w:rPr>
                <w:rFonts w:ascii="Calibri" w:hAnsi="Calibri" w:cs="Calibri"/>
                <w:b/>
                <w:sz w:val="18"/>
                <w:szCs w:val="18"/>
              </w:rPr>
              <w:t xml:space="preserve">RAZVOJNI PROBLEMI </w:t>
            </w:r>
          </w:p>
        </w:tc>
        <w:tc>
          <w:tcPr>
            <w:tcW w:w="4644" w:type="dxa"/>
            <w:shd w:val="clear" w:color="auto" w:fill="99CCFF"/>
          </w:tcPr>
          <w:p w14:paraId="58EC4F33" w14:textId="77777777" w:rsidR="00C5315F" w:rsidRPr="00A33E06" w:rsidRDefault="00C5315F" w:rsidP="00072476">
            <w:pPr>
              <w:pStyle w:val="StandardWeb"/>
              <w:spacing w:before="60" w:beforeAutospacing="0" w:after="0" w:afterAutospacing="0" w:line="360" w:lineRule="auto"/>
              <w:rPr>
                <w:rFonts w:ascii="Calibri" w:hAnsi="Calibri" w:cs="Calibri"/>
                <w:b/>
                <w:sz w:val="18"/>
                <w:szCs w:val="18"/>
              </w:rPr>
            </w:pPr>
            <w:r w:rsidRPr="00A33E06">
              <w:rPr>
                <w:rFonts w:ascii="Calibri" w:hAnsi="Calibri" w:cs="Calibri"/>
                <w:b/>
                <w:sz w:val="18"/>
                <w:szCs w:val="18"/>
              </w:rPr>
              <w:t>RAZVOJNE POTREBE</w:t>
            </w:r>
          </w:p>
        </w:tc>
      </w:tr>
      <w:tr w:rsidR="00C5315F" w:rsidRPr="00A33E06" w14:paraId="01D44EAF" w14:textId="77777777" w:rsidTr="00072476">
        <w:tc>
          <w:tcPr>
            <w:tcW w:w="4644" w:type="dxa"/>
            <w:shd w:val="clear" w:color="auto" w:fill="CCCCCC"/>
          </w:tcPr>
          <w:p w14:paraId="35431324"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Neumjerena komercijalizacija javnih prostora, posebno u gradskom središtu- terase kafića, šatori i slično</w:t>
            </w:r>
          </w:p>
          <w:p w14:paraId="69421654"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Artificijelni i monofunkcionalni prostori trgovačkih centara zamjenjuju gradske polifunkcionalne javne prostore</w:t>
            </w:r>
          </w:p>
          <w:p w14:paraId="275F94F2"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Zapuštenost i devastacija javnih prostora</w:t>
            </w:r>
          </w:p>
          <w:p w14:paraId="18E1C821"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Neuređene i devastirane javne zelene površine</w:t>
            </w:r>
          </w:p>
        </w:tc>
        <w:tc>
          <w:tcPr>
            <w:tcW w:w="4644" w:type="dxa"/>
            <w:shd w:val="clear" w:color="auto" w:fill="99CCFF"/>
          </w:tcPr>
          <w:p w14:paraId="28C76704"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Osigurati da se u planiranju novih gradskih područja predvidi dovoljno javnih površina, te da se njihovo uređenje vremenski isplanira simultano sa izgradnjom sadržaja osnovne namjene</w:t>
            </w:r>
          </w:p>
          <w:p w14:paraId="04C7D3CE"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Čuvati identitet povijesnih i centralnih gradskih javnih protora adekvatnim upravljanjem</w:t>
            </w:r>
          </w:p>
          <w:p w14:paraId="01154707"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Oživiti centralne gradske javne zone širenjem pješačkih zona i programima aktiviranja praznih lokala</w:t>
            </w:r>
          </w:p>
          <w:p w14:paraId="28528C12" w14:textId="77777777" w:rsidR="00C5315F" w:rsidRPr="00A33E06" w:rsidRDefault="00C5315F" w:rsidP="00165C16">
            <w:pPr>
              <w:pStyle w:val="StandardWeb"/>
              <w:numPr>
                <w:ilvl w:val="0"/>
                <w:numId w:val="1"/>
              </w:numPr>
              <w:tabs>
                <w:tab w:val="clear" w:pos="720"/>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Podržati lokalne inicijative za oživljavanje javnih prostora programima malih komunalnih akcija i drugim aktivnostima</w:t>
            </w:r>
          </w:p>
        </w:tc>
      </w:tr>
    </w:tbl>
    <w:p w14:paraId="5EEB48C5" w14:textId="77777777" w:rsidR="00710303" w:rsidRDefault="00710303" w:rsidP="00C45A8C">
      <w:pPr>
        <w:pStyle w:val="Stil2"/>
      </w:pPr>
      <w:bookmarkStart w:id="108" w:name="_Toc97123828"/>
    </w:p>
    <w:p w14:paraId="1D6A79B1" w14:textId="5AADF70B" w:rsidR="00C5315F" w:rsidRDefault="00C5315F" w:rsidP="00C45A8C">
      <w:pPr>
        <w:pStyle w:val="Stil2"/>
      </w:pPr>
      <w:r>
        <w:t>4</w:t>
      </w:r>
      <w:r w:rsidRPr="00A33E06">
        <w:t>.</w:t>
      </w:r>
      <w:r>
        <w:t>2</w:t>
      </w:r>
      <w:r w:rsidRPr="00A33E06">
        <w:t>.KOMUNALNA INFRASTRUKTURA</w:t>
      </w:r>
      <w:bookmarkEnd w:id="108"/>
      <w:r>
        <w:t xml:space="preserve"> </w:t>
      </w:r>
    </w:p>
    <w:p w14:paraId="18CB2D21" w14:textId="2C49E9E2" w:rsidR="00C5315F" w:rsidRDefault="00C5315F" w:rsidP="00C45A8C">
      <w:pPr>
        <w:pStyle w:val="Stil2"/>
      </w:pPr>
      <w:bookmarkStart w:id="109" w:name="_Toc97123829"/>
      <w:r>
        <w:t>4</w:t>
      </w:r>
      <w:r w:rsidRPr="00A33E06">
        <w:t>.</w:t>
      </w:r>
      <w:r>
        <w:t>2</w:t>
      </w:r>
      <w:r w:rsidRPr="00A33E06">
        <w:t xml:space="preserve">.1. </w:t>
      </w:r>
      <w:r>
        <w:t>Odvoz i odlaganje otpada</w:t>
      </w:r>
      <w:bookmarkEnd w:id="109"/>
    </w:p>
    <w:p w14:paraId="458F1CCF" w14:textId="77777777" w:rsidR="00C5315F" w:rsidRDefault="00C5315F" w:rsidP="00C5315F">
      <w:pPr>
        <w:pStyle w:val="Bezproreda"/>
        <w:jc w:val="both"/>
        <w:rPr>
          <w:rFonts w:cs="Calibri"/>
        </w:rPr>
      </w:pPr>
      <w:r w:rsidRPr="00D771AD">
        <w:rPr>
          <w:rFonts w:cs="Calibri"/>
          <w:b/>
          <w:bCs/>
          <w:lang w:eastAsia="hr-HR"/>
        </w:rPr>
        <w:t>Prikupljanje i odvoz otpada.</w:t>
      </w:r>
      <w:r>
        <w:rPr>
          <w:rFonts w:cs="Calibri"/>
          <w:lang w:eastAsia="hr-HR"/>
        </w:rPr>
        <w:t xml:space="preserve"> </w:t>
      </w:r>
      <w:r w:rsidRPr="00A33E06">
        <w:rPr>
          <w:rFonts w:cs="Calibri"/>
          <w:lang w:eastAsia="hr-HR"/>
        </w:rPr>
        <w:t xml:space="preserve">Podružnica Čistoća pruža javnu uslugu prikupljanja miješanog komunalnog otpada i odvojenog prikupljanja otpadnog papira, metala, stakla, plastike, tekstila, biootpada te glomaznog komunalnog otpada na području </w:t>
      </w:r>
      <w:r>
        <w:rPr>
          <w:rFonts w:cs="Calibri"/>
          <w:lang w:eastAsia="hr-HR"/>
        </w:rPr>
        <w:t>G</w:t>
      </w:r>
      <w:r w:rsidRPr="00A33E06">
        <w:rPr>
          <w:rFonts w:cs="Calibri"/>
          <w:lang w:eastAsia="hr-HR"/>
        </w:rPr>
        <w:t xml:space="preserve">rada Zagreba. </w:t>
      </w:r>
      <w:r>
        <w:rPr>
          <w:rFonts w:cs="Calibri"/>
        </w:rPr>
        <w:t>Pokrivenost gradskog područja</w:t>
      </w:r>
      <w:r w:rsidRPr="00A33E06">
        <w:rPr>
          <w:rFonts w:cs="Calibri"/>
        </w:rPr>
        <w:t xml:space="preserve"> javn</w:t>
      </w:r>
      <w:r>
        <w:rPr>
          <w:rFonts w:cs="Calibri"/>
        </w:rPr>
        <w:t xml:space="preserve">om uslugom skupljanja otpada iznosi 100% (Izvor: Izvješće o radu davatelja javne usluge za 2019.). </w:t>
      </w:r>
      <w:r w:rsidRPr="00A33E06">
        <w:rPr>
          <w:rFonts w:cs="Calibri"/>
          <w:lang w:eastAsia="hr-HR"/>
        </w:rPr>
        <w:t xml:space="preserve">Usluga obuhvaća </w:t>
      </w:r>
      <w:r w:rsidRPr="006E0848">
        <w:rPr>
          <w:rFonts w:cs="Calibri"/>
        </w:rPr>
        <w:t>365.862</w:t>
      </w:r>
      <w:r>
        <w:rPr>
          <w:rFonts w:ascii="Arial" w:hAnsi="Arial" w:cs="Arial"/>
        </w:rPr>
        <w:t xml:space="preserve"> </w:t>
      </w:r>
      <w:r w:rsidRPr="00A33E06">
        <w:rPr>
          <w:rFonts w:cs="Calibri"/>
          <w:lang w:eastAsia="hr-HR"/>
        </w:rPr>
        <w:t xml:space="preserve">kućanstava na području Grada. </w:t>
      </w:r>
      <w:r w:rsidRPr="0025012A">
        <w:rPr>
          <w:rFonts w:cs="Calibri"/>
          <w:lang w:eastAsia="hr-HR"/>
        </w:rPr>
        <w:t xml:space="preserve">Odvoz miješanog komunalnog otpada organiziran je u 264 programa, od čega se s 259 programa (98%) otpad skuplja putem posuda zapremine 80, 120 i/ili 240 litara te spremnicima zapremine 1100 litara, a s preostalih 5 (2%) programa otpad se skuplja putem vrećica. Čistoća raspolaže s </w:t>
      </w:r>
      <w:r>
        <w:rPr>
          <w:rFonts w:cs="Calibri"/>
          <w:lang w:eastAsia="hr-HR"/>
        </w:rPr>
        <w:t>342</w:t>
      </w:r>
      <w:r w:rsidRPr="0025012A">
        <w:rPr>
          <w:rFonts w:cs="Calibri"/>
          <w:lang w:eastAsia="hr-HR"/>
        </w:rPr>
        <w:t xml:space="preserve"> specijaln</w:t>
      </w:r>
      <w:r>
        <w:rPr>
          <w:rFonts w:cs="Calibri"/>
          <w:lang w:eastAsia="hr-HR"/>
        </w:rPr>
        <w:t>a</w:t>
      </w:r>
      <w:r w:rsidRPr="0025012A">
        <w:rPr>
          <w:rFonts w:cs="Calibri"/>
          <w:lang w:eastAsia="hr-HR"/>
        </w:rPr>
        <w:t xml:space="preserve"> vozila namijenjen</w:t>
      </w:r>
      <w:r>
        <w:rPr>
          <w:rFonts w:cs="Calibri"/>
          <w:lang w:eastAsia="hr-HR"/>
        </w:rPr>
        <w:t>a</w:t>
      </w:r>
      <w:r w:rsidRPr="0025012A">
        <w:rPr>
          <w:rFonts w:cs="Calibri"/>
          <w:lang w:eastAsia="hr-HR"/>
        </w:rPr>
        <w:t xml:space="preserve"> čišćenju, pranju, skupljanju i odvozu otpada. </w:t>
      </w:r>
      <w:r>
        <w:rPr>
          <w:rFonts w:cs="Calibri"/>
          <w:lang w:eastAsia="hr-HR"/>
        </w:rPr>
        <w:t xml:space="preserve">U svrhu podjele i provođenja </w:t>
      </w:r>
      <w:r w:rsidRPr="0025012A">
        <w:rPr>
          <w:rFonts w:cs="Calibri"/>
          <w:lang w:eastAsia="hr-HR"/>
        </w:rPr>
        <w:t xml:space="preserve"> uslug</w:t>
      </w:r>
      <w:r>
        <w:rPr>
          <w:rFonts w:cs="Calibri"/>
          <w:lang w:eastAsia="hr-HR"/>
        </w:rPr>
        <w:t>e</w:t>
      </w:r>
      <w:r w:rsidRPr="0025012A">
        <w:rPr>
          <w:rFonts w:cs="Calibri"/>
          <w:lang w:eastAsia="hr-HR"/>
        </w:rPr>
        <w:t xml:space="preserve"> pražnjenja spremnika te modernizaciju voznog parka neophod</w:t>
      </w:r>
      <w:r>
        <w:rPr>
          <w:rFonts w:cs="Calibri"/>
          <w:lang w:eastAsia="hr-HR"/>
        </w:rPr>
        <w:t>an</w:t>
      </w:r>
      <w:r w:rsidRPr="0025012A">
        <w:rPr>
          <w:rFonts w:cs="Calibri"/>
          <w:lang w:eastAsia="hr-HR"/>
        </w:rPr>
        <w:t xml:space="preserve"> je  </w:t>
      </w:r>
      <w:r>
        <w:rPr>
          <w:rFonts w:cs="Calibri"/>
          <w:lang w:eastAsia="hr-HR"/>
        </w:rPr>
        <w:t xml:space="preserve">nastavak </w:t>
      </w:r>
      <w:r w:rsidRPr="0025012A">
        <w:rPr>
          <w:rFonts w:cs="Calibri"/>
          <w:lang w:eastAsia="hr-HR"/>
        </w:rPr>
        <w:t>nabav</w:t>
      </w:r>
      <w:r>
        <w:rPr>
          <w:rFonts w:cs="Calibri"/>
          <w:lang w:eastAsia="hr-HR"/>
        </w:rPr>
        <w:t>e</w:t>
      </w:r>
      <w:r w:rsidRPr="0025012A">
        <w:rPr>
          <w:rFonts w:cs="Calibri"/>
          <w:lang w:eastAsia="hr-HR"/>
        </w:rPr>
        <w:t xml:space="preserve"> novih specijalnih vozila (tzv. </w:t>
      </w:r>
      <w:r>
        <w:rPr>
          <w:rFonts w:cs="Calibri"/>
          <w:lang w:eastAsia="hr-HR"/>
        </w:rPr>
        <w:t>s</w:t>
      </w:r>
      <w:r w:rsidRPr="0025012A">
        <w:rPr>
          <w:rFonts w:cs="Calibri"/>
          <w:lang w:eastAsia="hr-HR"/>
        </w:rPr>
        <w:t>mećara, grajfera, kipera, cestara, vozila za pranje</w:t>
      </w:r>
      <w:r>
        <w:rPr>
          <w:rFonts w:cs="Calibri"/>
          <w:lang w:eastAsia="hr-HR"/>
        </w:rPr>
        <w:t xml:space="preserve"> i dr.</w:t>
      </w:r>
      <w:r w:rsidRPr="0025012A">
        <w:rPr>
          <w:rFonts w:cs="Calibri"/>
          <w:lang w:eastAsia="hr-HR"/>
        </w:rPr>
        <w:t>) kako korisnicima koji još uvijek miješani komunalni otpad skupljaju putem PVC vrećica, tako i za podjelu i pražnjenje individualnih spremnika kućanstvima za odvojeno skupljanje otpada, postavljanje i pražnjenje spremnika za odvojeno skupljanje otpada na javnim površinama te čišćenje i pranja javno prometnih površina.</w:t>
      </w:r>
      <w:r>
        <w:rPr>
          <w:rFonts w:cs="Calibri"/>
          <w:lang w:eastAsia="hr-HR"/>
        </w:rPr>
        <w:t xml:space="preserve"> Cilj svih budućih aktivnosti ide u smjeru </w:t>
      </w:r>
      <w:r w:rsidRPr="00A33E06">
        <w:rPr>
          <w:rFonts w:cs="Calibri"/>
        </w:rPr>
        <w:t>smanj</w:t>
      </w:r>
      <w:r>
        <w:rPr>
          <w:rFonts w:cs="Calibri"/>
        </w:rPr>
        <w:t>enja</w:t>
      </w:r>
      <w:r w:rsidRPr="00A33E06">
        <w:rPr>
          <w:rFonts w:cs="Calibri"/>
        </w:rPr>
        <w:t xml:space="preserve"> količin</w:t>
      </w:r>
      <w:r>
        <w:rPr>
          <w:rFonts w:cs="Calibri"/>
        </w:rPr>
        <w:t>e</w:t>
      </w:r>
      <w:r w:rsidRPr="00A33E06">
        <w:rPr>
          <w:rFonts w:cs="Calibri"/>
        </w:rPr>
        <w:t xml:space="preserve"> otpada koji se odlaže na odlagalište uz istovremeno povećanje stope recikliranja.</w:t>
      </w:r>
    </w:p>
    <w:p w14:paraId="66EEF5B9" w14:textId="77777777" w:rsidR="0061125B" w:rsidRDefault="0061125B" w:rsidP="00C5315F">
      <w:pPr>
        <w:spacing w:line="240" w:lineRule="auto"/>
        <w:jc w:val="both"/>
        <w:rPr>
          <w:rFonts w:cs="Calibri"/>
          <w:b/>
        </w:rPr>
      </w:pPr>
    </w:p>
    <w:p w14:paraId="2826B907" w14:textId="79FFD72E" w:rsidR="00C5315F" w:rsidRPr="00D771AD" w:rsidRDefault="00C5315F" w:rsidP="00C5315F">
      <w:pPr>
        <w:spacing w:line="240" w:lineRule="auto"/>
        <w:jc w:val="both"/>
        <w:rPr>
          <w:rFonts w:cs="Calibri"/>
          <w:b/>
        </w:rPr>
      </w:pPr>
      <w:r w:rsidRPr="00D771AD">
        <w:rPr>
          <w:rFonts w:cs="Calibri"/>
          <w:b/>
        </w:rPr>
        <w:t>Odlaganje otpada</w:t>
      </w:r>
      <w:r>
        <w:rPr>
          <w:rFonts w:cs="Calibri"/>
          <w:b/>
        </w:rPr>
        <w:t xml:space="preserve">. </w:t>
      </w:r>
      <w:r w:rsidRPr="00A33E06">
        <w:rPr>
          <w:rFonts w:cs="Calibri"/>
        </w:rPr>
        <w:t>Briga o odlaganju i sanaciji zagrebačkog odlagališta komunalnog otpada Prudinec u Jakuševcu i vođenje pogona Odlagališta povjerena je podružnici ZGOS.</w:t>
      </w:r>
      <w:r>
        <w:rPr>
          <w:rFonts w:cs="Calibri"/>
        </w:rPr>
        <w:t xml:space="preserve"> </w:t>
      </w:r>
      <w:r w:rsidRPr="00A33E06">
        <w:rPr>
          <w:rFonts w:cs="Calibri"/>
        </w:rPr>
        <w:t xml:space="preserve">Na odlagalište Jakuševec se dnevno dopremi približno </w:t>
      </w:r>
      <w:r w:rsidRPr="009445FC">
        <w:rPr>
          <w:rFonts w:cs="Calibri"/>
        </w:rPr>
        <w:t>621 t</w:t>
      </w:r>
      <w:r w:rsidRPr="00A33E06">
        <w:rPr>
          <w:rFonts w:cs="Calibri"/>
        </w:rPr>
        <w:t xml:space="preserve">ona neopasnog otpada, što godišnje čini masu od oko </w:t>
      </w:r>
      <w:r>
        <w:rPr>
          <w:rFonts w:cs="Calibri"/>
        </w:rPr>
        <w:t xml:space="preserve">227.000 </w:t>
      </w:r>
      <w:r w:rsidRPr="00A33E06">
        <w:rPr>
          <w:rFonts w:cs="Calibri"/>
        </w:rPr>
        <w:t>tona. Nakon ugradnje otpad se prekriva svakodnevno slojem zemljanog materijala u debljini od</w:t>
      </w:r>
      <w:r>
        <w:rPr>
          <w:rFonts w:cs="Calibri"/>
        </w:rPr>
        <w:t xml:space="preserve"> 20</w:t>
      </w:r>
      <w:r w:rsidRPr="00A33E06">
        <w:rPr>
          <w:rFonts w:cs="Calibri"/>
        </w:rPr>
        <w:t xml:space="preserve"> cm. </w:t>
      </w:r>
    </w:p>
    <w:p w14:paraId="70950E0B" w14:textId="77777777" w:rsidR="00C5315F" w:rsidRDefault="00C5315F" w:rsidP="00C5315F">
      <w:pPr>
        <w:spacing w:after="0" w:line="240" w:lineRule="auto"/>
        <w:jc w:val="both"/>
        <w:rPr>
          <w:rFonts w:cs="Calibri"/>
        </w:rPr>
      </w:pPr>
      <w:r w:rsidRPr="006E0848">
        <w:rPr>
          <w:lang w:val="en"/>
        </w:rPr>
        <w:t>Sukladno Prostornom Planu Grada Zagreba, odlaganje neopasnog otpada na sanacijom pripremljenu površinu odlagališta Prudinec predviđeno je do završetka gradnje sukladno građevnoj dozvoli. Neopasan otpad će se odlagati na uređenom dijelu odlagališta Prudinec, na način koji će omogućiti uređivanje ove površine u skladu s namjenom određenom GUP-om grada Zagreba, odnosno drugim prostornim planom niže razine.</w:t>
      </w:r>
      <w:r>
        <w:rPr>
          <w:lang w:val="en"/>
        </w:rPr>
        <w:t xml:space="preserve"> </w:t>
      </w:r>
      <w:r w:rsidRPr="00A33E06">
        <w:rPr>
          <w:rFonts w:cs="Calibri"/>
        </w:rPr>
        <w:t>Površina koju će zauzeti odložen otpad, nakon zatvaranja odlagališta tj. nakon iskorištenja svih kapaciteta iznosit će oko 54 ha. Projektirana visina Odlagališta je 45 m. Održavanje svih povezanih podsustava obavlja se kontinuirano, u skladu s projektom i potrebama Odlagališta.</w:t>
      </w:r>
    </w:p>
    <w:p w14:paraId="2148A74C" w14:textId="77777777" w:rsidR="00C5315F" w:rsidRPr="00A33E06" w:rsidRDefault="00C5315F" w:rsidP="00C5315F">
      <w:pPr>
        <w:spacing w:after="0" w:line="240" w:lineRule="auto"/>
        <w:jc w:val="both"/>
        <w:rPr>
          <w:rFonts w:cs="Calibri"/>
        </w:rPr>
      </w:pPr>
    </w:p>
    <w:tbl>
      <w:tblPr>
        <w:tblW w:w="0" w:type="auto"/>
        <w:tblInd w:w="108" w:type="dxa"/>
        <w:tblLook w:val="01E0" w:firstRow="1" w:lastRow="1" w:firstColumn="1" w:lastColumn="1" w:noHBand="0" w:noVBand="0"/>
      </w:tblPr>
      <w:tblGrid>
        <w:gridCol w:w="4489"/>
        <w:gridCol w:w="4475"/>
      </w:tblGrid>
      <w:tr w:rsidR="00C5315F" w:rsidRPr="00A33E06" w14:paraId="397E582D" w14:textId="77777777" w:rsidTr="00072476">
        <w:tc>
          <w:tcPr>
            <w:tcW w:w="4607" w:type="dxa"/>
            <w:shd w:val="clear" w:color="auto" w:fill="D9D9D9"/>
          </w:tcPr>
          <w:p w14:paraId="7B46C647"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571" w:type="dxa"/>
            <w:shd w:val="clear" w:color="auto" w:fill="99CCFF"/>
          </w:tcPr>
          <w:p w14:paraId="6531906B"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RAZVOJNE POTREBE </w:t>
            </w:r>
          </w:p>
        </w:tc>
      </w:tr>
      <w:tr w:rsidR="00C5315F" w:rsidRPr="00A33E06" w14:paraId="54A8D080" w14:textId="77777777" w:rsidTr="00072476">
        <w:tc>
          <w:tcPr>
            <w:tcW w:w="4607" w:type="dxa"/>
            <w:shd w:val="clear" w:color="auto" w:fill="D9D9D9"/>
          </w:tcPr>
          <w:p w14:paraId="3F098120"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Odlaganje neobrađenog otpada </w:t>
            </w:r>
          </w:p>
          <w:p w14:paraId="6AAB8D1A"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Neugodni mirisi odlagališta (veliki udio biološki lako razgradive komponente),</w:t>
            </w:r>
          </w:p>
          <w:p w14:paraId="52510E8A"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Neugodni mirisi iz Kompostane</w:t>
            </w:r>
          </w:p>
          <w:p w14:paraId="0AA793C9" w14:textId="77777777" w:rsidR="00C5315F" w:rsidRPr="005B40E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5B40E6">
              <w:rPr>
                <w:rFonts w:ascii="Calibri" w:hAnsi="Calibri" w:cs="Calibri"/>
                <w:sz w:val="18"/>
                <w:szCs w:val="18"/>
              </w:rPr>
              <w:t>Sustav odvodnje oborinskih voda – tehnički poboljšati odvodnju oborinske vode iz tijela odlagališta i ostalih podsustava,</w:t>
            </w:r>
          </w:p>
          <w:p w14:paraId="59DD3CB7"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Slijeganje odlagališta – potrebno pratiti i po potrebi provesti sanacijske radove (sustav otplinjavanja i odvodnja) zbog slijeganja</w:t>
            </w:r>
          </w:p>
        </w:tc>
        <w:tc>
          <w:tcPr>
            <w:tcW w:w="4571" w:type="dxa"/>
            <w:shd w:val="clear" w:color="auto" w:fill="99CCFF"/>
          </w:tcPr>
          <w:p w14:paraId="176F2940" w14:textId="77777777" w:rsidR="00C5315F" w:rsidRDefault="00C5315F" w:rsidP="00165C16">
            <w:pPr>
              <w:pStyle w:val="StandardWeb"/>
              <w:numPr>
                <w:ilvl w:val="0"/>
                <w:numId w:val="2"/>
              </w:numPr>
              <w:spacing w:before="60" w:beforeAutospacing="0" w:after="60" w:afterAutospacing="0"/>
              <w:ind w:right="-2"/>
              <w:rPr>
                <w:rFonts w:ascii="Calibri" w:hAnsi="Calibri" w:cs="Calibri"/>
                <w:sz w:val="18"/>
                <w:szCs w:val="18"/>
              </w:rPr>
            </w:pPr>
            <w:r>
              <w:rPr>
                <w:rFonts w:ascii="Calibri" w:hAnsi="Calibri" w:cs="Calibri"/>
                <w:sz w:val="18"/>
                <w:szCs w:val="18"/>
              </w:rPr>
              <w:t>dovršiti projekt sanacije odlagališta Prudinec</w:t>
            </w:r>
          </w:p>
          <w:p w14:paraId="51E90BCC" w14:textId="4798C137" w:rsidR="00C5315F" w:rsidRDefault="00C5315F" w:rsidP="00165C16">
            <w:pPr>
              <w:numPr>
                <w:ilvl w:val="0"/>
                <w:numId w:val="2"/>
              </w:numPr>
              <w:spacing w:before="60" w:after="60" w:line="240" w:lineRule="auto"/>
              <w:ind w:right="-2"/>
              <w:rPr>
                <w:rFonts w:eastAsia="Times New Roman" w:cs="Calibri"/>
                <w:sz w:val="18"/>
                <w:szCs w:val="18"/>
              </w:rPr>
            </w:pPr>
            <w:r w:rsidRPr="0025012A">
              <w:rPr>
                <w:rFonts w:eastAsia="Times New Roman" w:cs="Calibri"/>
                <w:sz w:val="18"/>
                <w:szCs w:val="18"/>
              </w:rPr>
              <w:t>osigurati da se kontinuirano smanjuje količina otpada koji se odlaže te smanjiti komponentu biootpada koji završava na odlagalištu</w:t>
            </w:r>
          </w:p>
          <w:p w14:paraId="4A394920" w14:textId="74CCE923" w:rsidR="00C84837" w:rsidRPr="00C84837" w:rsidRDefault="00751C19" w:rsidP="00165C16">
            <w:pPr>
              <w:numPr>
                <w:ilvl w:val="0"/>
                <w:numId w:val="2"/>
              </w:numPr>
              <w:spacing w:before="60" w:after="60" w:line="240" w:lineRule="auto"/>
              <w:ind w:right="-2"/>
              <w:rPr>
                <w:rFonts w:eastAsia="Times New Roman" w:cs="Calibri"/>
                <w:sz w:val="18"/>
                <w:szCs w:val="18"/>
              </w:rPr>
            </w:pPr>
            <w:sdt>
              <w:sdtPr>
                <w:tag w:val="goog_rdk_17"/>
                <w:id w:val="-1409845126"/>
              </w:sdtPr>
              <w:sdtEndPr/>
              <w:sdtContent>
                <w:r w:rsidR="00C84837">
                  <w:rPr>
                    <w:sz w:val="18"/>
                    <w:szCs w:val="18"/>
                  </w:rPr>
                  <w:t>osigurati naplatu odvoza komunalnog otpada sukladno količini miješanog otpada</w:t>
                </w:r>
              </w:sdtContent>
            </w:sdt>
          </w:p>
          <w:p w14:paraId="7418E710" w14:textId="5123139C" w:rsidR="00C84837" w:rsidRPr="002228D3" w:rsidRDefault="00751C19" w:rsidP="0098090A">
            <w:pPr>
              <w:numPr>
                <w:ilvl w:val="0"/>
                <w:numId w:val="2"/>
              </w:numPr>
              <w:spacing w:before="60" w:after="60" w:line="240" w:lineRule="auto"/>
              <w:ind w:right="-2"/>
              <w:rPr>
                <w:rFonts w:eastAsia="Times New Roman" w:cs="Calibri"/>
                <w:sz w:val="18"/>
                <w:szCs w:val="18"/>
              </w:rPr>
            </w:pPr>
            <w:sdt>
              <w:sdtPr>
                <w:tag w:val="goog_rdk_19"/>
                <w:id w:val="-334689406"/>
              </w:sdtPr>
              <w:sdtEndPr/>
              <w:sdtContent>
                <w:r w:rsidR="00C84837" w:rsidRPr="002228D3">
                  <w:rPr>
                    <w:sz w:val="18"/>
                    <w:szCs w:val="18"/>
                  </w:rPr>
                  <w:t>povećati infrastrukturne, stručne i druge kapacitete gradskih tvrtki koje sudjeluju u gospodarenju otpadom</w:t>
                </w:r>
              </w:sdtContent>
            </w:sdt>
          </w:p>
          <w:p w14:paraId="7476853F" w14:textId="77777777" w:rsidR="00C5315F" w:rsidRDefault="00C5315F" w:rsidP="00165C16">
            <w:pPr>
              <w:numPr>
                <w:ilvl w:val="0"/>
                <w:numId w:val="2"/>
              </w:numPr>
              <w:spacing w:before="60" w:after="60" w:line="240" w:lineRule="auto"/>
              <w:ind w:right="-2"/>
              <w:rPr>
                <w:rFonts w:eastAsia="Times New Roman" w:cs="Calibri"/>
                <w:sz w:val="18"/>
                <w:szCs w:val="18"/>
              </w:rPr>
            </w:pPr>
            <w:r>
              <w:rPr>
                <w:rFonts w:eastAsia="Times New Roman" w:cs="Calibri"/>
                <w:sz w:val="18"/>
                <w:szCs w:val="18"/>
              </w:rPr>
              <w:t>unaprijediti sustav otplinjavanja i proizvodnje električne energije</w:t>
            </w:r>
          </w:p>
          <w:p w14:paraId="01E2B08F" w14:textId="77777777" w:rsidR="00C5315F" w:rsidRDefault="00C5315F" w:rsidP="00165C16">
            <w:pPr>
              <w:numPr>
                <w:ilvl w:val="0"/>
                <w:numId w:val="2"/>
              </w:numPr>
              <w:spacing w:before="60" w:after="60" w:line="240" w:lineRule="auto"/>
              <w:ind w:right="-2"/>
              <w:rPr>
                <w:rFonts w:eastAsia="Times New Roman" w:cs="Calibri"/>
                <w:sz w:val="18"/>
                <w:szCs w:val="18"/>
              </w:rPr>
            </w:pPr>
            <w:r>
              <w:rPr>
                <w:rFonts w:eastAsia="Times New Roman" w:cs="Calibri"/>
                <w:sz w:val="18"/>
                <w:szCs w:val="18"/>
              </w:rPr>
              <w:t>Kontinuirano pratiti stanje tijela odlagališta i poduzimate sve mjere za stabilnost građevine i funkcionalnost svih podsustava</w:t>
            </w:r>
          </w:p>
          <w:p w14:paraId="709C1C5D" w14:textId="77777777" w:rsidR="00C5315F" w:rsidRDefault="00C5315F" w:rsidP="00165C16">
            <w:pPr>
              <w:numPr>
                <w:ilvl w:val="0"/>
                <w:numId w:val="2"/>
              </w:numPr>
              <w:spacing w:before="60" w:after="60" w:line="240" w:lineRule="auto"/>
              <w:ind w:right="-2"/>
              <w:rPr>
                <w:rFonts w:eastAsia="Times New Roman" w:cs="Calibri"/>
                <w:sz w:val="18"/>
                <w:szCs w:val="18"/>
              </w:rPr>
            </w:pPr>
            <w:r>
              <w:rPr>
                <w:rFonts w:eastAsia="Times New Roman" w:cs="Calibri"/>
                <w:sz w:val="18"/>
                <w:szCs w:val="18"/>
              </w:rPr>
              <w:t>poboljšati stanje kontejnerskog naselja – osposobiti za prihvat posjetitelja, edukacije i prezentacije</w:t>
            </w:r>
          </w:p>
          <w:p w14:paraId="2FF90164" w14:textId="77777777" w:rsidR="00C5315F" w:rsidRDefault="00C5315F" w:rsidP="00165C16">
            <w:pPr>
              <w:numPr>
                <w:ilvl w:val="0"/>
                <w:numId w:val="2"/>
              </w:numPr>
              <w:spacing w:before="60" w:after="60" w:line="240" w:lineRule="auto"/>
              <w:ind w:right="-2"/>
              <w:rPr>
                <w:rFonts w:eastAsia="Times New Roman" w:cs="Calibri"/>
                <w:sz w:val="18"/>
                <w:szCs w:val="18"/>
              </w:rPr>
            </w:pPr>
            <w:r>
              <w:rPr>
                <w:rFonts w:eastAsia="Times New Roman" w:cs="Calibri"/>
                <w:sz w:val="18"/>
                <w:szCs w:val="18"/>
              </w:rPr>
              <w:t xml:space="preserve">kontinuirana edukacija korisnika usluga </w:t>
            </w:r>
          </w:p>
          <w:p w14:paraId="7EB72F91" w14:textId="77777777" w:rsidR="00C5315F" w:rsidRPr="00A33E06" w:rsidRDefault="00C5315F" w:rsidP="00165C16">
            <w:pPr>
              <w:pStyle w:val="StandardWeb"/>
              <w:numPr>
                <w:ilvl w:val="0"/>
                <w:numId w:val="2"/>
              </w:numPr>
              <w:spacing w:before="60" w:beforeAutospacing="0" w:after="60" w:afterAutospacing="0"/>
              <w:ind w:right="-2"/>
              <w:rPr>
                <w:rFonts w:ascii="Calibri" w:hAnsi="Calibri" w:cs="Calibri"/>
                <w:sz w:val="18"/>
                <w:szCs w:val="18"/>
              </w:rPr>
            </w:pPr>
            <w:r w:rsidRPr="0025012A">
              <w:rPr>
                <w:rFonts w:ascii="Calibri" w:hAnsi="Calibri" w:cs="Calibri"/>
                <w:sz w:val="18"/>
                <w:szCs w:val="18"/>
              </w:rPr>
              <w:t>informatizacija sustava</w:t>
            </w:r>
          </w:p>
        </w:tc>
      </w:tr>
    </w:tbl>
    <w:p w14:paraId="6B539E08" w14:textId="77777777" w:rsidR="00C5315F" w:rsidRDefault="00C5315F" w:rsidP="00C5315F">
      <w:pPr>
        <w:rPr>
          <w:noProof/>
          <w:lang w:eastAsia="hr-HR"/>
        </w:rPr>
      </w:pPr>
    </w:p>
    <w:p w14:paraId="6ABFD405" w14:textId="0E3F5159" w:rsidR="00C5315F" w:rsidRPr="00A33E06" w:rsidRDefault="00C5315F" w:rsidP="00C45A8C">
      <w:pPr>
        <w:pStyle w:val="Stil2"/>
      </w:pPr>
      <w:bookmarkStart w:id="110" w:name="_Toc97123830"/>
      <w:r>
        <w:t xml:space="preserve">4.2.2. </w:t>
      </w:r>
      <w:r w:rsidRPr="00A33E06">
        <w:t>Vodno gospodarstvo</w:t>
      </w:r>
      <w:bookmarkEnd w:id="110"/>
      <w:r w:rsidRPr="00A33E06">
        <w:t xml:space="preserve"> </w:t>
      </w:r>
    </w:p>
    <w:p w14:paraId="5C35BC74" w14:textId="77777777" w:rsidR="00C5315F" w:rsidRPr="00A33E06" w:rsidRDefault="00C5315F" w:rsidP="0061125B">
      <w:pPr>
        <w:tabs>
          <w:tab w:val="left" w:pos="-720"/>
        </w:tabs>
        <w:suppressAutoHyphens/>
        <w:spacing w:line="240" w:lineRule="auto"/>
        <w:ind w:right="-2"/>
        <w:jc w:val="both"/>
        <w:rPr>
          <w:rFonts w:cs="Calibri"/>
          <w:b/>
        </w:rPr>
      </w:pPr>
      <w:r w:rsidRPr="00A33E06">
        <w:rPr>
          <w:rFonts w:cs="Calibri"/>
          <w:b/>
        </w:rPr>
        <w:t xml:space="preserve">Opskrba pitkom vodom. </w:t>
      </w:r>
      <w:r w:rsidRPr="00A33E06">
        <w:rPr>
          <w:rFonts w:cs="Calibri"/>
        </w:rPr>
        <w:t>Vodoopskrba distributivnog područja Grada Zagreba najvećim dijelom se zasniva na zahvatu podzemnih voda savskog aluvija. Podzemna voda se zahvaća na vodocrpilištima Mala Mlaka, Zapruđe, Petruševec, Žitnjak, Sašnjak i Strmec, te na vodocrpilištu Velika Gorica koje je u nadležnosti VG Vodoopskrba d.o.o iz Velike Gorice.</w:t>
      </w:r>
      <w:r w:rsidRPr="00A33E06">
        <w:rPr>
          <w:rFonts w:cs="Calibri"/>
          <w:b/>
        </w:rPr>
        <w:t xml:space="preserve"> </w:t>
      </w:r>
      <w:r w:rsidRPr="00A33E06">
        <w:rPr>
          <w:rFonts w:cs="Calibri"/>
        </w:rPr>
        <w:t xml:space="preserve">Neki dijelovi distributivnog područja nemaju javnu vodoopskrbu, a neki nemaju zadovoljavajuću opskrbu pitkom vodom zbog nedostatnih tlakova. </w:t>
      </w:r>
    </w:p>
    <w:p w14:paraId="148B898E" w14:textId="77777777" w:rsidR="00C5315F" w:rsidRDefault="00C5315F" w:rsidP="0061125B">
      <w:pPr>
        <w:pStyle w:val="Default"/>
        <w:jc w:val="both"/>
        <w:rPr>
          <w:rFonts w:ascii="Calibri" w:hAnsi="Calibri" w:cs="Calibri"/>
          <w:bCs/>
          <w:sz w:val="22"/>
          <w:szCs w:val="22"/>
        </w:rPr>
      </w:pPr>
      <w:r w:rsidRPr="00A33E06">
        <w:rPr>
          <w:rFonts w:ascii="Calibri" w:hAnsi="Calibri" w:cs="Calibri"/>
          <w:bCs/>
          <w:sz w:val="22"/>
          <w:szCs w:val="22"/>
        </w:rPr>
        <w:t>Na području Grada Zagreba identificirano je 26 lokalnih vodovoda</w:t>
      </w:r>
      <w:r w:rsidRPr="00A33E06">
        <w:rPr>
          <w:rStyle w:val="Referencafusnote"/>
          <w:rFonts w:ascii="Calibri" w:hAnsi="Calibri" w:cs="Calibri"/>
          <w:bCs/>
          <w:sz w:val="22"/>
          <w:szCs w:val="22"/>
        </w:rPr>
        <w:footnoteReference w:id="51"/>
      </w:r>
      <w:r w:rsidRPr="00A33E06">
        <w:rPr>
          <w:rFonts w:ascii="Calibri" w:hAnsi="Calibri" w:cs="Calibri"/>
          <w:bCs/>
          <w:sz w:val="22"/>
          <w:szCs w:val="22"/>
        </w:rPr>
        <w:t xml:space="preserve">, čiji se broj </w:t>
      </w:r>
      <w:r w:rsidRPr="00A33E06">
        <w:rPr>
          <w:rFonts w:ascii="Calibri" w:eastAsia="Calibri" w:hAnsi="Calibri" w:cs="Calibri"/>
          <w:sz w:val="22"/>
          <w:szCs w:val="22"/>
        </w:rPr>
        <w:t xml:space="preserve">s godinama bitno ne mijenja, međutim smanjuje se veličina područja kojeg pokrivaju na račun priključenja stanovništva na javne vodoopskrbne sustave. </w:t>
      </w:r>
      <w:r w:rsidRPr="00A33E06">
        <w:rPr>
          <w:rFonts w:ascii="Calibri" w:hAnsi="Calibri" w:cs="Calibri"/>
          <w:bCs/>
          <w:sz w:val="22"/>
          <w:szCs w:val="22"/>
        </w:rPr>
        <w:t>Na vodoopskrbnom području prisutna je tehnološka nedisciplina, tj. nekontrolirano korištenje i odlaganje štetnih tvari, unutar industrijskih pogona ili obrtničkih radionica, s napomenom da su posebno važni objekti locirani u blizini vodocrpilišta. Na području vodotoka rijeke Save prisutno je divlje šljunčarenje i deponiranje otpada u šljunčare. Voda se zahvaća iz podzemnih izvorišta putem zdenaca i pod tlakom se transportira u vodospreme, uglavnom bez daljnje dorade, osim preventivne dezinfekcije plinovitim klorom: od 8 vodocrpilišta, voda se kondicionira na crpilištu Petruševec, gdje je 2003. ugrađen uređaj za demanganizaciju. Prosječna starost cjevovoda je veća od 30 godina, a izražena je prisutnost više vrsta materijala cjevovoda koji ne odgovaraju modernim tehničkim zahtjevima. Trenutačni maksimalni crpni kapaciteti iznose oko 4000 l/s, te ih je potrebno održati i povećati u sljedećem dugoročnom razdoblju.</w:t>
      </w:r>
      <w:r w:rsidRPr="00BC22AD">
        <w:rPr>
          <w:rFonts w:ascii="Calibri" w:hAnsi="Calibri" w:cs="Calibri"/>
          <w:bCs/>
          <w:sz w:val="22"/>
          <w:szCs w:val="22"/>
        </w:rPr>
        <w:t xml:space="preserve"> </w:t>
      </w:r>
      <w:r w:rsidRPr="00A33E06">
        <w:rPr>
          <w:rFonts w:ascii="Calibri" w:hAnsi="Calibri" w:cs="Calibri"/>
          <w:bCs/>
          <w:sz w:val="22"/>
          <w:szCs w:val="22"/>
        </w:rPr>
        <w:t>Udio nefakturirane vode u ukupno crpljenoj vodi u</w:t>
      </w:r>
      <w:r w:rsidRPr="00017A53">
        <w:rPr>
          <w:rFonts w:ascii="Calibri" w:hAnsi="Calibri" w:cs="Calibri"/>
          <w:bCs/>
          <w:color w:val="FF0000"/>
          <w:sz w:val="22"/>
          <w:szCs w:val="22"/>
        </w:rPr>
        <w:t xml:space="preserve"> </w:t>
      </w:r>
      <w:r w:rsidRPr="00FA5ECD">
        <w:rPr>
          <w:rFonts w:ascii="Calibri" w:hAnsi="Calibri" w:cs="Calibri"/>
          <w:bCs/>
          <w:color w:val="auto"/>
          <w:sz w:val="22"/>
          <w:szCs w:val="22"/>
        </w:rPr>
        <w:t>periodu od 2014. do 2017. godine je iznosio u prosjeku 51% (podaci iz Studije izvodljivosti 2019.). Sigurnosni vodospremnici imaju ukupni volumen 120.760 m</w:t>
      </w:r>
      <w:r w:rsidRPr="00FA5ECD">
        <w:rPr>
          <w:rFonts w:ascii="Calibri" w:hAnsi="Calibri" w:cs="Calibri"/>
          <w:bCs/>
          <w:color w:val="auto"/>
          <w:sz w:val="22"/>
          <w:szCs w:val="22"/>
          <w:vertAlign w:val="superscript"/>
        </w:rPr>
        <w:t>3</w:t>
      </w:r>
      <w:r w:rsidRPr="00FA5ECD">
        <w:rPr>
          <w:rFonts w:ascii="Calibri" w:hAnsi="Calibri" w:cs="Calibri"/>
          <w:bCs/>
          <w:color w:val="auto"/>
          <w:sz w:val="22"/>
          <w:szCs w:val="22"/>
        </w:rPr>
        <w:t>, što je oko 41%</w:t>
      </w:r>
      <w:r w:rsidRPr="00A33E06">
        <w:rPr>
          <w:rFonts w:ascii="Calibri" w:hAnsi="Calibri" w:cs="Calibri"/>
          <w:bCs/>
          <w:sz w:val="22"/>
          <w:szCs w:val="22"/>
        </w:rPr>
        <w:t xml:space="preserve"> dnevne potrošnje, te ne zadovoljavaju sigurnosne standarde (50% dnevnih potreba). Dugoročno, potrebno je razmotriti uvođenje „0“ zone i povećanja vodospremničkog prostora „0“ zone (cca 30000-50000 m</w:t>
      </w:r>
      <w:r w:rsidRPr="00A33E06">
        <w:rPr>
          <w:rFonts w:ascii="Calibri" w:hAnsi="Calibri" w:cs="Calibri"/>
          <w:bCs/>
          <w:sz w:val="22"/>
          <w:szCs w:val="22"/>
          <w:vertAlign w:val="superscript"/>
        </w:rPr>
        <w:t>3</w:t>
      </w:r>
      <w:r w:rsidRPr="00A33E06">
        <w:rPr>
          <w:rFonts w:ascii="Calibri" w:hAnsi="Calibri" w:cs="Calibri"/>
          <w:bCs/>
          <w:sz w:val="22"/>
          <w:szCs w:val="22"/>
        </w:rPr>
        <w:t xml:space="preserve">), čime bi se istovremeno smanjili tlakovi u mreži, što bi za posljedicu imalo smanjenje gubitaka u sustavu. </w:t>
      </w:r>
      <w:r w:rsidRPr="00FA5ECD">
        <w:rPr>
          <w:rFonts w:ascii="Calibri" w:hAnsi="Calibri" w:cs="Calibri"/>
          <w:bCs/>
          <w:color w:val="auto"/>
          <w:sz w:val="22"/>
          <w:szCs w:val="22"/>
        </w:rPr>
        <w:t>Vodoopskrba i odvodnja d.o.o. je ugovorila 2019. godine izradu projektne dokumentacije za uvođenje „0“ zone u sustav Vodoopskrbe i odvodnje Grada Zagreba.</w:t>
      </w:r>
      <w:r w:rsidRPr="00A33E06">
        <w:rPr>
          <w:rFonts w:ascii="Calibri" w:hAnsi="Calibri" w:cs="Calibri"/>
          <w:bCs/>
          <w:sz w:val="22"/>
          <w:szCs w:val="22"/>
        </w:rPr>
        <w:t xml:space="preserve">  Razina podzemne vode na prilivnim područjima javnih vodocrpilišta ovisi o vodostaju Save. U zadnjih 20-ak godina razina podzemnih voda pala je više od 3m.</w:t>
      </w:r>
    </w:p>
    <w:p w14:paraId="7BBE1FF6" w14:textId="77777777" w:rsidR="00C259BD" w:rsidRDefault="00C259BD" w:rsidP="00C5315F">
      <w:pPr>
        <w:tabs>
          <w:tab w:val="left" w:pos="-720"/>
        </w:tabs>
        <w:suppressAutoHyphens/>
        <w:spacing w:line="240" w:lineRule="auto"/>
        <w:ind w:right="-2"/>
        <w:jc w:val="both"/>
        <w:rPr>
          <w:rFonts w:cs="Calibri"/>
          <w:b/>
        </w:rPr>
      </w:pPr>
    </w:p>
    <w:p w14:paraId="4828D724" w14:textId="13DF61F8" w:rsidR="00C5315F" w:rsidRPr="00A33E06" w:rsidRDefault="00C5315F" w:rsidP="00C5315F">
      <w:pPr>
        <w:tabs>
          <w:tab w:val="left" w:pos="-720"/>
        </w:tabs>
        <w:suppressAutoHyphens/>
        <w:spacing w:line="240" w:lineRule="auto"/>
        <w:ind w:right="-2"/>
        <w:jc w:val="both"/>
        <w:rPr>
          <w:rFonts w:cs="Calibri"/>
        </w:rPr>
      </w:pPr>
      <w:r w:rsidRPr="00A33E06">
        <w:rPr>
          <w:rFonts w:cs="Calibri"/>
          <w:b/>
        </w:rPr>
        <w:t>Odvodnja</w:t>
      </w:r>
      <w:r>
        <w:rPr>
          <w:rFonts w:cs="Calibri"/>
          <w:b/>
        </w:rPr>
        <w:t xml:space="preserve"> </w:t>
      </w:r>
      <w:r w:rsidRPr="00A33E06">
        <w:rPr>
          <w:rFonts w:cs="Calibri"/>
          <w:b/>
        </w:rPr>
        <w:t xml:space="preserve">i pročišćavanje otpadnih voda. </w:t>
      </w:r>
      <w:r w:rsidRPr="00A33E06">
        <w:rPr>
          <w:rFonts w:cs="Calibri"/>
        </w:rPr>
        <w:t>Pokrivenost gradskog područja javnim sustavom odvodnje iznosi cca 88%, na temelju čega se procjenjuje da devedesetak tisuća stanovnika Grada Zagreba nema mogućnost priključenja na sustav javne odvodnje (podsljemenska naselja, rubna naselja na istočnom i zapadnom dijelu grada, te zapadni i jugozapadni dijelovi Novog Zagreba i Brezovice, od koji su neki uzvodno postojećih crpilišta i u vodozaštitnom području). Također, 77% stanovništva priključeno je na sustav javne odvodnje. Priključenost stanovništva trebala bi porasti do stupnja pokrivenosti sustava odvodnje. Prema trenutno dostupnim podacima, procijenjeno je da 40 - 60 tisuća građevina ima riješenu odvodnju otpadnih voda preko septičkih i sabirnih jama, od kojih je 80% izgrađeno na rubnim dijelovima Grada Zagreba.</w:t>
      </w:r>
      <w:r w:rsidRPr="00A33E06">
        <w:rPr>
          <w:rFonts w:cs="Calibri"/>
          <w:b/>
        </w:rPr>
        <w:t xml:space="preserve"> </w:t>
      </w:r>
      <w:r w:rsidRPr="00A33E06">
        <w:rPr>
          <w:rFonts w:cs="Calibri"/>
        </w:rPr>
        <w:t>Kanalizacijska mreža je djelomično oštećena, uništena, a neki su hidraulički kanalizacijski kolektori preopterećeni.</w:t>
      </w:r>
    </w:p>
    <w:p w14:paraId="5C468FC2" w14:textId="0870FBCA" w:rsidR="00C5315F" w:rsidRPr="00C259BD" w:rsidRDefault="00C5315F" w:rsidP="00C5315F">
      <w:pPr>
        <w:pStyle w:val="Tijeloteksta2"/>
        <w:ind w:right="-2"/>
        <w:rPr>
          <w:rFonts w:ascii="Calibri" w:hAnsi="Calibri"/>
          <w:bCs w:val="0"/>
          <w:sz w:val="22"/>
          <w:szCs w:val="22"/>
        </w:rPr>
      </w:pPr>
      <w:r w:rsidRPr="009D67FC">
        <w:rPr>
          <w:rFonts w:ascii="Calibri" w:hAnsi="Calibri"/>
          <w:bCs w:val="0"/>
          <w:sz w:val="22"/>
          <w:szCs w:val="22"/>
        </w:rPr>
        <w:t>Centralni uređaj za pročišćavanje</w:t>
      </w:r>
      <w:r w:rsidRPr="00D62CFB">
        <w:rPr>
          <w:rFonts w:ascii="Calibri" w:hAnsi="Calibri"/>
          <w:bCs w:val="0"/>
          <w:sz w:val="22"/>
          <w:szCs w:val="22"/>
        </w:rPr>
        <w:t xml:space="preserve"> otpadnih voda grada Zagreba </w:t>
      </w:r>
      <w:r>
        <w:rPr>
          <w:rFonts w:ascii="Calibri" w:hAnsi="Calibri"/>
          <w:bCs w:val="0"/>
          <w:sz w:val="22"/>
          <w:szCs w:val="22"/>
        </w:rPr>
        <w:t>–</w:t>
      </w:r>
      <w:r w:rsidRPr="00D62CFB">
        <w:rPr>
          <w:rFonts w:ascii="Calibri" w:hAnsi="Calibri"/>
          <w:bCs w:val="0"/>
          <w:sz w:val="22"/>
          <w:szCs w:val="22"/>
        </w:rPr>
        <w:t xml:space="preserve"> mulj</w:t>
      </w:r>
      <w:r>
        <w:rPr>
          <w:rFonts w:ascii="Calibri" w:hAnsi="Calibri"/>
          <w:bCs w:val="0"/>
          <w:sz w:val="22"/>
          <w:szCs w:val="22"/>
        </w:rPr>
        <w:t>.</w:t>
      </w:r>
      <w:r w:rsidR="00C259BD">
        <w:rPr>
          <w:rFonts w:ascii="Calibri" w:hAnsi="Calibri"/>
          <w:bCs w:val="0"/>
          <w:sz w:val="22"/>
          <w:szCs w:val="22"/>
        </w:rPr>
        <w:t xml:space="preserve"> </w:t>
      </w:r>
      <w:r w:rsidRPr="000F527E">
        <w:rPr>
          <w:rFonts w:ascii="Calibri" w:hAnsi="Calibri"/>
          <w:b w:val="0"/>
          <w:sz w:val="22"/>
          <w:szCs w:val="22"/>
        </w:rPr>
        <w:t xml:space="preserve">Na Centralnom uređaju za pročišćavanje otpadnih voda grada Zagreba (CUPOVZ), koji trenutno radi s drugim stupnjem pročišćavanja, prosječna godišnja količina stabiliziranog i dehidriranog mulja iznosi oko 49.000 tona mulja godišnje. Zbrinjavanje otpadnog mulja odvija se preko ovlaštene tvrtke. </w:t>
      </w:r>
    </w:p>
    <w:p w14:paraId="1A05FA5E" w14:textId="77777777" w:rsidR="00C5315F" w:rsidRDefault="00C5315F" w:rsidP="00C5315F">
      <w:pPr>
        <w:pStyle w:val="Tijeloteksta2"/>
        <w:ind w:right="-2"/>
        <w:rPr>
          <w:rFonts w:ascii="Calibri" w:hAnsi="Calibri"/>
          <w:b w:val="0"/>
          <w:sz w:val="22"/>
          <w:szCs w:val="22"/>
        </w:rPr>
      </w:pPr>
      <w:r w:rsidRPr="000F527E">
        <w:rPr>
          <w:rFonts w:ascii="Calibri" w:hAnsi="Calibri"/>
          <w:b w:val="0"/>
          <w:sz w:val="22"/>
          <w:szCs w:val="22"/>
        </w:rPr>
        <w:t>Grad Zagreb ulaže značajne napore kako bi se ispitale sve mogućnosti zbrinjavanja mulja nastalog radom Centralnog uređaja za pročišćavanje otpadnih voda i odgovorilo na otvorena pitanja u vezi s istim, a sve u nastojanju da se iznađe najpovoljnije konačno rješenje, sukladno relevantnim propisima.</w:t>
      </w:r>
    </w:p>
    <w:p w14:paraId="4E0A0300" w14:textId="71781ECA" w:rsidR="00C5315F" w:rsidRPr="00CB1B74" w:rsidRDefault="00C5315F" w:rsidP="00C5315F">
      <w:pPr>
        <w:spacing w:before="120" w:line="240" w:lineRule="auto"/>
        <w:jc w:val="both"/>
        <w:rPr>
          <w:szCs w:val="24"/>
        </w:rPr>
      </w:pPr>
      <w:r w:rsidRPr="00CB1B74">
        <w:rPr>
          <w:szCs w:val="24"/>
        </w:rPr>
        <w:t>Ciljevi izrade tehnološke inovacije unaprjeđenja linije obrade mulja na CUPOVZ-u su višestruki. Direktiva Europskog parlamenta i Vijeća o otpadu (2008/98/EZ)(2018/851) potiče tehnološke inovacije pri gospodarenju otpadom, uključivo i muljem s uređaja za pročišćavanje otpadnih voda, s ciljem razvoja učinkovitog financijskog, ekološkog i socijalnog okvira. Unaprjeđenje linije obrade mulja na CUPOVZ-u ocjenjuje se neophodnim s ciljem daljnjeg održivog gospodarenja muljem koji se generira ne samo na CUPOVZ-u, već i na ostalim uređajima za pročišćavanje otpadnih voda u regiji.</w:t>
      </w:r>
    </w:p>
    <w:p w14:paraId="7121F987" w14:textId="77777777" w:rsidR="00C5315F" w:rsidRPr="00A33E06" w:rsidRDefault="00C5315F" w:rsidP="00C5315F">
      <w:pPr>
        <w:tabs>
          <w:tab w:val="left" w:pos="-720"/>
        </w:tabs>
        <w:suppressAutoHyphens/>
        <w:spacing w:line="240" w:lineRule="auto"/>
        <w:ind w:right="-2"/>
        <w:jc w:val="both"/>
        <w:rPr>
          <w:color w:val="0070C0"/>
        </w:rPr>
      </w:pPr>
      <w:r w:rsidRPr="00A33E06">
        <w:t>Sukladno Višegodišnjem programu gradnje komunalnih vodnih građevina 2014.-2023. rokovi za usklađivanje s vodno-komunalnim direktivama definirani su za tri vodne aglomeracije na području Grada Zagreba: Zagreb (2018.), Glavničica (2020.) i Gudci (2023.).</w:t>
      </w:r>
      <w:r w:rsidRPr="00A33E06">
        <w:rPr>
          <w:rFonts w:cs="Calibri"/>
        </w:rPr>
        <w:t xml:space="preserve"> </w:t>
      </w:r>
    </w:p>
    <w:p w14:paraId="3F6EAAC7" w14:textId="77777777" w:rsidR="00C5315F" w:rsidRPr="00A33E06" w:rsidRDefault="00C5315F" w:rsidP="00C5315F">
      <w:pPr>
        <w:tabs>
          <w:tab w:val="left" w:pos="-720"/>
        </w:tabs>
        <w:suppressAutoHyphens/>
        <w:spacing w:line="240" w:lineRule="auto"/>
        <w:ind w:right="-2"/>
        <w:jc w:val="both"/>
        <w:rPr>
          <w:rFonts w:cs="Calibri"/>
        </w:rPr>
      </w:pPr>
      <w:r w:rsidRPr="00A33E06">
        <w:rPr>
          <w:rFonts w:cs="Calibri"/>
        </w:rPr>
        <w:t>Izgradnja kanalizacijske mreže na području Novi Zagreb zapad i naselja Brezovice s razdjelnom i polurazdjelnom (privremeno rješenje do prelaza na razdjelni sustav odvodnje) koncepcijom odvodnje, nije u potpunosti realizirana. Potrebno je izgraditi sustav odvodnje za prihvat generiranih otpadnih voda na tom području. Kanalizacijska mreža istočnog dijela sustava (Sesvete i okolna naselja, te Ivanja Reka) ispušta nepročišćene vode u</w:t>
      </w:r>
      <w:r>
        <w:rPr>
          <w:rFonts w:cs="Calibri"/>
        </w:rPr>
        <w:t xml:space="preserve"> </w:t>
      </w:r>
      <w:r w:rsidRPr="00A33E06">
        <w:rPr>
          <w:rFonts w:cs="Calibri"/>
        </w:rPr>
        <w:t>„preljevni“ GOK tj. direktno u rijeku Savu kao i u potok Črnec, potok Kašinu, potok Blagušu, te u niz meliorativnih kanala na nizinskom istočnom području. Problematika odvodnje Novog Zagreba odnosi se na neizgrađenost kolektorskog sustava, kojim će se omogućiti normalno funkcioniranje odvodnje predmetnog područja, te povezivanje nepokrivenih naselja sustavnom izgradnjom na CUPOVGZ. Veliki problem predstavlja nepostojanje nadzorno upravljačkog sustava, što prouzrokuje svakodnevno obilaženje pojedinih crpnih stanica, te ne daje uvid u njihov status u realnom vremenu u slučaju zatajenja, što onemogućuje upravljanjem sustavom u realnom vremenu.</w:t>
      </w:r>
    </w:p>
    <w:p w14:paraId="139A5C27" w14:textId="2F8014D3" w:rsidR="00C5315F" w:rsidRDefault="00C5315F" w:rsidP="00C5315F">
      <w:pPr>
        <w:autoSpaceDE w:val="0"/>
        <w:autoSpaceDN w:val="0"/>
        <w:adjustRightInd w:val="0"/>
        <w:spacing w:line="240" w:lineRule="auto"/>
        <w:jc w:val="both"/>
        <w:rPr>
          <w:rFonts w:cs="Calibri"/>
        </w:rPr>
      </w:pPr>
      <w:r w:rsidRPr="00A33E06">
        <w:rPr>
          <w:rFonts w:cs="Calibri"/>
          <w:b/>
        </w:rPr>
        <w:t>Utjecaj klimatskih promjena na dijelove postojećeg sustava odvodnje.</w:t>
      </w:r>
      <w:r w:rsidRPr="00A33E06">
        <w:rPr>
          <w:rFonts w:cs="Calibri"/>
        </w:rPr>
        <w:t xml:space="preserve"> U zadnjih nekoliko godina primijećen je izraženiji porast količina oborina, uslijed snažnijeg prodora ciklonalnih vrtloga s područja zapadne Europe, odnosno Atlantika. Ovo pojava posebno je izražena u proljetnim i ljetnim mjesecima.</w:t>
      </w:r>
    </w:p>
    <w:p w14:paraId="5FABB273" w14:textId="77777777" w:rsidR="003F2896" w:rsidRDefault="003F2896" w:rsidP="00C5315F">
      <w:pPr>
        <w:autoSpaceDE w:val="0"/>
        <w:autoSpaceDN w:val="0"/>
        <w:adjustRightInd w:val="0"/>
        <w:spacing w:line="240" w:lineRule="auto"/>
        <w:jc w:val="both"/>
        <w:rPr>
          <w:rFonts w:cs="Calibri"/>
        </w:rPr>
      </w:pPr>
    </w:p>
    <w:tbl>
      <w:tblPr>
        <w:tblW w:w="0" w:type="auto"/>
        <w:tblInd w:w="108" w:type="dxa"/>
        <w:tblLook w:val="01E0" w:firstRow="1" w:lastRow="1" w:firstColumn="1" w:lastColumn="1" w:noHBand="0" w:noVBand="0"/>
      </w:tblPr>
      <w:tblGrid>
        <w:gridCol w:w="4495"/>
        <w:gridCol w:w="4469"/>
      </w:tblGrid>
      <w:tr w:rsidR="00C5315F" w:rsidRPr="00A33E06" w14:paraId="24B6C19A" w14:textId="77777777" w:rsidTr="003F2896">
        <w:tc>
          <w:tcPr>
            <w:tcW w:w="4495" w:type="dxa"/>
            <w:shd w:val="clear" w:color="auto" w:fill="D9D9D9"/>
          </w:tcPr>
          <w:p w14:paraId="23CDFF10"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469" w:type="dxa"/>
            <w:shd w:val="clear" w:color="auto" w:fill="99CCFF"/>
          </w:tcPr>
          <w:p w14:paraId="30BED9D0"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RAZVOJNE POTREBE </w:t>
            </w:r>
          </w:p>
        </w:tc>
      </w:tr>
      <w:tr w:rsidR="00C5315F" w:rsidRPr="00A33E06" w14:paraId="53E34F3B" w14:textId="77777777" w:rsidTr="003F2896">
        <w:tc>
          <w:tcPr>
            <w:tcW w:w="4495" w:type="dxa"/>
            <w:shd w:val="clear" w:color="auto" w:fill="D9D9D9"/>
          </w:tcPr>
          <w:p w14:paraId="122DFDE6"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neki dijelovi grada nisu u sustavu vodoopskrbe Grada Zagreba</w:t>
            </w:r>
          </w:p>
          <w:p w14:paraId="097228F0"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neki dijelovi grada nemaju dobru opskrbljenost vodom </w:t>
            </w:r>
          </w:p>
          <w:p w14:paraId="7B99447E"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nedostatak vodnih resursa</w:t>
            </w:r>
            <w:r>
              <w:rPr>
                <w:rFonts w:ascii="Calibri" w:hAnsi="Calibri" w:cs="Calibri"/>
                <w:sz w:val="18"/>
                <w:szCs w:val="18"/>
              </w:rPr>
              <w:t xml:space="preserve"> </w:t>
            </w:r>
            <w:r w:rsidRPr="00A33E06">
              <w:rPr>
                <w:rFonts w:ascii="Calibri" w:hAnsi="Calibri" w:cs="Calibri"/>
                <w:sz w:val="18"/>
                <w:szCs w:val="18"/>
              </w:rPr>
              <w:t>glede precrpljivanja podzemnih kapaciteta vode</w:t>
            </w:r>
          </w:p>
          <w:p w14:paraId="41E596A6"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nedostatak vodnih resursa u slučaju akcidentnih pojava i potreba za revitalizacijom postojećih crpilišta</w:t>
            </w:r>
          </w:p>
          <w:p w14:paraId="1FD14855"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implementiranje nove odluke o zonama sanitarne zaštite</w:t>
            </w:r>
          </w:p>
          <w:p w14:paraId="3AD0992E"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nepovezanost tehničkog, operativnog i poslovnog informacijskog sustava</w:t>
            </w:r>
          </w:p>
          <w:p w14:paraId="6F914B4E"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neregulirana sanacija onečišćenih tala i podzemnih voda u priljevnim područjima zagrebačkih crpilišta</w:t>
            </w:r>
          </w:p>
          <w:p w14:paraId="3402E81F"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nepotpuna pokrivenost kanalizacijskom mrežom, osobito rubnih dijelova grada i područja uzvodno od vodocrpilišta, te na vodozaštićenom području</w:t>
            </w:r>
          </w:p>
          <w:p w14:paraId="6E8FBF9B"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starost i loše stanje vodosprema i pripadajuće opreme zbog dugogodišnjeg neulaganja u njihovo održavanje</w:t>
            </w:r>
          </w:p>
          <w:p w14:paraId="1BB68F0D"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napuštena i nekonzervirana vodocrpilišta u Gradu Zagrebu predstavljaju potencijalnu opasnost za zagađenje podzemnih voda</w:t>
            </w:r>
          </w:p>
          <w:p w14:paraId="459AB55F"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stari cjevovodni sustav (vodoopskrba i odvodnja) i veliki gubici u sustavu (</w:t>
            </w:r>
            <w:r>
              <w:rPr>
                <w:rFonts w:ascii="Calibri" w:hAnsi="Calibri" w:cs="Calibri"/>
                <w:sz w:val="18"/>
                <w:szCs w:val="18"/>
              </w:rPr>
              <w:t>51</w:t>
            </w:r>
            <w:r w:rsidRPr="00A33E06">
              <w:rPr>
                <w:rFonts w:ascii="Calibri" w:hAnsi="Calibri" w:cs="Calibri"/>
                <w:sz w:val="18"/>
                <w:szCs w:val="18"/>
              </w:rPr>
              <w:t xml:space="preserve">), </w:t>
            </w:r>
          </w:p>
          <w:p w14:paraId="5B2CDA92"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nedovoljni</w:t>
            </w:r>
            <w:r>
              <w:rPr>
                <w:rFonts w:ascii="Calibri" w:hAnsi="Calibri" w:cs="Calibri"/>
                <w:sz w:val="18"/>
                <w:szCs w:val="18"/>
              </w:rPr>
              <w:t xml:space="preserve"> </w:t>
            </w:r>
            <w:r w:rsidRPr="00A33E06">
              <w:rPr>
                <w:rFonts w:ascii="Calibri" w:hAnsi="Calibri" w:cs="Calibri"/>
                <w:sz w:val="18"/>
                <w:szCs w:val="18"/>
              </w:rPr>
              <w:t>sigurnosni kapaciteti vodospremnika</w:t>
            </w:r>
          </w:p>
          <w:p w14:paraId="62CA03CE"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velika potrošnja i visoki tlakovi</w:t>
            </w:r>
            <w:r>
              <w:rPr>
                <w:rFonts w:ascii="Calibri" w:hAnsi="Calibri" w:cs="Calibri"/>
                <w:sz w:val="18"/>
                <w:szCs w:val="18"/>
              </w:rPr>
              <w:t xml:space="preserve"> </w:t>
            </w:r>
            <w:r w:rsidRPr="00A33E06">
              <w:rPr>
                <w:rFonts w:ascii="Calibri" w:hAnsi="Calibri" w:cs="Calibri"/>
                <w:sz w:val="18"/>
                <w:szCs w:val="18"/>
              </w:rPr>
              <w:t>u</w:t>
            </w:r>
            <w:r>
              <w:rPr>
                <w:rFonts w:ascii="Calibri" w:hAnsi="Calibri" w:cs="Calibri"/>
                <w:sz w:val="18"/>
                <w:szCs w:val="18"/>
              </w:rPr>
              <w:t xml:space="preserve"> </w:t>
            </w:r>
            <w:r w:rsidRPr="00A33E06">
              <w:rPr>
                <w:rFonts w:ascii="Calibri" w:hAnsi="Calibri" w:cs="Calibri"/>
                <w:sz w:val="18"/>
                <w:szCs w:val="18"/>
              </w:rPr>
              <w:t xml:space="preserve">prvoj vodoopskrbnoj zoni </w:t>
            </w:r>
          </w:p>
          <w:p w14:paraId="7B00DDD5"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smanjivanje razina podzemnih voda</w:t>
            </w:r>
          </w:p>
          <w:p w14:paraId="6B4B3913"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nezadovoljavajuće funkcioniranje kanalizacijskog sustava i sigurnost u slučaju elementarnih i drugih nepogoda</w:t>
            </w:r>
          </w:p>
        </w:tc>
        <w:tc>
          <w:tcPr>
            <w:tcW w:w="4469" w:type="dxa"/>
            <w:shd w:val="clear" w:color="auto" w:fill="99CCFF"/>
          </w:tcPr>
          <w:p w14:paraId="3FD9821E"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dovršiti vodoopskrbni sustav kako bi se osigurala vodoopskrba i njezina kvaliteta na području Grada </w:t>
            </w:r>
          </w:p>
          <w:p w14:paraId="16618840" w14:textId="1341039A"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predložiti i provesti mjere za osiguravanje kvalitete voda te uklanjati zagađenja </w:t>
            </w:r>
          </w:p>
          <w:p w14:paraId="36B4C070"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povećati sigurnost vodoopskrbe gradnjom vodospremnika </w:t>
            </w:r>
          </w:p>
          <w:p w14:paraId="4F476393"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povećati sigurnost vodoopskrbe izgradnjom vodocrpilišta</w:t>
            </w:r>
          </w:p>
          <w:p w14:paraId="00C3E4E9"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smanjiti gubitke u sustavu vodoopskrbe-smanjenjem</w:t>
            </w:r>
            <w:r>
              <w:rPr>
                <w:rFonts w:ascii="Calibri" w:hAnsi="Calibri" w:cs="Calibri"/>
                <w:sz w:val="18"/>
                <w:szCs w:val="18"/>
              </w:rPr>
              <w:t xml:space="preserve"> </w:t>
            </w:r>
            <w:r w:rsidRPr="00A33E06">
              <w:rPr>
                <w:rFonts w:ascii="Calibri" w:hAnsi="Calibri" w:cs="Calibri"/>
                <w:sz w:val="18"/>
                <w:szCs w:val="18"/>
              </w:rPr>
              <w:t>tlakova u sustavu opskrbe uvođenjem „0“ zone, rekonstrukcijom (sanacijom) postojeće mreže i vodocrpilišta, sanacijom postojećih priključaka, uvođenjem</w:t>
            </w:r>
            <w:r>
              <w:rPr>
                <w:rFonts w:ascii="Calibri" w:hAnsi="Calibri" w:cs="Calibri"/>
                <w:sz w:val="18"/>
                <w:szCs w:val="18"/>
              </w:rPr>
              <w:t xml:space="preserve"> </w:t>
            </w:r>
            <w:r w:rsidRPr="00A33E06">
              <w:rPr>
                <w:rFonts w:ascii="Calibri" w:hAnsi="Calibri" w:cs="Calibri"/>
                <w:sz w:val="18"/>
                <w:szCs w:val="18"/>
              </w:rPr>
              <w:t>DMA i PMA zona</w:t>
            </w:r>
          </w:p>
          <w:p w14:paraId="76315E56"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proširiti sustav odvodnje na cijelo područje grada</w:t>
            </w:r>
          </w:p>
          <w:p w14:paraId="5EFD0313"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poboljšati funkcionalnost sustava odvodnje</w:t>
            </w:r>
            <w:r>
              <w:rPr>
                <w:rFonts w:ascii="Calibri" w:hAnsi="Calibri" w:cs="Calibri"/>
                <w:sz w:val="18"/>
                <w:szCs w:val="18"/>
              </w:rPr>
              <w:t xml:space="preserve"> </w:t>
            </w:r>
            <w:r w:rsidRPr="00A33E06">
              <w:rPr>
                <w:rFonts w:ascii="Calibri" w:hAnsi="Calibri" w:cs="Calibri"/>
                <w:sz w:val="18"/>
                <w:szCs w:val="18"/>
              </w:rPr>
              <w:t xml:space="preserve">u standardnim i ekstremnim uvjetima </w:t>
            </w:r>
          </w:p>
          <w:p w14:paraId="2B6BE29E"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optimizirati upravljanje vodoopskrbnim</w:t>
            </w:r>
            <w:r>
              <w:rPr>
                <w:rFonts w:ascii="Calibri" w:hAnsi="Calibri" w:cs="Calibri"/>
                <w:sz w:val="18"/>
                <w:szCs w:val="18"/>
              </w:rPr>
              <w:t xml:space="preserve"> </w:t>
            </w:r>
            <w:r w:rsidRPr="00A33E06">
              <w:rPr>
                <w:rFonts w:ascii="Calibri" w:hAnsi="Calibri" w:cs="Calibri"/>
                <w:sz w:val="18"/>
                <w:szCs w:val="18"/>
              </w:rPr>
              <w:t>i kanalizacijskim sustavom-izgradnjom nadzorno-upravljačkih centara</w:t>
            </w:r>
          </w:p>
          <w:p w14:paraId="64E1A4C2"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riješiti problem oborinske odvodnje s ciljem prihranjivanja podzemlja</w:t>
            </w:r>
          </w:p>
          <w:p w14:paraId="3F7A8CC1"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rekonstrukcija postojećeg sustava odvodnje s aspekta podkapacitiranosti i starosti</w:t>
            </w:r>
          </w:p>
          <w:p w14:paraId="5B769FA1"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funkcionalno povezati tehnički, operativni i poslovni informacijski sustav VIO</w:t>
            </w:r>
          </w:p>
          <w:p w14:paraId="70D6C352"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provesti usklađivanje s vodno-komunalnim direktivama sukladno Višegodišnjem planu gradnje komunalnih vodnih građevina 2014. -2023.za aglomeracije na području Grada Zagreba</w:t>
            </w:r>
          </w:p>
          <w:p w14:paraId="2F236799"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urediti dugoročni način zbrinjavanja otpadnog mulja s CUPOVGZ-a</w:t>
            </w:r>
          </w:p>
          <w:p w14:paraId="7A1006D7" w14:textId="193D6CDC" w:rsidR="00572D8A" w:rsidRPr="00A33E06" w:rsidRDefault="00751C19" w:rsidP="007A3203">
            <w:pPr>
              <w:pStyle w:val="StandardWeb"/>
              <w:tabs>
                <w:tab w:val="num" w:pos="720"/>
              </w:tabs>
              <w:spacing w:before="60" w:beforeAutospacing="0" w:after="60" w:afterAutospacing="0"/>
              <w:ind w:left="284" w:right="-2"/>
              <w:rPr>
                <w:rFonts w:ascii="Calibri" w:hAnsi="Calibri" w:cs="Calibri"/>
                <w:sz w:val="18"/>
                <w:szCs w:val="18"/>
              </w:rPr>
            </w:pPr>
            <w:sdt>
              <w:sdtPr>
                <w:tag w:val="goog_rdk_23"/>
                <w:id w:val="2068533307"/>
                <w:showingPlcHdr/>
              </w:sdtPr>
              <w:sdtEndPr/>
              <w:sdtContent>
                <w:r w:rsidR="00510889">
                  <w:t xml:space="preserve">     </w:t>
                </w:r>
              </w:sdtContent>
            </w:sdt>
          </w:p>
        </w:tc>
      </w:tr>
    </w:tbl>
    <w:p w14:paraId="4924AD73" w14:textId="53796B62" w:rsidR="00C5315F" w:rsidRPr="00A33E06" w:rsidRDefault="00C5315F" w:rsidP="00C45A8C">
      <w:pPr>
        <w:pStyle w:val="Stil2"/>
      </w:pPr>
      <w:bookmarkStart w:id="111" w:name="_Toc97123831"/>
      <w:r>
        <w:t>4</w:t>
      </w:r>
      <w:r w:rsidRPr="00A33E06">
        <w:t>.</w:t>
      </w:r>
      <w:r>
        <w:t>2</w:t>
      </w:r>
      <w:r w:rsidRPr="00A33E06">
        <w:t>.</w:t>
      </w:r>
      <w:r>
        <w:t>3</w:t>
      </w:r>
      <w:r w:rsidRPr="00A33E06">
        <w:t>. Razvoj elektroničke komunikacijske infrastrukture</w:t>
      </w:r>
      <w:bookmarkEnd w:id="111"/>
    </w:p>
    <w:p w14:paraId="1F1EDE96" w14:textId="58E9D0C6" w:rsidR="00C5315F" w:rsidRDefault="00C5315F" w:rsidP="00C5315F">
      <w:pPr>
        <w:pStyle w:val="Odlomakpopisa"/>
        <w:spacing w:line="240" w:lineRule="auto"/>
        <w:ind w:left="0"/>
        <w:jc w:val="both"/>
        <w:rPr>
          <w:rFonts w:cs="Calibri"/>
        </w:rPr>
      </w:pPr>
      <w:r w:rsidRPr="00A33E06">
        <w:rPr>
          <w:rFonts w:cs="Calibri"/>
        </w:rPr>
        <w:t xml:space="preserve">Prema podacima Hrvatske regulatorne agencije za mrežne djelatnosti (HAKOM), broj širokopojasnih priključaka nepokretne komunikacijske mreže u Gradu Zagrebu i Zagrebačkoj županiji iznosi 301.066, što čini 32,13% od ukupno 936.769 priključaka nepokretne komunikacijske mreže u RH. Gustoća širokopojasnih priključaka nepokretne komunikacijske mreže u Gradu Zagrebu i Zagrebačkoj županiji iznosi 27,18% , što je više od prosjeka RH (21,86%) no manje od prosjeka EU (29,8%). Prosječna brzina Internet pristupa u Republici Hrvatskoj je vrlo niskih 4.7 Mbit/s uz svega 2.8% priključaka iznad 10 Mbit/s. Ulaganja u razvoj elektroničke komunikacijske infrastrukture u Zagrebu su bitno smanjena jer investitori teško pronalaze isplativost. Postojeća pristupna mreža, bazirana većinom na bakrenim paricama i pripadajućim tehnologijama (u najvećoj mjeri xDSL) i nešto manje na koaksijalnom kabelskom pristupu, nema dovoljan kapacitet za podržavanje rasta telekomunikacijskih usluga. S druge strane, krajnji korisnici konstantno traže nove i kvalitetnije usluge. </w:t>
      </w:r>
    </w:p>
    <w:p w14:paraId="1CFB2475" w14:textId="77777777" w:rsidR="003F2896" w:rsidRPr="00A33E06" w:rsidRDefault="003F2896" w:rsidP="00C5315F">
      <w:pPr>
        <w:pStyle w:val="Odlomakpopisa"/>
        <w:spacing w:line="240" w:lineRule="auto"/>
        <w:ind w:left="0"/>
        <w:jc w:val="both"/>
        <w:rPr>
          <w:rFonts w:cs="Calibri"/>
        </w:rPr>
      </w:pPr>
    </w:p>
    <w:tbl>
      <w:tblPr>
        <w:tblW w:w="0" w:type="auto"/>
        <w:tblInd w:w="108" w:type="dxa"/>
        <w:tblLook w:val="01E0" w:firstRow="1" w:lastRow="1" w:firstColumn="1" w:lastColumn="1" w:noHBand="0" w:noVBand="0"/>
      </w:tblPr>
      <w:tblGrid>
        <w:gridCol w:w="4505"/>
        <w:gridCol w:w="4459"/>
      </w:tblGrid>
      <w:tr w:rsidR="00C5315F" w:rsidRPr="00A33E06" w14:paraId="6EA2495E" w14:textId="77777777" w:rsidTr="00072476">
        <w:tc>
          <w:tcPr>
            <w:tcW w:w="4607" w:type="dxa"/>
            <w:shd w:val="clear" w:color="auto" w:fill="D9D9D9"/>
          </w:tcPr>
          <w:p w14:paraId="7E4DD0BE"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571" w:type="dxa"/>
            <w:shd w:val="clear" w:color="auto" w:fill="99CCFF"/>
          </w:tcPr>
          <w:p w14:paraId="0A4E0855"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RAZVOJNE POTREBE </w:t>
            </w:r>
          </w:p>
        </w:tc>
      </w:tr>
      <w:tr w:rsidR="00C5315F" w:rsidRPr="00A33E06" w14:paraId="79F3627A" w14:textId="77777777" w:rsidTr="00072476">
        <w:tc>
          <w:tcPr>
            <w:tcW w:w="4607" w:type="dxa"/>
            <w:shd w:val="clear" w:color="auto" w:fill="D9D9D9"/>
          </w:tcPr>
          <w:p w14:paraId="62E58698"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postojeća telekomunikacijska infrastruktura nedovoljna za daljnje podržavanje rasta usluga</w:t>
            </w:r>
          </w:p>
          <w:p w14:paraId="1A696158"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bitno smanjena ulaganja u razvoj i unaprijeđene fiksne pristupne mreže</w:t>
            </w:r>
          </w:p>
          <w:p w14:paraId="57C82490"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netransparentan i nepovoljan model pristupa postojećoj telekomunikacijskoj infrastrukturi - svi telekom operatori nemaju pristup do svakog potencijalnog krajnjeg korisnika i obrnuto</w:t>
            </w:r>
          </w:p>
          <w:p w14:paraId="342F9FF9"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brzine pristupa Internetu i omjer cijene i kvalitete nisu zadovoljavajuće </w:t>
            </w:r>
          </w:p>
          <w:p w14:paraId="2218F05F"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krajnji korisnici nezadovoljni postojećom ponudom elektroničkih komunikacijskih usluga</w:t>
            </w:r>
          </w:p>
          <w:p w14:paraId="31CA28FB"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optička pristupna tehnologija prisutna u zanemarivom postotku (ispod 0.61% ukupne pristupne infrastrukture)</w:t>
            </w:r>
          </w:p>
          <w:p w14:paraId="3392EF10"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ne postoji infrastrukturni temelj za učinkovita </w:t>
            </w:r>
            <w:r w:rsidRPr="00A33E06">
              <w:rPr>
                <w:rFonts w:ascii="Calibri" w:hAnsi="Calibri" w:cs="Calibri"/>
                <w:i/>
                <w:sz w:val="18"/>
                <w:szCs w:val="18"/>
              </w:rPr>
              <w:t xml:space="preserve">smart city i smart grid </w:t>
            </w:r>
            <w:r w:rsidRPr="00A33E06">
              <w:rPr>
                <w:rFonts w:ascii="Calibri" w:hAnsi="Calibri" w:cs="Calibri"/>
                <w:sz w:val="18"/>
                <w:szCs w:val="18"/>
              </w:rPr>
              <w:t>rješenja</w:t>
            </w:r>
          </w:p>
        </w:tc>
        <w:tc>
          <w:tcPr>
            <w:tcW w:w="4571" w:type="dxa"/>
            <w:shd w:val="clear" w:color="auto" w:fill="99CCFF"/>
          </w:tcPr>
          <w:p w14:paraId="26EA1666"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optimizirati i unaprijediti elektroničku komunikacijsku infrastrukturu u svih 17 četvrti Grada Zagreba</w:t>
            </w:r>
          </w:p>
          <w:p w14:paraId="7D6A1BDF"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osigurati kvalitetne preduvjete za poticanje ulaganja u elektroničku komunikacijsku infrastrukturu</w:t>
            </w:r>
          </w:p>
          <w:p w14:paraId="6ABC2B87"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ubrzati tehnološki razvoj nepokretne širokopojasne mreže na području Grada Zagreba realizacijom dugovječne transmisijske infrastrukture distribucijskog dijela pristupnih mreža nove generacije</w:t>
            </w:r>
          </w:p>
          <w:p w14:paraId="4FDEBB13"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stimulirati širu i učinkovitiju primjenu postojećih te razvoj i primjenu novih, mrežno-zahtjevnijih širokopojasnih usluga za javne, poslovne i privatne korisnike, povećavajući</w:t>
            </w:r>
            <w:r>
              <w:rPr>
                <w:rFonts w:ascii="Calibri" w:hAnsi="Calibri" w:cs="Calibri"/>
                <w:sz w:val="18"/>
                <w:szCs w:val="18"/>
              </w:rPr>
              <w:t xml:space="preserve"> </w:t>
            </w:r>
            <w:r w:rsidRPr="00A33E06">
              <w:rPr>
                <w:rFonts w:ascii="Calibri" w:hAnsi="Calibri" w:cs="Calibri"/>
                <w:sz w:val="18"/>
                <w:szCs w:val="18"/>
              </w:rPr>
              <w:t>kvalitetu života građana i učinkovitost javnih i gospodarskih subjekata</w:t>
            </w:r>
          </w:p>
          <w:p w14:paraId="2EBBAA5C"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uspostaviti infrastrukturu za nadzor i upravljanje zagrebački</w:t>
            </w:r>
            <w:r>
              <w:rPr>
                <w:rFonts w:ascii="Calibri" w:hAnsi="Calibri" w:cs="Calibri"/>
                <w:sz w:val="18"/>
                <w:szCs w:val="18"/>
              </w:rPr>
              <w:t>m</w:t>
            </w:r>
            <w:r w:rsidRPr="00A33E06">
              <w:rPr>
                <w:rFonts w:ascii="Calibri" w:hAnsi="Calibri" w:cs="Calibri"/>
                <w:sz w:val="18"/>
                <w:szCs w:val="18"/>
              </w:rPr>
              <w:t xml:space="preserve"> komunalni</w:t>
            </w:r>
            <w:r>
              <w:rPr>
                <w:rFonts w:ascii="Calibri" w:hAnsi="Calibri" w:cs="Calibri"/>
                <w:sz w:val="18"/>
                <w:szCs w:val="18"/>
              </w:rPr>
              <w:t>m</w:t>
            </w:r>
            <w:r w:rsidRPr="00A33E06">
              <w:rPr>
                <w:rFonts w:ascii="Calibri" w:hAnsi="Calibri" w:cs="Calibri"/>
                <w:sz w:val="18"/>
                <w:szCs w:val="18"/>
              </w:rPr>
              <w:t>, prometni</w:t>
            </w:r>
            <w:r>
              <w:rPr>
                <w:rFonts w:ascii="Calibri" w:hAnsi="Calibri" w:cs="Calibri"/>
                <w:sz w:val="18"/>
                <w:szCs w:val="18"/>
              </w:rPr>
              <w:t>m</w:t>
            </w:r>
            <w:r w:rsidRPr="00A33E06">
              <w:rPr>
                <w:rFonts w:ascii="Calibri" w:hAnsi="Calibri" w:cs="Calibri"/>
                <w:sz w:val="18"/>
                <w:szCs w:val="18"/>
              </w:rPr>
              <w:t xml:space="preserve"> i sigurnosni</w:t>
            </w:r>
            <w:r>
              <w:rPr>
                <w:rFonts w:ascii="Calibri" w:hAnsi="Calibri" w:cs="Calibri"/>
                <w:sz w:val="18"/>
                <w:szCs w:val="18"/>
              </w:rPr>
              <w:t xml:space="preserve">m </w:t>
            </w:r>
            <w:r w:rsidRPr="00A33E06">
              <w:rPr>
                <w:rFonts w:ascii="Calibri" w:hAnsi="Calibri" w:cs="Calibri"/>
                <w:sz w:val="18"/>
                <w:szCs w:val="18"/>
              </w:rPr>
              <w:t>sustav</w:t>
            </w:r>
            <w:r>
              <w:rPr>
                <w:rFonts w:ascii="Calibri" w:hAnsi="Calibri" w:cs="Calibri"/>
                <w:sz w:val="18"/>
                <w:szCs w:val="18"/>
              </w:rPr>
              <w:t>ima</w:t>
            </w:r>
            <w:r w:rsidRPr="00A33E06">
              <w:rPr>
                <w:rFonts w:ascii="Calibri" w:hAnsi="Calibri" w:cs="Calibri"/>
                <w:sz w:val="18"/>
                <w:szCs w:val="18"/>
              </w:rPr>
              <w:t xml:space="preserve"> </w:t>
            </w:r>
          </w:p>
          <w:p w14:paraId="708358D2"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realizirati model otvorenog pristupa fizičkoj infrastrukturi svjetlovodnih distribucijskih mreža, kojim se svakom krajnjem korisniku omogućuje slobodan izbor najpovoljnijeg operatora, a svakom operatoru usluga pristupa po jednakim i transparentnim uvjetima</w:t>
            </w:r>
          </w:p>
        </w:tc>
      </w:tr>
    </w:tbl>
    <w:p w14:paraId="0915DBA2" w14:textId="77777777" w:rsidR="00C5315F" w:rsidRDefault="00C5315F" w:rsidP="00C5315F">
      <w:pPr>
        <w:tabs>
          <w:tab w:val="left" w:pos="-720"/>
        </w:tabs>
        <w:suppressAutoHyphens/>
        <w:ind w:right="-2"/>
        <w:jc w:val="both"/>
        <w:rPr>
          <w:rFonts w:cs="Calibri"/>
          <w:b/>
        </w:rPr>
      </w:pPr>
    </w:p>
    <w:p w14:paraId="26978C54" w14:textId="75482342" w:rsidR="00C5315F" w:rsidRPr="00A33E06" w:rsidRDefault="00C5315F" w:rsidP="00C45A8C">
      <w:pPr>
        <w:pStyle w:val="Stil2"/>
      </w:pPr>
      <w:bookmarkStart w:id="112" w:name="_Toc97123832"/>
      <w:r>
        <w:t>4</w:t>
      </w:r>
      <w:r w:rsidRPr="00A33E06">
        <w:t>.</w:t>
      </w:r>
      <w:r>
        <w:t>2</w:t>
      </w:r>
      <w:r w:rsidRPr="00A33E06">
        <w:t>.</w:t>
      </w:r>
      <w:r>
        <w:t>4</w:t>
      </w:r>
      <w:r w:rsidRPr="00A33E06">
        <w:t>. Gradska groblja</w:t>
      </w:r>
      <w:bookmarkEnd w:id="112"/>
    </w:p>
    <w:p w14:paraId="1E95125B" w14:textId="655D1C33"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 xml:space="preserve">Od ukupnog broja godišnjih ukopa na području Grada Zagreba u periodu od 2014. do 2019. godine, </w:t>
      </w:r>
      <w:r>
        <w:rPr>
          <w:rFonts w:eastAsia="Times New Roman" w:cs="Calibri"/>
          <w:lang w:eastAsia="hr-HR"/>
        </w:rPr>
        <w:t>(</w:t>
      </w:r>
      <w:r w:rsidRPr="00645B2C">
        <w:rPr>
          <w:rFonts w:eastAsia="Times New Roman" w:cs="Calibri"/>
          <w:lang w:eastAsia="hr-HR"/>
        </w:rPr>
        <w:t>prosječno 7.934 ukopa</w:t>
      </w:r>
      <w:r>
        <w:rPr>
          <w:rFonts w:eastAsia="Times New Roman" w:cs="Calibri"/>
          <w:lang w:eastAsia="hr-HR"/>
        </w:rPr>
        <w:t xml:space="preserve">) </w:t>
      </w:r>
      <w:r w:rsidRPr="00645B2C">
        <w:rPr>
          <w:rFonts w:eastAsia="Times New Roman" w:cs="Calibri"/>
          <w:lang w:eastAsia="hr-HR"/>
        </w:rPr>
        <w:t xml:space="preserve">70 % ukopa se izvrši na tri velika gradska groblja: Mirogoj, Miroševac i Markovo polje. Preostalih 30 % izvrši se na krematorijskom groblju Gaj urni (1100) i na 21 malom gradskom groblju (1280). Stalnim porastom broja stanovnika Grada Zagreba rastu i potrebe za ukopnim mjestima. Ukopi na Mirogoju vrše se većim dijelom u postojeća grobna mjesta, u 2019. godini formirano je novo grobno polje 166b sa 84 nove grobnice i kolumbarijski zid sa 494 kolumbarijske niše. Na groblju Miroševac također se pretežno vrše ukopi u postojeća grobna mjesta, godišnje se zasnuje prosječno 300 novih grobnih mjesta. Na Markovom polju godišnje se zasnuje za ukope oko 550 novih grobnih mjesta. </w:t>
      </w:r>
    </w:p>
    <w:p w14:paraId="57EDDF09"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p w14:paraId="5B923C07"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Zahtjevi i potrebe građana za novim grobnim mjestima daleko su već</w:t>
      </w:r>
      <w:r>
        <w:rPr>
          <w:rFonts w:eastAsia="Times New Roman" w:cs="Calibri"/>
          <w:lang w:eastAsia="hr-HR"/>
        </w:rPr>
        <w:t>i</w:t>
      </w:r>
      <w:r w:rsidRPr="00645B2C">
        <w:rPr>
          <w:rFonts w:eastAsia="Times New Roman" w:cs="Calibri"/>
          <w:lang w:eastAsia="hr-HR"/>
        </w:rPr>
        <w:t xml:space="preserve"> od postojećih raspoloživih površina Gradskih groblja Grada Zagreb</w:t>
      </w:r>
      <w:r>
        <w:rPr>
          <w:rFonts w:eastAsia="Times New Roman" w:cs="Calibri"/>
          <w:lang w:eastAsia="hr-HR"/>
        </w:rPr>
        <w:t>a</w:t>
      </w:r>
      <w:r w:rsidRPr="00645B2C">
        <w:rPr>
          <w:rFonts w:eastAsia="Times New Roman" w:cs="Calibri"/>
          <w:lang w:eastAsia="hr-HR"/>
        </w:rPr>
        <w:t xml:space="preserve"> te je neophodna potreba za proširenjem svih groblja za koja je moguće ishoditi uvijete. Na groblju Mirogoj u planu je formiranje novog grobnog polja, izgradnja ogradnih kolumbarijskih zidova i novih južnih arkada na kojima se planira osigurati dodatnih 4200 novih grobnih mjesta (grobnice, grobovi, kazete i kolumbarijske niše). Na Gaju Urni (Krematorijsko groblje) u tijeku je izgradnja novih grobnih polja na kojima se planira 804 kolumbarijske niše i 117 kazeta te jugoistočno proširenje sa 3000 novih grobnih mjesta (kazete i kolumbarijske niše). Groblje Miroševac ima na raspolaganju slobodnih površina za oko 500 novih grobnih mjesta. Na groblju Markovo polje na raspolaganju </w:t>
      </w:r>
      <w:r>
        <w:rPr>
          <w:rFonts w:eastAsia="Times New Roman" w:cs="Calibri"/>
          <w:lang w:eastAsia="hr-HR"/>
        </w:rPr>
        <w:t xml:space="preserve">su </w:t>
      </w:r>
      <w:r w:rsidRPr="00645B2C">
        <w:rPr>
          <w:rFonts w:eastAsia="Times New Roman" w:cs="Calibri"/>
          <w:lang w:eastAsia="hr-HR"/>
        </w:rPr>
        <w:t>slobodn</w:t>
      </w:r>
      <w:r>
        <w:rPr>
          <w:rFonts w:eastAsia="Times New Roman" w:cs="Calibri"/>
          <w:lang w:eastAsia="hr-HR"/>
        </w:rPr>
        <w:t>e</w:t>
      </w:r>
      <w:r w:rsidRPr="00645B2C">
        <w:rPr>
          <w:rFonts w:eastAsia="Times New Roman" w:cs="Calibri"/>
          <w:lang w:eastAsia="hr-HR"/>
        </w:rPr>
        <w:t xml:space="preserve"> površin</w:t>
      </w:r>
      <w:r>
        <w:rPr>
          <w:rFonts w:eastAsia="Times New Roman" w:cs="Calibri"/>
          <w:lang w:eastAsia="hr-HR"/>
        </w:rPr>
        <w:t>e</w:t>
      </w:r>
      <w:r w:rsidRPr="00645B2C">
        <w:rPr>
          <w:rFonts w:eastAsia="Times New Roman" w:cs="Calibri"/>
          <w:lang w:eastAsia="hr-HR"/>
        </w:rPr>
        <w:t xml:space="preserve"> za oko 1000 novih grobnih mjesta (grobnice, grobovi, kazete). S obzirom da se na navedenom groblju vrše redovni ukopi, u postupku je priprema tehničke dokumentacije za proširenje groblja </w:t>
      </w:r>
      <w:r>
        <w:rPr>
          <w:rFonts w:eastAsia="Times New Roman" w:cs="Calibri"/>
          <w:lang w:eastAsia="hr-HR"/>
        </w:rPr>
        <w:t xml:space="preserve">- </w:t>
      </w:r>
      <w:r w:rsidRPr="00645B2C">
        <w:rPr>
          <w:rFonts w:eastAsia="Times New Roman" w:cs="Calibri"/>
          <w:lang w:eastAsia="hr-HR"/>
        </w:rPr>
        <w:t>I. Etapa</w:t>
      </w:r>
      <w:r>
        <w:rPr>
          <w:rFonts w:eastAsia="Times New Roman" w:cs="Calibri"/>
          <w:lang w:eastAsia="hr-HR"/>
        </w:rPr>
        <w:t>,</w:t>
      </w:r>
      <w:r w:rsidRPr="00645B2C">
        <w:rPr>
          <w:rFonts w:eastAsia="Times New Roman" w:cs="Calibri"/>
          <w:lang w:eastAsia="hr-HR"/>
        </w:rPr>
        <w:t xml:space="preserve"> istočni dio prema urbanističkom planu uređenja groblja Markovo polje, što bi zadovoljilo potrebe za sljedećih 10 godina.</w:t>
      </w:r>
    </w:p>
    <w:p w14:paraId="1415B7A1"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p w14:paraId="20326239"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Planira se proširenje većine malih groblja. Za groblja Cerje, Jakuševec i Brezovica usvojeni su novi UPU-i uređenja groblja po kojima se priprema projektna dokumentacija. Za groblje Sv. Klara priprema se projektna dokumentacija na površinama u namjeni groblja. Za groblja Moravče, Gornje Vrapče, Stenjevec, Gračani i Donji Dragonožac (novo groblje) u tijeku je izrada UPU-a uređenja groblja. Sa navedenim proširenjima groblja planira se osigurati kapacitete za budućih dvadesetak godina.</w:t>
      </w:r>
    </w:p>
    <w:p w14:paraId="47EEEA2A"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p w14:paraId="51045D2E" w14:textId="7474D882"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Gradska groblja Zagreb planiraju sveobuhvatan projekt digitalizacije poslovanja te uvođenje Internet prodaje, čime će usluge učiniti dostupnij</w:t>
      </w:r>
      <w:r>
        <w:rPr>
          <w:rFonts w:eastAsia="Times New Roman" w:cs="Calibri"/>
          <w:lang w:eastAsia="hr-HR"/>
        </w:rPr>
        <w:t>im</w:t>
      </w:r>
      <w:r w:rsidRPr="00645B2C">
        <w:rPr>
          <w:rFonts w:eastAsia="Times New Roman" w:cs="Calibri"/>
          <w:lang w:eastAsia="hr-HR"/>
        </w:rPr>
        <w:t xml:space="preserve"> građanima.</w:t>
      </w:r>
      <w:r w:rsidR="0061125B">
        <w:rPr>
          <w:rFonts w:eastAsia="Times New Roman" w:cs="Calibri"/>
          <w:lang w:eastAsia="hr-HR"/>
        </w:rPr>
        <w:t xml:space="preserve"> </w:t>
      </w:r>
      <w:r w:rsidRPr="00645B2C">
        <w:rPr>
          <w:rFonts w:eastAsia="Times New Roman" w:cs="Calibri"/>
          <w:lang w:eastAsia="hr-HR"/>
        </w:rPr>
        <w:t xml:space="preserve">U izradi je analiza stanja sigurnosti na svim Gradskim grobljima čiji će rezultati biti podloga za projektiranje tehničke zaštite (video nadzor). Planira se obnova i opremanje svih mrtvačnica na svim grobljima. </w:t>
      </w:r>
    </w:p>
    <w:p w14:paraId="2F779EA1"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p w14:paraId="727087CE" w14:textId="41A2F467"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 xml:space="preserve">Na groblju Mirogoj planira se izgradnja Edukativnog centra na površini između mrtvačnice i glavnog ulaza u groblje Mirogoj koje je ujedno i jedno od najposjećenijih turističkih destinacija u </w:t>
      </w:r>
      <w:r>
        <w:rPr>
          <w:rFonts w:eastAsia="Times New Roman" w:cs="Calibri"/>
          <w:lang w:eastAsia="hr-HR"/>
        </w:rPr>
        <w:t>G</w:t>
      </w:r>
      <w:r w:rsidRPr="00645B2C">
        <w:rPr>
          <w:rFonts w:eastAsia="Times New Roman" w:cs="Calibri"/>
          <w:lang w:eastAsia="hr-HR"/>
        </w:rPr>
        <w:t xml:space="preserve">radu Zagrebu. Izrađeno je idejno rješenje obnove i proširenje javne rasvjete u Aleji Hermanna Bollea uz Mirogojske arkade, sve do Remetske ceste, uključujući i mrtvačnicu te uređenje ispraćajnog trga. Na objektu Krematorija i ulaz u Gaj urni u tijeku je izrada idejnog rješenja rasvjete, što će omogućiti organizaciju ispraćaja u poslijepodnevnim i večernjim satima. U postupku je izrada idejnog rješenja novog servisno – gospodarskog prostora kao logističke podrške za groblja Mirogoj i Gaj urni te objekt Krematorija koji će sadržavati: prostor za privremeno odlaganje i sortiranje otpada sa groblja, skladišta, radionice, garaže za strojeve i vozila, rashladne komore, urede, garderobe, restoran sa kuhinjom. </w:t>
      </w:r>
    </w:p>
    <w:p w14:paraId="6216D176"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p w14:paraId="206E7DCD"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 xml:space="preserve">Groblje Mirogoj kao i kompleks Krematorija imaju nedostatak parkirnih mjesta te je ponuđeno rješenje izgradnje podzemne garaže sa pogrebnim centrom u kojem bi se izvršavala cjelokupna komunikacija sa strankama na jednom mjestu: ugovaranje ukopa, odabir pogrebne opreme, cvjetnih aranžmana, kupovina grobnog mjesta, pravna i tehnička služba. </w:t>
      </w:r>
    </w:p>
    <w:p w14:paraId="49DCE475"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p w14:paraId="3A35452E"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U sklopu I. etape proširenja groblja Markovo polje planira se izgradnja odarnice sa rashladnom komorom i sanitarnim čvorom te izgradnja servisno gospodarskog prostora sa privremenim odlagalištem i sortiranjem otpada za groblje Markovo polje i pripadajuća mala groblja.</w:t>
      </w:r>
    </w:p>
    <w:p w14:paraId="28ABC609"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p w14:paraId="60D91651"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r w:rsidRPr="00645B2C">
        <w:rPr>
          <w:rFonts w:eastAsia="Times New Roman" w:cs="Calibri"/>
          <w:lang w:eastAsia="hr-HR"/>
        </w:rPr>
        <w:t>Planira se cjelokupno kabliranje i digitalizacija objekata na groblju Mirogoj i objektu Krematorija. U planu je proširenje flote električnih vozila za sva velika groblja.</w:t>
      </w:r>
    </w:p>
    <w:p w14:paraId="033A1378" w14:textId="77777777" w:rsidR="00C5315F" w:rsidRPr="00645B2C" w:rsidRDefault="00C5315F" w:rsidP="00C5315F">
      <w:pPr>
        <w:tabs>
          <w:tab w:val="left" w:pos="-720"/>
        </w:tabs>
        <w:suppressAutoHyphens/>
        <w:spacing w:after="0" w:line="240" w:lineRule="auto"/>
        <w:ind w:right="-2"/>
        <w:jc w:val="both"/>
        <w:rPr>
          <w:rFonts w:eastAsia="Times New Roman" w:cs="Calibri"/>
          <w:lang w:eastAsia="hr-HR"/>
        </w:rPr>
      </w:pPr>
    </w:p>
    <w:tbl>
      <w:tblPr>
        <w:tblW w:w="0" w:type="auto"/>
        <w:tblCellMar>
          <w:left w:w="0" w:type="dxa"/>
          <w:right w:w="0" w:type="dxa"/>
        </w:tblCellMar>
        <w:tblLook w:val="0000" w:firstRow="0" w:lastRow="0" w:firstColumn="0" w:lastColumn="0" w:noHBand="0" w:noVBand="0"/>
      </w:tblPr>
      <w:tblGrid>
        <w:gridCol w:w="4513"/>
        <w:gridCol w:w="4559"/>
      </w:tblGrid>
      <w:tr w:rsidR="00C5315F" w:rsidRPr="00645B2C" w14:paraId="24F18C6D" w14:textId="77777777" w:rsidTr="00072476">
        <w:tc>
          <w:tcPr>
            <w:tcW w:w="4644" w:type="dxa"/>
            <w:shd w:val="clear" w:color="auto" w:fill="CCCCCC"/>
            <w:tcMar>
              <w:top w:w="0" w:type="dxa"/>
              <w:left w:w="108" w:type="dxa"/>
              <w:bottom w:w="0" w:type="dxa"/>
              <w:right w:w="108" w:type="dxa"/>
            </w:tcMar>
          </w:tcPr>
          <w:p w14:paraId="6609A79A" w14:textId="77777777" w:rsidR="00C5315F" w:rsidRPr="00645B2C" w:rsidRDefault="00C5315F" w:rsidP="00072476">
            <w:pPr>
              <w:pStyle w:val="StandardWeb"/>
              <w:spacing w:before="60" w:beforeAutospacing="0" w:after="60" w:afterAutospacing="0"/>
              <w:jc w:val="both"/>
              <w:rPr>
                <w:rFonts w:ascii="Calibri" w:hAnsi="Calibri" w:cs="Calibri"/>
                <w:b/>
                <w:sz w:val="18"/>
                <w:szCs w:val="18"/>
              </w:rPr>
            </w:pPr>
            <w:r w:rsidRPr="00645B2C">
              <w:rPr>
                <w:rFonts w:ascii="Calibri" w:hAnsi="Calibri" w:cs="Calibri"/>
                <w:b/>
                <w:sz w:val="18"/>
                <w:szCs w:val="18"/>
              </w:rPr>
              <w:t xml:space="preserve">RAZVOJNI PROBLEMI </w:t>
            </w:r>
          </w:p>
        </w:tc>
        <w:tc>
          <w:tcPr>
            <w:tcW w:w="4642" w:type="dxa"/>
            <w:shd w:val="clear" w:color="auto" w:fill="99CCFF"/>
            <w:tcMar>
              <w:top w:w="0" w:type="dxa"/>
              <w:left w:w="108" w:type="dxa"/>
              <w:bottom w:w="0" w:type="dxa"/>
              <w:right w:w="108" w:type="dxa"/>
            </w:tcMar>
          </w:tcPr>
          <w:p w14:paraId="1B6FA3F4" w14:textId="77777777" w:rsidR="00C5315F" w:rsidRPr="00645B2C" w:rsidRDefault="00C5315F" w:rsidP="00072476">
            <w:pPr>
              <w:pStyle w:val="StandardWeb"/>
              <w:spacing w:before="60" w:beforeAutospacing="0" w:after="60" w:afterAutospacing="0"/>
              <w:jc w:val="both"/>
              <w:rPr>
                <w:rFonts w:ascii="Calibri" w:hAnsi="Calibri" w:cs="Calibri"/>
                <w:b/>
                <w:sz w:val="18"/>
                <w:szCs w:val="18"/>
              </w:rPr>
            </w:pPr>
            <w:r w:rsidRPr="00645B2C">
              <w:rPr>
                <w:rFonts w:ascii="Calibri" w:hAnsi="Calibri" w:cs="Calibri"/>
                <w:b/>
                <w:sz w:val="18"/>
                <w:szCs w:val="18"/>
              </w:rPr>
              <w:t>RAZVOJNE POTREBE</w:t>
            </w:r>
          </w:p>
        </w:tc>
      </w:tr>
      <w:tr w:rsidR="00C5315F" w:rsidRPr="00645B2C" w14:paraId="3849A5BC" w14:textId="77777777" w:rsidTr="00072476">
        <w:tc>
          <w:tcPr>
            <w:tcW w:w="4644" w:type="dxa"/>
            <w:shd w:val="clear" w:color="auto" w:fill="CCCCCC"/>
            <w:tcMar>
              <w:top w:w="0" w:type="dxa"/>
              <w:left w:w="108" w:type="dxa"/>
              <w:bottom w:w="0" w:type="dxa"/>
              <w:right w:w="108" w:type="dxa"/>
            </w:tcMar>
          </w:tcPr>
          <w:p w14:paraId="61A501B2" w14:textId="77777777" w:rsidR="00C5315F" w:rsidRPr="00645B2C"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45B2C">
              <w:rPr>
                <w:rFonts w:ascii="Calibri" w:hAnsi="Calibri" w:cs="Calibri"/>
                <w:sz w:val="18"/>
                <w:szCs w:val="18"/>
              </w:rPr>
              <w:t>rastu potrebe za ukopnim mjestima</w:t>
            </w:r>
          </w:p>
          <w:p w14:paraId="123EEA2D" w14:textId="77777777" w:rsidR="00C5315F" w:rsidRPr="00645B2C"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45B2C">
              <w:rPr>
                <w:rFonts w:ascii="Calibri" w:hAnsi="Calibri" w:cs="Calibri"/>
                <w:sz w:val="18"/>
                <w:szCs w:val="18"/>
              </w:rPr>
              <w:t xml:space="preserve">neadekvatna opremljenost nekih malih gradskih groblja </w:t>
            </w:r>
          </w:p>
          <w:p w14:paraId="12AA7207" w14:textId="77777777" w:rsidR="00C5315F" w:rsidRPr="00645B2C"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45B2C">
              <w:rPr>
                <w:rFonts w:ascii="Calibri" w:hAnsi="Calibri" w:cs="Calibri"/>
                <w:sz w:val="18"/>
                <w:szCs w:val="18"/>
              </w:rPr>
              <w:t>ukopi na dva najveća gradska groblja Mirogoj i Miroševac vrše se isključivo u već postojeća grobna mjesta</w:t>
            </w:r>
          </w:p>
          <w:p w14:paraId="2FE53A6E" w14:textId="77777777" w:rsidR="00C5315F" w:rsidRPr="00645B2C"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45B2C">
              <w:rPr>
                <w:rFonts w:ascii="Calibri" w:hAnsi="Calibri" w:cs="Calibri"/>
                <w:sz w:val="18"/>
                <w:szCs w:val="18"/>
              </w:rPr>
              <w:t>nepovoljan udjel broja ukopa u novootvorena grobna mjesta kod malih gradskih groblja</w:t>
            </w:r>
          </w:p>
          <w:p w14:paraId="07FF572B"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645B2C">
              <w:rPr>
                <w:rFonts w:ascii="Calibri" w:hAnsi="Calibri" w:cs="Calibri"/>
                <w:sz w:val="18"/>
                <w:szCs w:val="18"/>
              </w:rPr>
              <w:t>vrlo mali broj kremiranih pokojnika pokapa se na malim gradskim grobljima (ispod 3%)</w:t>
            </w:r>
          </w:p>
          <w:p w14:paraId="69BFD1DA" w14:textId="77777777" w:rsidR="00C5315F" w:rsidRPr="00645B2C"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p>
        </w:tc>
        <w:tc>
          <w:tcPr>
            <w:tcW w:w="4642" w:type="dxa"/>
            <w:shd w:val="clear" w:color="auto" w:fill="99CCFF"/>
            <w:tcMar>
              <w:top w:w="0" w:type="dxa"/>
              <w:left w:w="108" w:type="dxa"/>
              <w:bottom w:w="0" w:type="dxa"/>
              <w:right w:w="108" w:type="dxa"/>
            </w:tcMar>
          </w:tcPr>
          <w:p w14:paraId="7EE2921A" w14:textId="77777777" w:rsidR="00C5315F" w:rsidRPr="00645B2C" w:rsidRDefault="00C5315F" w:rsidP="00165C16">
            <w:pPr>
              <w:numPr>
                <w:ilvl w:val="0"/>
                <w:numId w:val="22"/>
              </w:numPr>
              <w:spacing w:after="0" w:line="240" w:lineRule="auto"/>
              <w:jc w:val="both"/>
              <w:rPr>
                <w:rFonts w:cs="Calibri"/>
                <w:sz w:val="18"/>
                <w:szCs w:val="18"/>
              </w:rPr>
            </w:pPr>
            <w:r w:rsidRPr="00645B2C">
              <w:rPr>
                <w:rFonts w:cs="Calibri"/>
                <w:sz w:val="18"/>
                <w:szCs w:val="18"/>
              </w:rPr>
              <w:t>izrada programa potreba s brojem i kapacitetom ukopnih mjesta za sva groblja</w:t>
            </w:r>
          </w:p>
          <w:p w14:paraId="550BDD97" w14:textId="77777777" w:rsidR="00C5315F" w:rsidRPr="00645B2C" w:rsidRDefault="00C5315F" w:rsidP="00165C16">
            <w:pPr>
              <w:numPr>
                <w:ilvl w:val="0"/>
                <w:numId w:val="22"/>
              </w:numPr>
              <w:spacing w:after="0" w:line="240" w:lineRule="auto"/>
              <w:jc w:val="both"/>
              <w:rPr>
                <w:rFonts w:cs="Calibri"/>
                <w:sz w:val="18"/>
                <w:szCs w:val="18"/>
              </w:rPr>
            </w:pPr>
            <w:r w:rsidRPr="00645B2C">
              <w:rPr>
                <w:rFonts w:cs="Calibri"/>
                <w:sz w:val="18"/>
                <w:szCs w:val="18"/>
              </w:rPr>
              <w:t xml:space="preserve">standardizirati način opremanja svih groblja </w:t>
            </w:r>
          </w:p>
          <w:p w14:paraId="4340C44B" w14:textId="77777777" w:rsidR="00C5315F" w:rsidRPr="00645B2C" w:rsidRDefault="00C5315F" w:rsidP="00165C16">
            <w:pPr>
              <w:numPr>
                <w:ilvl w:val="0"/>
                <w:numId w:val="22"/>
              </w:numPr>
              <w:spacing w:after="0" w:line="240" w:lineRule="auto"/>
              <w:jc w:val="both"/>
              <w:rPr>
                <w:rFonts w:cs="Calibri"/>
                <w:sz w:val="18"/>
                <w:szCs w:val="18"/>
              </w:rPr>
            </w:pPr>
            <w:r w:rsidRPr="00645B2C">
              <w:rPr>
                <w:rFonts w:cs="Calibri"/>
                <w:sz w:val="18"/>
                <w:szCs w:val="18"/>
              </w:rPr>
              <w:t>dugoročno osigurati dovoljno prostora za razvoj groblja, a etapnim razvojem omogućiti rezerve grobnih mjesta nekoliko godina unaprijed,</w:t>
            </w:r>
          </w:p>
          <w:p w14:paraId="26B7544E" w14:textId="77777777" w:rsidR="00C5315F" w:rsidRPr="00645B2C" w:rsidRDefault="00C5315F" w:rsidP="00165C16">
            <w:pPr>
              <w:pStyle w:val="StandardWeb"/>
              <w:numPr>
                <w:ilvl w:val="0"/>
                <w:numId w:val="22"/>
              </w:numPr>
              <w:spacing w:before="60" w:beforeAutospacing="0" w:after="60" w:afterAutospacing="0"/>
              <w:ind w:right="-2"/>
              <w:rPr>
                <w:rFonts w:ascii="Calibri" w:hAnsi="Calibri" w:cs="Calibri"/>
                <w:sz w:val="18"/>
                <w:szCs w:val="18"/>
              </w:rPr>
            </w:pPr>
            <w:r w:rsidRPr="00645B2C">
              <w:rPr>
                <w:rFonts w:ascii="Calibri" w:hAnsi="Calibri" w:cs="Calibri"/>
                <w:sz w:val="18"/>
                <w:szCs w:val="18"/>
              </w:rPr>
              <w:t xml:space="preserve">izrada prostorno-planske dokumentacije za proširenje malih gradskih groblja </w:t>
            </w:r>
          </w:p>
          <w:p w14:paraId="6229ECC1" w14:textId="77777777" w:rsidR="00C5315F" w:rsidRPr="00645B2C" w:rsidRDefault="00C5315F" w:rsidP="00165C16">
            <w:pPr>
              <w:pStyle w:val="StandardWeb"/>
              <w:numPr>
                <w:ilvl w:val="0"/>
                <w:numId w:val="22"/>
              </w:numPr>
              <w:spacing w:before="60" w:beforeAutospacing="0" w:after="60" w:afterAutospacing="0"/>
              <w:ind w:right="-2"/>
              <w:rPr>
                <w:rFonts w:ascii="Calibri" w:hAnsi="Calibri" w:cs="Calibri"/>
                <w:sz w:val="18"/>
                <w:szCs w:val="18"/>
              </w:rPr>
            </w:pPr>
            <w:r w:rsidRPr="00645B2C">
              <w:rPr>
                <w:rFonts w:ascii="Calibri" w:hAnsi="Calibri" w:cs="Calibri"/>
                <w:sz w:val="18"/>
                <w:szCs w:val="18"/>
              </w:rPr>
              <w:t xml:space="preserve">digitalizacija objekata </w:t>
            </w:r>
          </w:p>
          <w:p w14:paraId="7D6C9FB2" w14:textId="77777777" w:rsidR="00C5315F" w:rsidRPr="00645B2C" w:rsidRDefault="00C5315F" w:rsidP="00165C16">
            <w:pPr>
              <w:pStyle w:val="StandardWeb"/>
              <w:numPr>
                <w:ilvl w:val="0"/>
                <w:numId w:val="22"/>
              </w:numPr>
              <w:spacing w:before="60" w:beforeAutospacing="0" w:after="60" w:afterAutospacing="0"/>
              <w:ind w:right="-2"/>
              <w:rPr>
                <w:rFonts w:ascii="Calibri" w:hAnsi="Calibri" w:cs="Calibri"/>
                <w:sz w:val="18"/>
                <w:szCs w:val="18"/>
              </w:rPr>
            </w:pPr>
            <w:r w:rsidRPr="00645B2C">
              <w:rPr>
                <w:rFonts w:ascii="Calibri" w:hAnsi="Calibri" w:cs="Calibri"/>
                <w:sz w:val="18"/>
                <w:szCs w:val="18"/>
              </w:rPr>
              <w:t>osiguranje parkirnih mjesta za građane/stranke/posjetitelje</w:t>
            </w:r>
          </w:p>
          <w:p w14:paraId="4B376BF8" w14:textId="77777777" w:rsidR="00C5315F" w:rsidRPr="00645B2C" w:rsidRDefault="00C5315F" w:rsidP="00165C16">
            <w:pPr>
              <w:pStyle w:val="StandardWeb"/>
              <w:numPr>
                <w:ilvl w:val="0"/>
                <w:numId w:val="22"/>
              </w:numPr>
              <w:spacing w:before="60" w:beforeAutospacing="0" w:after="60" w:afterAutospacing="0"/>
              <w:ind w:right="-2"/>
              <w:rPr>
                <w:rFonts w:ascii="Calibri" w:hAnsi="Calibri" w:cs="Calibri"/>
                <w:sz w:val="18"/>
                <w:szCs w:val="18"/>
              </w:rPr>
            </w:pPr>
            <w:r w:rsidRPr="00645B2C">
              <w:rPr>
                <w:rFonts w:ascii="Calibri" w:hAnsi="Calibri" w:cs="Calibri"/>
                <w:sz w:val="18"/>
                <w:szCs w:val="18"/>
              </w:rPr>
              <w:t>potrebno stvoriti dodatne sadržaje koji su uz kulturnu baštinu u ulozi turističke promocije grada Zagreba</w:t>
            </w:r>
          </w:p>
          <w:p w14:paraId="2835F01F" w14:textId="77777777" w:rsidR="00C5315F" w:rsidRPr="00645B2C" w:rsidRDefault="00C5315F" w:rsidP="000A7030">
            <w:pPr>
              <w:pStyle w:val="StandardWeb"/>
              <w:spacing w:before="60" w:beforeAutospacing="0" w:after="60" w:afterAutospacing="0"/>
              <w:ind w:left="360" w:right="-2"/>
              <w:rPr>
                <w:rFonts w:ascii="Calibri" w:hAnsi="Calibri" w:cs="Calibri"/>
                <w:sz w:val="18"/>
                <w:szCs w:val="18"/>
              </w:rPr>
            </w:pPr>
          </w:p>
        </w:tc>
      </w:tr>
    </w:tbl>
    <w:p w14:paraId="7C67FA48" w14:textId="77777777" w:rsidR="00C5315F" w:rsidRDefault="00C5315F" w:rsidP="00C5315F">
      <w:pPr>
        <w:tabs>
          <w:tab w:val="left" w:pos="-720"/>
        </w:tabs>
        <w:suppressAutoHyphens/>
        <w:spacing w:after="0" w:line="240" w:lineRule="auto"/>
        <w:ind w:right="-2"/>
        <w:jc w:val="both"/>
        <w:rPr>
          <w:noProof/>
          <w:lang w:eastAsia="hr-HR"/>
        </w:rPr>
      </w:pPr>
    </w:p>
    <w:p w14:paraId="3BF985F5" w14:textId="456FF93E" w:rsidR="00C5315F" w:rsidRDefault="00C5315F" w:rsidP="00E2286C">
      <w:pPr>
        <w:pStyle w:val="Opisslike"/>
        <w:rPr>
          <w:rFonts w:cs="Calibri"/>
          <w:lang w:eastAsia="hr-HR"/>
        </w:rPr>
      </w:pPr>
      <w:r>
        <w:rPr>
          <w:rFonts w:cs="Calibri"/>
          <w:lang w:eastAsia="hr-HR"/>
        </w:rPr>
        <w:br w:type="page"/>
      </w:r>
      <w:r w:rsidR="00E2286C">
        <w:t xml:space="preserve">Slika </w:t>
      </w:r>
      <w:r w:rsidR="00751C19">
        <w:fldChar w:fldCharType="begin"/>
      </w:r>
      <w:r w:rsidR="00751C19">
        <w:instrText xml:space="preserve"> SEQ Slika \* ARABIC </w:instrText>
      </w:r>
      <w:r w:rsidR="00751C19">
        <w:fldChar w:fldCharType="separate"/>
      </w:r>
      <w:r w:rsidR="00ED75AB">
        <w:rPr>
          <w:noProof/>
        </w:rPr>
        <w:t>3</w:t>
      </w:r>
      <w:r w:rsidR="00751C19">
        <w:rPr>
          <w:noProof/>
        </w:rPr>
        <w:fldChar w:fldCharType="end"/>
      </w:r>
      <w:r w:rsidR="00E2286C">
        <w:t xml:space="preserve">. </w:t>
      </w:r>
      <w:r w:rsidR="00E2286C" w:rsidRPr="00D1034D">
        <w:t>Prostorni prikaz postojećih groblja Grada Zagreba</w:t>
      </w:r>
      <w:r>
        <w:rPr>
          <w:rFonts w:cs="Calibri"/>
          <w:lang w:eastAsia="hr-HR"/>
        </w:rPr>
        <w:t xml:space="preserve"> </w:t>
      </w:r>
    </w:p>
    <w:p w14:paraId="6E94CDC2" w14:textId="77777777" w:rsidR="00C5315F" w:rsidRPr="0025012A" w:rsidRDefault="00C5315F" w:rsidP="00C5315F">
      <w:pPr>
        <w:tabs>
          <w:tab w:val="left" w:pos="-720"/>
        </w:tabs>
        <w:suppressAutoHyphens/>
        <w:spacing w:after="0" w:line="240" w:lineRule="auto"/>
        <w:ind w:right="-2"/>
        <w:jc w:val="both"/>
        <w:rPr>
          <w:rFonts w:eastAsia="Times New Roman" w:cs="Calibri"/>
          <w:lang w:eastAsia="hr-HR"/>
        </w:rPr>
      </w:pPr>
    </w:p>
    <w:p w14:paraId="5DA68FCC" w14:textId="5EBABAEA" w:rsidR="00C5315F" w:rsidRPr="00D771AD" w:rsidRDefault="00C5315F" w:rsidP="00C5315F">
      <w:pPr>
        <w:rPr>
          <w:rFonts w:cs="Calibri"/>
          <w:bCs/>
        </w:rPr>
      </w:pPr>
      <w:r>
        <w:rPr>
          <w:rFonts w:eastAsia="Times New Roman" w:cs="Calibri"/>
          <w:noProof/>
          <w:lang w:eastAsia="hr-HR"/>
        </w:rPr>
        <w:drawing>
          <wp:anchor distT="0" distB="0" distL="114300" distR="114300" simplePos="0" relativeHeight="251660288" behindDoc="1" locked="0" layoutInCell="1" allowOverlap="1" wp14:anchorId="02CE9D0B" wp14:editId="4FD5F8E8">
            <wp:simplePos x="0" y="0"/>
            <wp:positionH relativeFrom="column">
              <wp:posOffset>100330</wp:posOffset>
            </wp:positionH>
            <wp:positionV relativeFrom="paragraph">
              <wp:posOffset>6985</wp:posOffset>
            </wp:positionV>
            <wp:extent cx="5400675" cy="7277100"/>
            <wp:effectExtent l="0" t="0" r="9525" b="0"/>
            <wp:wrapTight wrapText="bothSides">
              <wp:wrapPolygon edited="0">
                <wp:start x="0" y="0"/>
                <wp:lineTo x="0" y="21543"/>
                <wp:lineTo x="21562" y="21543"/>
                <wp:lineTo x="2156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727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77CEB" w14:textId="77777777" w:rsidR="00C5315F" w:rsidRPr="00042107" w:rsidRDefault="00C5315F" w:rsidP="00C5315F">
      <w:pPr>
        <w:rPr>
          <w:rFonts w:cs="Calibri"/>
          <w:bCs/>
        </w:rPr>
      </w:pPr>
      <w:r w:rsidRPr="00042107">
        <w:rPr>
          <w:rFonts w:cs="Calibri"/>
          <w:bCs/>
        </w:rPr>
        <w:t>Izvor: Gradski ured za strategijsko planiranje i razvoj Grada, 2019.</w:t>
      </w:r>
    </w:p>
    <w:p w14:paraId="20B02E39" w14:textId="77777777" w:rsidR="00C5315F" w:rsidRDefault="00C5315F" w:rsidP="00C5315F">
      <w:pPr>
        <w:rPr>
          <w:rFonts w:cs="Calibri"/>
          <w:b/>
        </w:rPr>
      </w:pPr>
    </w:p>
    <w:p w14:paraId="21E9F4EF" w14:textId="2F2064B6" w:rsidR="00C5315F" w:rsidRPr="00A33E06" w:rsidRDefault="00C5315F" w:rsidP="00C45A8C">
      <w:pPr>
        <w:pStyle w:val="Stil2"/>
      </w:pPr>
      <w:r>
        <w:br w:type="page"/>
      </w:r>
      <w:bookmarkStart w:id="113" w:name="_Toc97123833"/>
      <w:r>
        <w:t>4</w:t>
      </w:r>
      <w:r w:rsidRPr="00A33E06">
        <w:t>.</w:t>
      </w:r>
      <w:r>
        <w:t>2</w:t>
      </w:r>
      <w:r w:rsidRPr="00A33E06">
        <w:t>.</w:t>
      </w:r>
      <w:r>
        <w:t>5</w:t>
      </w:r>
      <w:r w:rsidRPr="00A33E06">
        <w:t>. Zaštita i zbrinjavanje životinja</w:t>
      </w:r>
      <w:bookmarkEnd w:id="113"/>
      <w:r w:rsidRPr="00A33E06">
        <w:t xml:space="preserve"> </w:t>
      </w:r>
    </w:p>
    <w:p w14:paraId="27663F74" w14:textId="77777777" w:rsidR="00C5315F" w:rsidRDefault="00C5315F" w:rsidP="00C5315F">
      <w:pPr>
        <w:spacing w:line="240" w:lineRule="auto"/>
        <w:jc w:val="both"/>
        <w:rPr>
          <w:rFonts w:cs="Calibri"/>
        </w:rPr>
      </w:pPr>
      <w:r w:rsidRPr="00A33E06">
        <w:rPr>
          <w:rFonts w:cs="Calibri"/>
          <w:b/>
        </w:rPr>
        <w:t xml:space="preserve">Groblje za kućne ljubimce sa sabiralištem i krematorijem. </w:t>
      </w:r>
      <w:r w:rsidRPr="00126A1E">
        <w:rPr>
          <w:rFonts w:cs="Calibri"/>
        </w:rPr>
        <w:t>Groblj</w:t>
      </w:r>
      <w:r>
        <w:rPr>
          <w:rFonts w:cs="Calibri"/>
        </w:rPr>
        <w:t>e</w:t>
      </w:r>
      <w:r w:rsidRPr="00126A1E">
        <w:rPr>
          <w:rFonts w:cs="Calibri"/>
        </w:rPr>
        <w:t xml:space="preserve"> i krematorij za kućne ljubimce S</w:t>
      </w:r>
      <w:r>
        <w:rPr>
          <w:rFonts w:cs="Calibri"/>
        </w:rPr>
        <w:t>p</w:t>
      </w:r>
      <w:r w:rsidRPr="00126A1E">
        <w:rPr>
          <w:rFonts w:cs="Calibri"/>
        </w:rPr>
        <w:t>omengaj u Dumovcu</w:t>
      </w:r>
      <w:r>
        <w:rPr>
          <w:rFonts w:cs="Calibri"/>
        </w:rPr>
        <w:t xml:space="preserve"> otvoreno je u lipnju 2019. </w:t>
      </w:r>
      <w:r w:rsidRPr="00126A1E">
        <w:rPr>
          <w:rFonts w:cs="Calibri"/>
        </w:rPr>
        <w:t>Gradnja je započela u jesen 2015. i stajala je gotovo petnaest milijuna i petsto tisuća kuna. Sredstva je osigurao Grad Zagreb.</w:t>
      </w:r>
    </w:p>
    <w:p w14:paraId="189D1BAF" w14:textId="77777777" w:rsidR="00C5315F" w:rsidRPr="00A33E06" w:rsidRDefault="00C5315F" w:rsidP="00C5315F">
      <w:pPr>
        <w:spacing w:line="240" w:lineRule="auto"/>
        <w:jc w:val="both"/>
        <w:rPr>
          <w:rFonts w:cs="Calibri"/>
        </w:rPr>
      </w:pPr>
      <w:r w:rsidRPr="00A33E06">
        <w:rPr>
          <w:rFonts w:cs="Calibri"/>
          <w:b/>
        </w:rPr>
        <w:t xml:space="preserve">Sklonište za napuštene kućne ljubimce u Dumovcu. </w:t>
      </w:r>
      <w:r w:rsidRPr="00A33E06">
        <w:rPr>
          <w:rFonts w:cs="Calibri"/>
        </w:rPr>
        <w:t>Sklonište za nezbrinute životinje smješteno je sukladno prostorno-planskoj dokumentaciji na istočnom dijelu Grada Zagreba u Gradskoj četvrti Sesvete – Mjesnom odboru Dumovec, u suvlasništvu Grada Zagreba (4.327 m</w:t>
      </w:r>
      <w:r w:rsidRPr="00A33E06">
        <w:rPr>
          <w:rFonts w:cs="Calibri"/>
          <w:vertAlign w:val="superscript"/>
        </w:rPr>
        <w:t>2</w:t>
      </w:r>
      <w:r w:rsidRPr="00A33E06">
        <w:rPr>
          <w:rFonts w:cs="Calibri"/>
        </w:rPr>
        <w:t>) i RH (8.611 m</w:t>
      </w:r>
      <w:r w:rsidRPr="00A33E06">
        <w:rPr>
          <w:rFonts w:cs="Calibri"/>
          <w:vertAlign w:val="superscript"/>
        </w:rPr>
        <w:t>2</w:t>
      </w:r>
      <w:r w:rsidRPr="00A33E06">
        <w:rPr>
          <w:rFonts w:cs="Calibri"/>
        </w:rPr>
        <w:t>). Parcela se nalazi uz Groblje za kućne ljubimce i opremljena je svom komunalnom infrastrukturom.</w:t>
      </w:r>
      <w:r w:rsidRPr="00A33E06">
        <w:rPr>
          <w:rFonts w:cs="Calibri"/>
          <w:b/>
        </w:rPr>
        <w:t xml:space="preserve"> </w:t>
      </w:r>
      <w:r w:rsidRPr="00A33E06">
        <w:rPr>
          <w:rFonts w:cs="Calibri"/>
        </w:rPr>
        <w:t>Kapacitet Skloništa je 160-180 pasa, a broj novoprimljenih životinja povezan je s brojem udomljenih. Osim pasa, Sklonište u ovim kapacitetima i organizacijskoj strukturi teško može osigurati primanje drugih vrsta.</w:t>
      </w:r>
      <w:r>
        <w:rPr>
          <w:rFonts w:cs="Calibri"/>
        </w:rPr>
        <w:t xml:space="preserve"> </w:t>
      </w:r>
    </w:p>
    <w:tbl>
      <w:tblPr>
        <w:tblW w:w="0" w:type="auto"/>
        <w:tblCellMar>
          <w:left w:w="0" w:type="dxa"/>
          <w:right w:w="0" w:type="dxa"/>
        </w:tblCellMar>
        <w:tblLook w:val="0000" w:firstRow="0" w:lastRow="0" w:firstColumn="0" w:lastColumn="0" w:noHBand="0" w:noVBand="0"/>
      </w:tblPr>
      <w:tblGrid>
        <w:gridCol w:w="4539"/>
        <w:gridCol w:w="4533"/>
      </w:tblGrid>
      <w:tr w:rsidR="00C5315F" w:rsidRPr="00A33E06" w14:paraId="7C040468" w14:textId="77777777" w:rsidTr="00072476">
        <w:trPr>
          <w:trHeight w:val="443"/>
        </w:trPr>
        <w:tc>
          <w:tcPr>
            <w:tcW w:w="4644" w:type="dxa"/>
            <w:shd w:val="clear" w:color="auto" w:fill="CCCCCC"/>
            <w:tcMar>
              <w:top w:w="0" w:type="dxa"/>
              <w:left w:w="108" w:type="dxa"/>
              <w:bottom w:w="0" w:type="dxa"/>
              <w:right w:w="108" w:type="dxa"/>
            </w:tcMar>
          </w:tcPr>
          <w:p w14:paraId="5E3BDA8B"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642" w:type="dxa"/>
            <w:vMerge w:val="restart"/>
            <w:shd w:val="clear" w:color="auto" w:fill="99CCFF"/>
            <w:tcMar>
              <w:top w:w="0" w:type="dxa"/>
              <w:left w:w="108" w:type="dxa"/>
              <w:bottom w:w="0" w:type="dxa"/>
              <w:right w:w="108" w:type="dxa"/>
            </w:tcMar>
          </w:tcPr>
          <w:p w14:paraId="393BFBC2"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RAZVOJNE POTREBE</w:t>
            </w:r>
          </w:p>
          <w:p w14:paraId="4D362595" w14:textId="77777777" w:rsidR="00C5315F" w:rsidRPr="00A33E06" w:rsidRDefault="00C5315F" w:rsidP="00165C16">
            <w:pPr>
              <w:numPr>
                <w:ilvl w:val="0"/>
                <w:numId w:val="22"/>
              </w:numPr>
              <w:spacing w:before="60" w:after="60" w:line="240" w:lineRule="auto"/>
              <w:jc w:val="both"/>
              <w:rPr>
                <w:rFonts w:cs="Calibri"/>
                <w:sz w:val="18"/>
                <w:szCs w:val="18"/>
              </w:rPr>
            </w:pPr>
            <w:r w:rsidRPr="00A33E06">
              <w:rPr>
                <w:rFonts w:cs="Calibri"/>
                <w:sz w:val="18"/>
                <w:szCs w:val="18"/>
              </w:rPr>
              <w:t>Smanjenje rizika za sigurnost i imovinu građana te zdravlje ljudi i životinja pravodobnim smještajem i zbrinjavanjem životinja jačanjem (kadrovski, materijalno) službe.</w:t>
            </w:r>
          </w:p>
          <w:p w14:paraId="314C9262" w14:textId="77777777" w:rsidR="00C5315F" w:rsidRPr="00A33E06" w:rsidRDefault="00C5315F" w:rsidP="00165C16">
            <w:pPr>
              <w:numPr>
                <w:ilvl w:val="0"/>
                <w:numId w:val="22"/>
              </w:numPr>
              <w:spacing w:before="60" w:after="60" w:line="240" w:lineRule="auto"/>
              <w:jc w:val="both"/>
              <w:rPr>
                <w:rFonts w:cs="Calibri"/>
                <w:sz w:val="18"/>
                <w:szCs w:val="18"/>
              </w:rPr>
            </w:pPr>
            <w:r w:rsidRPr="00A33E06">
              <w:rPr>
                <w:rFonts w:cs="Calibri"/>
                <w:sz w:val="18"/>
                <w:szCs w:val="18"/>
              </w:rPr>
              <w:t>Postupanje sa lešinama kućnih ljubimaca sukladno propisima i željama djela vlasnika.</w:t>
            </w:r>
          </w:p>
          <w:p w14:paraId="6198777E" w14:textId="77777777" w:rsidR="00C5315F" w:rsidRPr="00A33E06" w:rsidRDefault="00C5315F" w:rsidP="00165C16">
            <w:pPr>
              <w:numPr>
                <w:ilvl w:val="0"/>
                <w:numId w:val="22"/>
              </w:numPr>
              <w:spacing w:before="60" w:after="60" w:line="240" w:lineRule="auto"/>
              <w:jc w:val="both"/>
              <w:rPr>
                <w:rFonts w:cs="Calibri"/>
                <w:sz w:val="18"/>
                <w:szCs w:val="18"/>
              </w:rPr>
            </w:pPr>
            <w:r w:rsidRPr="00A33E06">
              <w:rPr>
                <w:rFonts w:cs="Calibri"/>
                <w:sz w:val="18"/>
                <w:szCs w:val="18"/>
              </w:rPr>
              <w:t>Stvaranje infrastrukturnih preduvjeta za postupanje s lešinama kućnih ljubimaca sukladno zakonu.</w:t>
            </w:r>
          </w:p>
          <w:p w14:paraId="312CF7F6" w14:textId="77777777" w:rsidR="00C5315F" w:rsidRPr="00A33E06" w:rsidRDefault="00C5315F" w:rsidP="00165C16">
            <w:pPr>
              <w:numPr>
                <w:ilvl w:val="0"/>
                <w:numId w:val="22"/>
              </w:numPr>
              <w:spacing w:before="60" w:after="60" w:line="240" w:lineRule="auto"/>
              <w:jc w:val="both"/>
              <w:rPr>
                <w:rFonts w:cs="Calibri"/>
                <w:sz w:val="18"/>
                <w:szCs w:val="18"/>
              </w:rPr>
            </w:pPr>
            <w:r w:rsidRPr="00A33E06">
              <w:rPr>
                <w:rFonts w:cs="Calibri"/>
                <w:sz w:val="18"/>
                <w:szCs w:val="18"/>
              </w:rPr>
              <w:t xml:space="preserve">Stvaranje preduvjeta za zbrinjavanje lešina na širem regionalnoj razini </w:t>
            </w:r>
          </w:p>
          <w:p w14:paraId="25317462" w14:textId="77777777" w:rsidR="00C5315F" w:rsidRPr="00A33E06" w:rsidRDefault="00C5315F" w:rsidP="00165C16">
            <w:pPr>
              <w:numPr>
                <w:ilvl w:val="0"/>
                <w:numId w:val="22"/>
              </w:numPr>
              <w:spacing w:before="60" w:after="60" w:line="240" w:lineRule="auto"/>
              <w:jc w:val="both"/>
              <w:rPr>
                <w:rFonts w:cs="Calibri"/>
                <w:b/>
                <w:sz w:val="18"/>
                <w:szCs w:val="18"/>
              </w:rPr>
            </w:pPr>
            <w:r w:rsidRPr="00A33E06">
              <w:rPr>
                <w:rFonts w:cs="Calibri"/>
                <w:sz w:val="18"/>
                <w:szCs w:val="18"/>
              </w:rPr>
              <w:t>Provođenje preostalih faza započetog projekta</w:t>
            </w:r>
            <w:r>
              <w:rPr>
                <w:rFonts w:cs="Calibri"/>
                <w:sz w:val="18"/>
                <w:szCs w:val="18"/>
              </w:rPr>
              <w:t xml:space="preserve"> </w:t>
            </w:r>
            <w:r w:rsidRPr="00A33E06">
              <w:rPr>
                <w:rFonts w:cs="Calibri"/>
                <w:sz w:val="18"/>
                <w:szCs w:val="18"/>
              </w:rPr>
              <w:t>„Razvojni plan skloništa“ s izradom projektnog rješenja i izvedbenog projekta.</w:t>
            </w:r>
          </w:p>
          <w:p w14:paraId="754A892C" w14:textId="77777777" w:rsidR="00C5315F" w:rsidRPr="00A33E06" w:rsidRDefault="00C5315F" w:rsidP="00165C16">
            <w:pPr>
              <w:pStyle w:val="StandardWeb"/>
              <w:numPr>
                <w:ilvl w:val="0"/>
                <w:numId w:val="22"/>
              </w:numPr>
              <w:spacing w:before="60" w:beforeAutospacing="0" w:after="60" w:afterAutospacing="0"/>
              <w:rPr>
                <w:rFonts w:ascii="Calibri" w:hAnsi="Calibri" w:cs="Calibri"/>
                <w:sz w:val="18"/>
                <w:szCs w:val="18"/>
              </w:rPr>
            </w:pPr>
            <w:r w:rsidRPr="00A33E06">
              <w:rPr>
                <w:rFonts w:ascii="Calibri" w:hAnsi="Calibri" w:cs="Calibri"/>
                <w:sz w:val="18"/>
                <w:szCs w:val="18"/>
              </w:rPr>
              <w:t xml:space="preserve">Stvaranje infrastrukturnih preduvjeta (smještajni objekti, oprema, karantena) za obavljanje djelatnosti te smještaj svih vrsta nezbrinutih životinja za koje se ukazuje potreba. </w:t>
            </w:r>
          </w:p>
          <w:p w14:paraId="477D5851" w14:textId="77777777" w:rsidR="00C5315F" w:rsidRPr="00A33E06" w:rsidRDefault="00C5315F" w:rsidP="00165C16">
            <w:pPr>
              <w:pStyle w:val="StandardWeb"/>
              <w:numPr>
                <w:ilvl w:val="0"/>
                <w:numId w:val="22"/>
              </w:numPr>
              <w:spacing w:before="60" w:beforeAutospacing="0" w:after="60" w:afterAutospacing="0"/>
              <w:rPr>
                <w:rFonts w:ascii="Calibri" w:hAnsi="Calibri" w:cs="Calibri"/>
                <w:sz w:val="18"/>
                <w:szCs w:val="18"/>
              </w:rPr>
            </w:pPr>
            <w:r w:rsidRPr="00A33E06">
              <w:rPr>
                <w:rFonts w:ascii="Calibri" w:hAnsi="Calibri" w:cs="Calibri"/>
                <w:sz w:val="18"/>
                <w:szCs w:val="18"/>
              </w:rPr>
              <w:t>Osiguranje permanentnog prisustva javnosti u radu Skloništa za nezbrinute životinje uz stalnu edukaciju građana, a napose najmlađih.</w:t>
            </w:r>
            <w:r>
              <w:rPr>
                <w:rFonts w:ascii="Calibri" w:hAnsi="Calibri" w:cs="Calibri"/>
                <w:sz w:val="18"/>
                <w:szCs w:val="18"/>
              </w:rPr>
              <w:t xml:space="preserve"> </w:t>
            </w:r>
          </w:p>
          <w:p w14:paraId="2EB1F4AB" w14:textId="77777777" w:rsidR="00C5315F" w:rsidRPr="00A33E06" w:rsidRDefault="00C5315F" w:rsidP="00072476">
            <w:pPr>
              <w:spacing w:before="60" w:after="60" w:line="240" w:lineRule="auto"/>
              <w:jc w:val="both"/>
              <w:rPr>
                <w:rFonts w:cs="Calibri"/>
                <w:b/>
                <w:sz w:val="18"/>
                <w:szCs w:val="18"/>
              </w:rPr>
            </w:pPr>
          </w:p>
        </w:tc>
      </w:tr>
      <w:tr w:rsidR="00C5315F" w:rsidRPr="00A33E06" w14:paraId="2378D22F" w14:textId="77777777" w:rsidTr="00072476">
        <w:tc>
          <w:tcPr>
            <w:tcW w:w="4644" w:type="dxa"/>
            <w:shd w:val="clear" w:color="auto" w:fill="CCCCCC"/>
            <w:tcMar>
              <w:top w:w="0" w:type="dxa"/>
              <w:left w:w="108" w:type="dxa"/>
              <w:bottom w:w="0" w:type="dxa"/>
              <w:right w:w="108" w:type="dxa"/>
            </w:tcMar>
          </w:tcPr>
          <w:p w14:paraId="412A0424"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Potencijalna ugroza zdravlja ljudi i životinja zbog neodgovarajućeg uklanjanja I. kategorije animalnih nusproizvoda (lešina kućnih ljubimaca).</w:t>
            </w:r>
          </w:p>
          <w:p w14:paraId="03EDA463"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Onečišćenje okoliša – tla, vode i zraka kao posljedica nekontroliranog odlaganja lešina kućnih ljubimaca.</w:t>
            </w:r>
          </w:p>
          <w:p w14:paraId="4EC80C22"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 xml:space="preserve">Nezakonito postupanje s lešinama kućnih ljubimaca. </w:t>
            </w:r>
          </w:p>
          <w:p w14:paraId="6B864798"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Neadekvatna implementacija zakonskih odredbi koje utvrđuju načine za uklanjanje animalnih nusproizvoda.</w:t>
            </w:r>
          </w:p>
          <w:p w14:paraId="19758ADB"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 xml:space="preserve">Emocionalno pitanje koje građani iskazuju prilikom uginuća kućnih ljubimaca </w:t>
            </w:r>
          </w:p>
          <w:p w14:paraId="4D5CB81E"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Pitanje sigurnosti građana i imovine zbog nekontroliranog kretanja kućnih ljubimaca na javnim površinama</w:t>
            </w:r>
          </w:p>
          <w:p w14:paraId="79103874"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Pr>
                <w:rFonts w:ascii="Calibri" w:hAnsi="Calibri" w:cs="Calibri"/>
                <w:sz w:val="18"/>
                <w:szCs w:val="18"/>
              </w:rPr>
              <w:t>Javno-</w:t>
            </w:r>
            <w:r w:rsidRPr="00A33E06">
              <w:rPr>
                <w:rFonts w:ascii="Calibri" w:hAnsi="Calibri" w:cs="Calibri"/>
                <w:sz w:val="18"/>
                <w:szCs w:val="18"/>
              </w:rPr>
              <w:t>zdravstveni rizik za ljude i životinje.</w:t>
            </w:r>
          </w:p>
          <w:p w14:paraId="7E52A702"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Nemogućnost smještaja brojnih životinjskih vrsta (mačke, egzotične</w:t>
            </w:r>
            <w:r>
              <w:rPr>
                <w:rFonts w:ascii="Calibri" w:hAnsi="Calibri" w:cs="Calibri"/>
                <w:sz w:val="18"/>
                <w:szCs w:val="18"/>
              </w:rPr>
              <w:t xml:space="preserve"> </w:t>
            </w:r>
            <w:r w:rsidRPr="00A33E06">
              <w:rPr>
                <w:rFonts w:ascii="Calibri" w:hAnsi="Calibri" w:cs="Calibri"/>
                <w:sz w:val="18"/>
                <w:szCs w:val="18"/>
              </w:rPr>
              <w:t xml:space="preserve">životinje, itd.) zbog nedostatka kapaciteta. </w:t>
            </w:r>
          </w:p>
          <w:p w14:paraId="43DDF515" w14:textId="77777777" w:rsidR="00C5315F" w:rsidRPr="00A33E06" w:rsidRDefault="00C5315F" w:rsidP="00165C16">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Problem zbrinjavanja životinja koje su predmetom raznih postupaka (sudskih, oduzetih, zapljene od strane nadležnih tijela,</w:t>
            </w:r>
            <w:r>
              <w:rPr>
                <w:rFonts w:ascii="Calibri" w:hAnsi="Calibri" w:cs="Calibri"/>
                <w:sz w:val="18"/>
                <w:szCs w:val="18"/>
              </w:rPr>
              <w:t xml:space="preserve"> </w:t>
            </w:r>
            <w:r w:rsidRPr="00A33E06">
              <w:rPr>
                <w:rFonts w:ascii="Calibri" w:hAnsi="Calibri" w:cs="Calibri"/>
                <w:sz w:val="18"/>
                <w:szCs w:val="18"/>
              </w:rPr>
              <w:t>itd.).</w:t>
            </w:r>
          </w:p>
          <w:p w14:paraId="414814C4" w14:textId="400FB18F" w:rsidR="00C5315F" w:rsidRPr="00A33E06" w:rsidRDefault="00C5315F" w:rsidP="00C259BD">
            <w:pPr>
              <w:pStyle w:val="StandardWeb"/>
              <w:numPr>
                <w:ilvl w:val="0"/>
                <w:numId w:val="2"/>
              </w:numPr>
              <w:tabs>
                <w:tab w:val="clear" w:pos="720"/>
                <w:tab w:val="num" w:pos="360"/>
              </w:tabs>
              <w:spacing w:before="60" w:beforeAutospacing="0" w:after="60" w:afterAutospacing="0"/>
              <w:ind w:left="357" w:hanging="357"/>
              <w:rPr>
                <w:rFonts w:ascii="Calibri" w:hAnsi="Calibri" w:cs="Calibri"/>
                <w:sz w:val="18"/>
                <w:szCs w:val="18"/>
              </w:rPr>
            </w:pPr>
            <w:r w:rsidRPr="00A33E06">
              <w:rPr>
                <w:rFonts w:ascii="Calibri" w:hAnsi="Calibri" w:cs="Calibri"/>
                <w:sz w:val="18"/>
                <w:szCs w:val="18"/>
              </w:rPr>
              <w:t>Vlasništvo RH na zemljištu nužnom za proširenje kapaciteta.</w:t>
            </w:r>
          </w:p>
        </w:tc>
        <w:tc>
          <w:tcPr>
            <w:tcW w:w="4642" w:type="dxa"/>
            <w:vMerge/>
            <w:shd w:val="clear" w:color="auto" w:fill="99CCFF"/>
            <w:tcMar>
              <w:top w:w="0" w:type="dxa"/>
              <w:left w:w="108" w:type="dxa"/>
              <w:bottom w:w="0" w:type="dxa"/>
              <w:right w:w="108" w:type="dxa"/>
            </w:tcMar>
          </w:tcPr>
          <w:p w14:paraId="05518570" w14:textId="77777777" w:rsidR="00C5315F" w:rsidRPr="00A33E06" w:rsidRDefault="00C5315F" w:rsidP="00165C16">
            <w:pPr>
              <w:numPr>
                <w:ilvl w:val="0"/>
                <w:numId w:val="22"/>
              </w:numPr>
              <w:spacing w:before="60" w:after="60" w:line="240" w:lineRule="auto"/>
              <w:ind w:left="357" w:hanging="357"/>
              <w:jc w:val="both"/>
              <w:rPr>
                <w:rFonts w:cs="Calibri"/>
                <w:sz w:val="18"/>
                <w:szCs w:val="18"/>
              </w:rPr>
            </w:pPr>
          </w:p>
        </w:tc>
      </w:tr>
    </w:tbl>
    <w:p w14:paraId="1FE95B87" w14:textId="77777777" w:rsidR="00C5315F" w:rsidRDefault="00C5315F" w:rsidP="00C5315F">
      <w:pPr>
        <w:spacing w:line="240" w:lineRule="auto"/>
        <w:jc w:val="both"/>
        <w:rPr>
          <w:rFonts w:cs="Calibri"/>
          <w:b/>
        </w:rPr>
      </w:pPr>
    </w:p>
    <w:p w14:paraId="56690B01" w14:textId="0E48DFFB" w:rsidR="00C5315F" w:rsidRPr="00A33E06" w:rsidRDefault="00C5315F" w:rsidP="00C45A8C">
      <w:pPr>
        <w:pStyle w:val="Stil2"/>
      </w:pPr>
      <w:bookmarkStart w:id="114" w:name="_Toc97123834"/>
      <w:r>
        <w:t>4.2.6. Gradske tržnice</w:t>
      </w:r>
      <w:bookmarkEnd w:id="114"/>
    </w:p>
    <w:p w14:paraId="16D811B6" w14:textId="77777777" w:rsidR="00C5315F" w:rsidRPr="00A33E06" w:rsidRDefault="00C5315F" w:rsidP="00C5315F">
      <w:pPr>
        <w:pStyle w:val="Tijeloteksta2"/>
        <w:ind w:right="-2"/>
        <w:rPr>
          <w:rFonts w:ascii="Calibri" w:hAnsi="Calibri" w:cs="Calibri"/>
          <w:b w:val="0"/>
          <w:bCs w:val="0"/>
          <w:sz w:val="22"/>
          <w:szCs w:val="22"/>
        </w:rPr>
      </w:pPr>
      <w:r w:rsidRPr="00A33E06">
        <w:rPr>
          <w:rFonts w:ascii="Calibri" w:hAnsi="Calibri" w:cs="Calibri"/>
          <w:b w:val="0"/>
          <w:bCs w:val="0"/>
          <w:sz w:val="22"/>
          <w:szCs w:val="22"/>
        </w:rPr>
        <w:t xml:space="preserve">Gradskim tržnicama upravlja Zagrebački </w:t>
      </w:r>
      <w:r>
        <w:rPr>
          <w:rFonts w:ascii="Calibri" w:hAnsi="Calibri" w:cs="Calibri"/>
          <w:b w:val="0"/>
          <w:bCs w:val="0"/>
          <w:sz w:val="22"/>
          <w:szCs w:val="22"/>
        </w:rPr>
        <w:t>holding d.o.o.</w:t>
      </w:r>
      <w:r w:rsidRPr="00A33E06">
        <w:rPr>
          <w:rFonts w:ascii="Calibri" w:hAnsi="Calibri" w:cs="Calibri"/>
          <w:b w:val="0"/>
          <w:bCs w:val="0"/>
          <w:sz w:val="22"/>
          <w:szCs w:val="22"/>
        </w:rPr>
        <w:t xml:space="preserve">, podružnica Tržnice Zagreb. </w:t>
      </w:r>
      <w:r>
        <w:rPr>
          <w:rFonts w:ascii="Calibri" w:hAnsi="Calibri" w:cs="Calibri"/>
          <w:b w:val="0"/>
          <w:bCs w:val="0"/>
          <w:sz w:val="22"/>
          <w:szCs w:val="22"/>
        </w:rPr>
        <w:t xml:space="preserve">Podružnica Tržnice Zagreb upravlja s 27 </w:t>
      </w:r>
      <w:r w:rsidRPr="00A33E06">
        <w:rPr>
          <w:rFonts w:ascii="Calibri" w:hAnsi="Calibri" w:cs="Calibri"/>
          <w:b w:val="0"/>
          <w:bCs w:val="0"/>
          <w:sz w:val="22"/>
          <w:szCs w:val="22"/>
        </w:rPr>
        <w:t>tržnic</w:t>
      </w:r>
      <w:r>
        <w:rPr>
          <w:rFonts w:ascii="Calibri" w:hAnsi="Calibri" w:cs="Calibri"/>
          <w:b w:val="0"/>
          <w:bCs w:val="0"/>
          <w:sz w:val="22"/>
          <w:szCs w:val="22"/>
        </w:rPr>
        <w:t>a s oko 2500 komitenata koji imaju u zakupu poslovno-prodajne prostore. Također upravlja sa</w:t>
      </w:r>
      <w:r w:rsidRPr="00DF5EAA">
        <w:rPr>
          <w:rFonts w:ascii="Calibri" w:hAnsi="Calibri" w:cs="Calibri"/>
          <w:b w:val="0"/>
          <w:bCs w:val="0"/>
          <w:sz w:val="22"/>
          <w:szCs w:val="22"/>
        </w:rPr>
        <w:t xml:space="preserve"> </w:t>
      </w:r>
      <w:r>
        <w:rPr>
          <w:rFonts w:ascii="Calibri" w:hAnsi="Calibri" w:cs="Calibri"/>
          <w:b w:val="0"/>
          <w:bCs w:val="0"/>
          <w:sz w:val="22"/>
          <w:szCs w:val="22"/>
        </w:rPr>
        <w:t>veletržnicom te hladnjačom sa skladištem u kojima pruža usluge skladištenja na veliko svježeg voća i povrća te prehrambenih proizvoda veletrgovcima i individualnim proizvođačima te usluge primanja i čuvanja duboko smrznutih proizvoda.</w:t>
      </w:r>
    </w:p>
    <w:p w14:paraId="7A2C3F9E" w14:textId="77777777" w:rsidR="00C5315F" w:rsidRDefault="00C5315F" w:rsidP="00C5315F">
      <w:pPr>
        <w:autoSpaceDE w:val="0"/>
        <w:autoSpaceDN w:val="0"/>
        <w:adjustRightInd w:val="0"/>
        <w:spacing w:line="240" w:lineRule="auto"/>
        <w:jc w:val="both"/>
        <w:rPr>
          <w:rFonts w:cs="Calibri"/>
        </w:rPr>
      </w:pPr>
      <w:r w:rsidRPr="00A33E06">
        <w:rPr>
          <w:rFonts w:cs="Calibri"/>
        </w:rPr>
        <w:t xml:space="preserve">Zagrebačke tržnice su nedovoljno iskorišten i nedovoljno održavan resurs, posebice </w:t>
      </w:r>
      <w:r>
        <w:rPr>
          <w:rFonts w:cs="Calibri"/>
        </w:rPr>
        <w:t>ima li se u vidu</w:t>
      </w:r>
      <w:r w:rsidRPr="00A33E06">
        <w:rPr>
          <w:rFonts w:cs="Calibri"/>
        </w:rPr>
        <w:t xml:space="preserve"> na njihov značaj u naglašavanju vrijednosti domaćeg proizvoda. Potrebna su prilagođavanja radnog vremena načinu života većine korisnika, prostorna preuređenja, te sadržajno aktiviranje. </w:t>
      </w:r>
      <w:r>
        <w:rPr>
          <w:rFonts w:cs="Calibri"/>
        </w:rPr>
        <w:t xml:space="preserve">Nadalje, problem za zadovoljavajuću aktivaciju tržnica kao gospodarski vitalnih prostora predstavlja nesređena vlasničko-pravna i građevinsko-pravna dokumentacija, koja onemogućava i usporava uspostavljanje efikasne gospodarske djelatnosti na tržnicama. </w:t>
      </w:r>
      <w:r w:rsidRPr="00A33E06">
        <w:rPr>
          <w:rFonts w:cs="Calibri"/>
        </w:rPr>
        <w:t>Najstarije tržnice (Dolac, Britanski trg, Branimirova, Kvaternikov trg, Trešnjevka) relevantne su za identitet Grada</w:t>
      </w:r>
      <w:r w:rsidRPr="00F1066F">
        <w:rPr>
          <w:rFonts w:cs="Calibri"/>
        </w:rPr>
        <w:t xml:space="preserve"> </w:t>
      </w:r>
      <w:r>
        <w:rPr>
          <w:rFonts w:cs="Calibri"/>
        </w:rPr>
        <w:t>te ih treba učiniti jednom od neizbježniih turističkih atrakcija u ponudi grada Zagreba za domaće i strane posjetitelje, poštujući između ostalog kulturnu baštinu grada.</w:t>
      </w:r>
    </w:p>
    <w:p w14:paraId="0E917BB3" w14:textId="033AE61E" w:rsidR="00C5315F" w:rsidRDefault="00C5315F" w:rsidP="00C5315F">
      <w:pPr>
        <w:autoSpaceDE w:val="0"/>
        <w:autoSpaceDN w:val="0"/>
        <w:adjustRightInd w:val="0"/>
        <w:spacing w:line="240" w:lineRule="auto"/>
        <w:jc w:val="both"/>
        <w:rPr>
          <w:rFonts w:cs="Calibri"/>
        </w:rPr>
      </w:pPr>
      <w:r>
        <w:rPr>
          <w:rFonts w:cs="Calibri"/>
        </w:rPr>
        <w:t xml:space="preserve">Male </w:t>
      </w:r>
      <w:r w:rsidRPr="00A33E06">
        <w:rPr>
          <w:rFonts w:cs="Calibri"/>
        </w:rPr>
        <w:t xml:space="preserve">tržnice (Trnje, Kažotićev trg, Savski gaj, Botinec) potrebno je dodatnim ulaganjima </w:t>
      </w:r>
      <w:r>
        <w:rPr>
          <w:rFonts w:cs="Calibri"/>
        </w:rPr>
        <w:t>u infrastrukturu i sadržaje</w:t>
      </w:r>
      <w:r w:rsidRPr="00A33E06">
        <w:rPr>
          <w:rFonts w:cs="Calibri"/>
        </w:rPr>
        <w:t xml:space="preserve"> učiniti </w:t>
      </w:r>
      <w:r w:rsidRPr="00F1066F">
        <w:rPr>
          <w:rFonts w:cs="Calibri"/>
        </w:rPr>
        <w:t xml:space="preserve"> </w:t>
      </w:r>
      <w:r>
        <w:rPr>
          <w:rFonts w:cs="Calibri"/>
        </w:rPr>
        <w:t>mjestima za življenje i boravak građana.</w:t>
      </w:r>
    </w:p>
    <w:p w14:paraId="059AC792" w14:textId="77777777" w:rsidR="00E2286C" w:rsidRDefault="00E2286C" w:rsidP="00C5315F">
      <w:pPr>
        <w:autoSpaceDE w:val="0"/>
        <w:autoSpaceDN w:val="0"/>
        <w:adjustRightInd w:val="0"/>
        <w:spacing w:line="240" w:lineRule="auto"/>
        <w:jc w:val="both"/>
        <w:rPr>
          <w:rFonts w:cs="Calibri"/>
        </w:rPr>
      </w:pPr>
    </w:p>
    <w:p w14:paraId="7409604A" w14:textId="5A3BE1E6" w:rsidR="00C5315F" w:rsidRDefault="00E2286C" w:rsidP="00E2286C">
      <w:pPr>
        <w:pStyle w:val="Opisslike"/>
      </w:pPr>
      <w:r>
        <w:t xml:space="preserve">Slika </w:t>
      </w:r>
      <w:r w:rsidR="00751C19">
        <w:fldChar w:fldCharType="begin"/>
      </w:r>
      <w:r w:rsidR="00751C19">
        <w:instrText xml:space="preserve"> SEQ Slika \* ARABIC </w:instrText>
      </w:r>
      <w:r w:rsidR="00751C19">
        <w:fldChar w:fldCharType="separate"/>
      </w:r>
      <w:r w:rsidR="00ED75AB">
        <w:rPr>
          <w:noProof/>
        </w:rPr>
        <w:t>4</w:t>
      </w:r>
      <w:r w:rsidR="00751C19">
        <w:rPr>
          <w:noProof/>
        </w:rPr>
        <w:fldChar w:fldCharType="end"/>
      </w:r>
      <w:r>
        <w:t xml:space="preserve">. </w:t>
      </w:r>
      <w:r w:rsidRPr="00826651">
        <w:t>Lokacije tržnica Grada Zagreba</w:t>
      </w:r>
    </w:p>
    <w:p w14:paraId="6214A929" w14:textId="77777777" w:rsidR="00E2286C" w:rsidRPr="00E2286C" w:rsidRDefault="00E2286C" w:rsidP="00E2286C"/>
    <w:p w14:paraId="26BFF630" w14:textId="105B8CDC" w:rsidR="00C5315F" w:rsidRDefault="00C5315F" w:rsidP="00C5315F">
      <w:pPr>
        <w:autoSpaceDE w:val="0"/>
        <w:autoSpaceDN w:val="0"/>
        <w:adjustRightInd w:val="0"/>
        <w:spacing w:line="240" w:lineRule="auto"/>
        <w:jc w:val="both"/>
        <w:rPr>
          <w:noProof/>
          <w:lang w:eastAsia="hr-HR"/>
        </w:rPr>
      </w:pPr>
      <w:r w:rsidRPr="00F15407">
        <w:rPr>
          <w:noProof/>
          <w:lang w:eastAsia="hr-HR"/>
        </w:rPr>
        <w:drawing>
          <wp:inline distT="0" distB="0" distL="0" distR="0" wp14:anchorId="6F131E86" wp14:editId="4505F382">
            <wp:extent cx="5760720" cy="57511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5751195"/>
                    </a:xfrm>
                    <a:prstGeom prst="rect">
                      <a:avLst/>
                    </a:prstGeom>
                    <a:noFill/>
                    <a:ln>
                      <a:noFill/>
                    </a:ln>
                  </pic:spPr>
                </pic:pic>
              </a:graphicData>
            </a:graphic>
          </wp:inline>
        </w:drawing>
      </w:r>
    </w:p>
    <w:p w14:paraId="2D545A4B" w14:textId="77777777" w:rsidR="00C5315F" w:rsidRPr="00A33E06" w:rsidRDefault="00C5315F" w:rsidP="00C5315F">
      <w:pPr>
        <w:autoSpaceDE w:val="0"/>
        <w:autoSpaceDN w:val="0"/>
        <w:adjustRightInd w:val="0"/>
        <w:spacing w:line="240" w:lineRule="auto"/>
        <w:jc w:val="both"/>
        <w:rPr>
          <w:rFonts w:cs="Calibri"/>
        </w:rPr>
      </w:pPr>
      <w:r>
        <w:rPr>
          <w:rFonts w:cs="Calibri"/>
          <w:noProof/>
        </w:rPr>
        <w:t>Izvor: Gradski ured za strategijsko planiranje i razvoj Grada, 2018.</w:t>
      </w:r>
    </w:p>
    <w:tbl>
      <w:tblPr>
        <w:tblW w:w="0" w:type="auto"/>
        <w:tblCellMar>
          <w:left w:w="0" w:type="dxa"/>
          <w:right w:w="0" w:type="dxa"/>
        </w:tblCellMar>
        <w:tblLook w:val="0000" w:firstRow="0" w:lastRow="0" w:firstColumn="0" w:lastColumn="0" w:noHBand="0" w:noVBand="0"/>
      </w:tblPr>
      <w:tblGrid>
        <w:gridCol w:w="4539"/>
        <w:gridCol w:w="4533"/>
      </w:tblGrid>
      <w:tr w:rsidR="00C5315F" w:rsidRPr="00A33E06" w14:paraId="30F9196F" w14:textId="77777777" w:rsidTr="00072476">
        <w:tc>
          <w:tcPr>
            <w:tcW w:w="4644" w:type="dxa"/>
            <w:shd w:val="clear" w:color="auto" w:fill="CCCCCC"/>
            <w:tcMar>
              <w:top w:w="0" w:type="dxa"/>
              <w:left w:w="108" w:type="dxa"/>
              <w:bottom w:w="0" w:type="dxa"/>
              <w:right w:w="108" w:type="dxa"/>
            </w:tcMar>
          </w:tcPr>
          <w:p w14:paraId="1818B455"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642" w:type="dxa"/>
            <w:shd w:val="clear" w:color="auto" w:fill="99CCFF"/>
            <w:tcMar>
              <w:top w:w="0" w:type="dxa"/>
              <w:left w:w="108" w:type="dxa"/>
              <w:bottom w:w="0" w:type="dxa"/>
              <w:right w:w="108" w:type="dxa"/>
            </w:tcMar>
          </w:tcPr>
          <w:p w14:paraId="06CAE67E" w14:textId="77777777" w:rsidR="00C5315F" w:rsidRPr="00A33E06" w:rsidRDefault="00C5315F"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RAZVOJNE POTREBE</w:t>
            </w:r>
          </w:p>
        </w:tc>
      </w:tr>
      <w:tr w:rsidR="00C5315F" w:rsidRPr="00A33E06" w14:paraId="0FE33DF0" w14:textId="77777777" w:rsidTr="00072476">
        <w:tc>
          <w:tcPr>
            <w:tcW w:w="4644" w:type="dxa"/>
            <w:shd w:val="clear" w:color="auto" w:fill="CCCCCC"/>
            <w:tcMar>
              <w:top w:w="0" w:type="dxa"/>
              <w:left w:w="108" w:type="dxa"/>
              <w:bottom w:w="0" w:type="dxa"/>
              <w:right w:w="108" w:type="dxa"/>
            </w:tcMar>
          </w:tcPr>
          <w:p w14:paraId="5F5190DD"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Infrastruktura svih tržničkih objekata zahtijeva ulaganje velikih financijskih sredstava </w:t>
            </w:r>
          </w:p>
          <w:p w14:paraId="572F4A72"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zbog teške gospodarske recesije interes zakupnika neprekidno slabi</w:t>
            </w:r>
            <w:r>
              <w:rPr>
                <w:rFonts w:ascii="Calibri" w:hAnsi="Calibri" w:cs="Calibri"/>
                <w:sz w:val="18"/>
                <w:szCs w:val="18"/>
              </w:rPr>
              <w:t>,</w:t>
            </w:r>
            <w:r w:rsidRPr="00A33E06">
              <w:rPr>
                <w:rFonts w:ascii="Calibri" w:hAnsi="Calibri" w:cs="Calibri"/>
                <w:sz w:val="18"/>
                <w:szCs w:val="18"/>
              </w:rPr>
              <w:t xml:space="preserve"> što negativno</w:t>
            </w:r>
            <w:r>
              <w:rPr>
                <w:rFonts w:ascii="Calibri" w:hAnsi="Calibri" w:cs="Calibri"/>
                <w:sz w:val="18"/>
                <w:szCs w:val="18"/>
              </w:rPr>
              <w:t xml:space="preserve"> </w:t>
            </w:r>
            <w:r w:rsidRPr="00A33E06">
              <w:rPr>
                <w:rFonts w:ascii="Calibri" w:hAnsi="Calibri" w:cs="Calibri"/>
                <w:sz w:val="18"/>
                <w:szCs w:val="18"/>
              </w:rPr>
              <w:t>utječe na iskorištenost tržničkih kapaciteta</w:t>
            </w:r>
          </w:p>
          <w:p w14:paraId="4C47E14A"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radno vrijeme tržnica neprilagođeno korisnicima</w:t>
            </w:r>
          </w:p>
          <w:p w14:paraId="7C9AA09B"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neprikladan (skup) režim naplate parkiranja na javnoprometnim površinama uz tržničke objekte</w:t>
            </w:r>
          </w:p>
          <w:p w14:paraId="53105A83" w14:textId="77777777" w:rsidR="00C5315F" w:rsidRPr="0011464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nesređeni vlasničko-pravni odnosi, i nesređena dokumentacija</w:t>
            </w:r>
          </w:p>
        </w:tc>
        <w:tc>
          <w:tcPr>
            <w:tcW w:w="4642" w:type="dxa"/>
            <w:shd w:val="clear" w:color="auto" w:fill="99CCFF"/>
            <w:tcMar>
              <w:top w:w="0" w:type="dxa"/>
              <w:left w:w="108" w:type="dxa"/>
              <w:bottom w:w="0" w:type="dxa"/>
              <w:right w:w="108" w:type="dxa"/>
            </w:tcMar>
          </w:tcPr>
          <w:p w14:paraId="356D2556"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7664CA">
              <w:rPr>
                <w:rFonts w:ascii="Calibri" w:hAnsi="Calibri" w:cs="Calibri"/>
                <w:sz w:val="18"/>
                <w:szCs w:val="18"/>
              </w:rPr>
              <w:t>osiguranje dostatnih financijskih sredstava za izradu projektne dokumentacije i izvođenje potrebnih radova</w:t>
            </w:r>
            <w:r>
              <w:rPr>
                <w:rFonts w:ascii="Calibri" w:hAnsi="Calibri" w:cs="Calibri"/>
                <w:sz w:val="18"/>
                <w:szCs w:val="18"/>
              </w:rPr>
              <w:t>uključiti mjere energetske učinkovitosti prilikom rekonstrukcije tržnica</w:t>
            </w:r>
          </w:p>
          <w:p w14:paraId="373E349A" w14:textId="77777777" w:rsidR="00C5315F" w:rsidRPr="007664CA"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7664CA">
              <w:rPr>
                <w:rFonts w:ascii="Calibri" w:hAnsi="Calibri" w:cs="Calibri"/>
                <w:sz w:val="18"/>
                <w:szCs w:val="18"/>
              </w:rPr>
              <w:t>osigurati program događanja na tržnicama izvan radnog vremena</w:t>
            </w:r>
          </w:p>
          <w:p w14:paraId="6874C20C" w14:textId="77777777" w:rsidR="00C5315F" w:rsidRPr="00A33E06"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regeneracija tržnica unutar zaštićenih područja</w:t>
            </w:r>
          </w:p>
          <w:p w14:paraId="624538D9"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iznalaženje prikladnijeg modela naplate parkiranja kojim će se na tržnice privući veći broj građana</w:t>
            </w:r>
          </w:p>
          <w:p w14:paraId="14A2CBA7"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poticati uređivanje vlasničko-pravne i druge dokumentacije koja se odnosi na tržnice i pojedinih objekata u sklopu tržnica</w:t>
            </w:r>
          </w:p>
          <w:p w14:paraId="446B91F2"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kroz tržnice promicati vrijednosti ruralnog postora – kultura, tradicijski proizvodi i usluge</w:t>
            </w:r>
          </w:p>
          <w:p w14:paraId="6DCAC74E"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uključiti tržnice u odgojno-obrazovnom sustavu grada Zagreba</w:t>
            </w:r>
          </w:p>
          <w:p w14:paraId="174CE5BD"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stvoriti od tržnica turističku destinaciju</w:t>
            </w:r>
          </w:p>
          <w:p w14:paraId="7C16346F"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uključiti promicanje tržnica u svrhu javnog zdravlja</w:t>
            </w:r>
          </w:p>
          <w:p w14:paraId="7AE6900A"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kroz tržnice promicati tradicijsko obiteljsko poduzetništvo – očuvanje starih tradicijskih zanata</w:t>
            </w:r>
          </w:p>
          <w:p w14:paraId="7A30CA70"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učiniti tržnice mjestom okupljanja građana koji žive na tom području tj. transformirati ih u novi prostor života grada Zagreba koji će se moći koristiti tijekom cijelog dana i za različite sadržaje</w:t>
            </w:r>
          </w:p>
          <w:p w14:paraId="3CD31FCD"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učiniti tržnice dostupnima kroz e-usluge</w:t>
            </w:r>
          </w:p>
          <w:p w14:paraId="0A77D1B8" w14:textId="77777777" w:rsidR="00C5315F"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kroz tržnice uspostaviti sustav cjeloživotng obrazovanja za građane u području gastronomije, zdravlja i kvalitete života</w:t>
            </w:r>
          </w:p>
          <w:p w14:paraId="31B535F1" w14:textId="77777777" w:rsidR="00C5315F" w:rsidRPr="00CF7327" w:rsidRDefault="00C5315F" w:rsidP="00165C16">
            <w:pPr>
              <w:pStyle w:val="StandardWeb"/>
              <w:numPr>
                <w:ilvl w:val="0"/>
                <w:numId w:val="2"/>
              </w:numPr>
              <w:tabs>
                <w:tab w:val="clear" w:pos="720"/>
                <w:tab w:val="num" w:pos="284"/>
                <w:tab w:val="num" w:pos="360"/>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kroz tržnice stvoriti vrhunski inkubator za male poduzetnike </w:t>
            </w:r>
          </w:p>
        </w:tc>
      </w:tr>
    </w:tbl>
    <w:p w14:paraId="1BCBDC6F" w14:textId="77777777" w:rsidR="00C5315F" w:rsidRDefault="00C5315F" w:rsidP="00C5315F">
      <w:pPr>
        <w:spacing w:line="240" w:lineRule="auto"/>
        <w:jc w:val="both"/>
        <w:rPr>
          <w:rFonts w:cs="Calibri"/>
          <w:b/>
        </w:rPr>
      </w:pPr>
    </w:p>
    <w:p w14:paraId="32EFD496" w14:textId="77777777" w:rsidR="002E7EEB" w:rsidRPr="002E7EEB" w:rsidRDefault="002E7EEB" w:rsidP="002E7EEB">
      <w:pPr>
        <w:pStyle w:val="Stil2"/>
      </w:pPr>
      <w:bookmarkStart w:id="115" w:name="_Toc97123835"/>
      <w:r w:rsidRPr="002E7EEB">
        <w:t>4.3. PROMET</w:t>
      </w:r>
      <w:bookmarkEnd w:id="115"/>
    </w:p>
    <w:p w14:paraId="4826A48F" w14:textId="603DD502" w:rsidR="00C5315F" w:rsidRPr="00A33E06" w:rsidRDefault="00C5315F" w:rsidP="00C45A8C">
      <w:pPr>
        <w:pStyle w:val="Stil2"/>
      </w:pPr>
      <w:bookmarkStart w:id="116" w:name="_Toc97123836"/>
      <w:r>
        <w:t>4</w:t>
      </w:r>
      <w:r w:rsidRPr="00A33E06">
        <w:t>.</w:t>
      </w:r>
      <w:r>
        <w:t>3</w:t>
      </w:r>
      <w:r w:rsidRPr="00A33E06">
        <w:t>.1. Osnovne značajke</w:t>
      </w:r>
      <w:bookmarkEnd w:id="116"/>
      <w:r w:rsidRPr="00A33E06">
        <w:t xml:space="preserve"> </w:t>
      </w:r>
    </w:p>
    <w:p w14:paraId="0D83D5CC" w14:textId="77777777" w:rsidR="00C5315F" w:rsidRDefault="00C5315F" w:rsidP="00C5315F">
      <w:pPr>
        <w:spacing w:line="240" w:lineRule="auto"/>
        <w:jc w:val="both"/>
        <w:rPr>
          <w:rFonts w:cs="Calibri"/>
        </w:rPr>
      </w:pPr>
      <w:r w:rsidRPr="00032E99">
        <w:rPr>
          <w:rFonts w:cs="Calibri"/>
        </w:rPr>
        <w:t>Zagreb je čvorište europskih prometnih koridora; kroz Zagreb prolaze cestovni i željeznički koridori: X - (Salzburg - Ljubljana - Zagreb - Beograd – Thesaloniki) i Vb (Rijeka - Zagreb – Budapest). Kroz središte Zagreba prolazi željeznička pruga kojom se odvija putnički i cjelokupni teretni promet; prigradski, gradski i međunarodni željeznički promet nisu međusobno odvojeni. Autocestovni državni i međunarodni pravci</w:t>
      </w:r>
      <w:r>
        <w:rPr>
          <w:rFonts w:cs="Calibri"/>
        </w:rPr>
        <w:t xml:space="preserve"> su</w:t>
      </w:r>
      <w:r w:rsidRPr="00032E99">
        <w:rPr>
          <w:rFonts w:cs="Calibri"/>
        </w:rPr>
        <w:t xml:space="preserve"> </w:t>
      </w:r>
      <w:r w:rsidRPr="00520F82">
        <w:rPr>
          <w:rFonts w:cs="Calibri"/>
        </w:rPr>
        <w:t xml:space="preserve">A1 (Zagreb-Split-Dubrovnik), A2 (Zagreb-Krapina-GP Macelj), A3 (GP Bregana-Zagreb-GP Lipovac), A4 (Zagreb-Varaždin-GP Goričan), A6 (Zagreb-Rijeka) i autoceste A11 (Zagreb-Velika Gorica-Sisak). Unutar prostornog obuhvata grada Zagreba, najdužim dijelom od navedenih autocesta prolazi A3, koja pripada zagrebačkoj obilaznici. Prostorom grada Zagreba prolazi više od 700 km nerazvrstanih cesta te one predstavljaju oko 90 % ukupne cestovne prometne mreže. </w:t>
      </w:r>
    </w:p>
    <w:p w14:paraId="15ADB067" w14:textId="323DE4A5" w:rsidR="00C5315F" w:rsidRDefault="00C5315F" w:rsidP="00C5315F">
      <w:pPr>
        <w:spacing w:line="240" w:lineRule="auto"/>
        <w:jc w:val="both"/>
        <w:rPr>
          <w:rFonts w:cs="Calibri"/>
        </w:rPr>
      </w:pPr>
      <w:r w:rsidRPr="00A33E06">
        <w:rPr>
          <w:rFonts w:cs="Calibri"/>
        </w:rPr>
        <w:t xml:space="preserve">Osnovnu uličnu </w:t>
      </w:r>
      <w:r>
        <w:rPr>
          <w:rFonts w:cs="Calibri"/>
        </w:rPr>
        <w:t xml:space="preserve">prometnu </w:t>
      </w:r>
      <w:r w:rsidRPr="00A33E06">
        <w:rPr>
          <w:rFonts w:cs="Calibri"/>
        </w:rPr>
        <w:t xml:space="preserve">mrežu grada karakterizira nedovoljna propusna moć u vremenima vršnog opterećenja, </w:t>
      </w:r>
      <w:r>
        <w:rPr>
          <w:rFonts w:cs="Calibri"/>
        </w:rPr>
        <w:t>p</w:t>
      </w:r>
      <w:r w:rsidRPr="00C32B2A">
        <w:rPr>
          <w:rFonts w:cs="Calibri"/>
        </w:rPr>
        <w:t xml:space="preserve">arkirališta </w:t>
      </w:r>
      <w:r>
        <w:rPr>
          <w:rFonts w:cs="Calibri"/>
        </w:rPr>
        <w:t xml:space="preserve">koja </w:t>
      </w:r>
      <w:r w:rsidRPr="00C32B2A">
        <w:rPr>
          <w:rFonts w:cs="Calibri"/>
        </w:rPr>
        <w:t>u središtu grada potiču korištenje automobila i smanjuju raspoloživi prostor za pješake i bicikliste</w:t>
      </w:r>
      <w:r>
        <w:rPr>
          <w:rFonts w:cs="Calibri"/>
        </w:rPr>
        <w:t xml:space="preserve">, </w:t>
      </w:r>
      <w:r w:rsidRPr="00A33E06">
        <w:rPr>
          <w:rFonts w:cs="Calibri"/>
        </w:rPr>
        <w:t>nedo</w:t>
      </w:r>
      <w:r>
        <w:rPr>
          <w:rFonts w:cs="Calibri"/>
        </w:rPr>
        <w:t xml:space="preserve">voljan broj </w:t>
      </w:r>
      <w:r w:rsidRPr="00A33E06">
        <w:rPr>
          <w:rFonts w:cs="Calibri"/>
        </w:rPr>
        <w:t>mostova preko rijeke Save</w:t>
      </w:r>
      <w:r>
        <w:rPr>
          <w:rFonts w:cs="Calibri"/>
        </w:rPr>
        <w:t xml:space="preserve">, nedovoljan broj deniveliranih cestovno željezničkih raskrižja, nedovoljan broj uređenih, deniveliranih i sigurnih pješačko biciklističkih prijelaza preko željezničke pruge, nedovoljno razvijena i razgranata biciklistička mreža, </w:t>
      </w:r>
      <w:r w:rsidRPr="00B02437">
        <w:rPr>
          <w:rFonts w:cs="Calibri"/>
        </w:rPr>
        <w:t>nedo</w:t>
      </w:r>
      <w:r>
        <w:rPr>
          <w:rFonts w:cs="Calibri"/>
        </w:rPr>
        <w:t>voljan broj</w:t>
      </w:r>
      <w:r w:rsidRPr="00B02437">
        <w:rPr>
          <w:rFonts w:cs="Calibri"/>
        </w:rPr>
        <w:t xml:space="preserve"> prometnih traka rezerviranih za javni prijevoz i nepravilnog korištenja postojećih prometnih traka</w:t>
      </w:r>
      <w:r>
        <w:rPr>
          <w:rFonts w:cs="Calibri"/>
        </w:rPr>
        <w:t>,</w:t>
      </w:r>
      <w:r w:rsidRPr="00B02437">
        <w:rPr>
          <w:rFonts w:cs="Calibri"/>
        </w:rPr>
        <w:t xml:space="preserve"> </w:t>
      </w:r>
      <w:r w:rsidRPr="00A33E06">
        <w:rPr>
          <w:rFonts w:cs="Calibri"/>
        </w:rPr>
        <w:t xml:space="preserve">nepostojanje </w:t>
      </w:r>
      <w:r>
        <w:rPr>
          <w:rFonts w:cs="Calibri"/>
        </w:rPr>
        <w:t xml:space="preserve">inteligentnog </w:t>
      </w:r>
      <w:r w:rsidRPr="00A33E06">
        <w:rPr>
          <w:rFonts w:cs="Calibri"/>
        </w:rPr>
        <w:t xml:space="preserve">sustava </w:t>
      </w:r>
      <w:r>
        <w:rPr>
          <w:rFonts w:cs="Calibri"/>
        </w:rPr>
        <w:t xml:space="preserve">upravljanja i </w:t>
      </w:r>
      <w:r w:rsidRPr="00A33E06">
        <w:rPr>
          <w:rFonts w:cs="Calibri"/>
        </w:rPr>
        <w:t>cjelovite koordinacije semaforskih uređaja</w:t>
      </w:r>
      <w:r>
        <w:rPr>
          <w:rFonts w:cs="Calibri"/>
        </w:rPr>
        <w:t xml:space="preserve"> koji bi davali prvenstvo prolaza vozilima javnog prijevoza putnika, </w:t>
      </w:r>
      <w:r w:rsidRPr="002D6E37">
        <w:rPr>
          <w:rFonts w:cs="Calibri"/>
        </w:rPr>
        <w:t>nemogu</w:t>
      </w:r>
      <w:r w:rsidR="003A60FC">
        <w:rPr>
          <w:rFonts w:cs="Calibri"/>
        </w:rPr>
        <w:t>ć</w:t>
      </w:r>
      <w:r w:rsidRPr="002D6E37">
        <w:rPr>
          <w:rFonts w:cs="Calibri"/>
        </w:rPr>
        <w:t>nost povećanja brzine kretanja vozila u sustavu javnog prijevoza putnika u Gradu Zagrebu zbog prostornih ograničenja</w:t>
      </w:r>
      <w:r>
        <w:rPr>
          <w:rFonts w:cs="Calibri"/>
        </w:rPr>
        <w:t xml:space="preserve"> i</w:t>
      </w:r>
      <w:r w:rsidRPr="002D6E37">
        <w:rPr>
          <w:rFonts w:cs="Calibri"/>
        </w:rPr>
        <w:t xml:space="preserve"> nemogućnosti povećanja širine postojećih prometnica i križanja cesta sa tramvajskom mrežom ili željezničkom mrežom u istoj razini</w:t>
      </w:r>
      <w:r w:rsidRPr="00A33E06">
        <w:rPr>
          <w:rFonts w:cs="Calibri"/>
        </w:rPr>
        <w:t xml:space="preserve">. </w:t>
      </w:r>
      <w:r w:rsidRPr="00C32B2A">
        <w:rPr>
          <w:rFonts w:cs="Calibri"/>
        </w:rPr>
        <w:t>Korištenje zagrebačke obilaznice od strane lokalnog i regionalnog prometa stvara konstantne zastoje koji dovode do problema prometne povezanosti na regionalnom i državnom nivou (tranzitni promet)</w:t>
      </w:r>
      <w:r>
        <w:rPr>
          <w:rFonts w:cs="Calibri"/>
        </w:rPr>
        <w:t xml:space="preserve">. </w:t>
      </w:r>
    </w:p>
    <w:p w14:paraId="43552939" w14:textId="77777777" w:rsidR="00C5315F" w:rsidRPr="00C32B2A" w:rsidRDefault="00C5315F" w:rsidP="00C5315F">
      <w:pPr>
        <w:spacing w:line="240" w:lineRule="auto"/>
        <w:jc w:val="both"/>
        <w:rPr>
          <w:rFonts w:cs="Calibri"/>
        </w:rPr>
      </w:pPr>
      <w:r w:rsidRPr="00A33E06">
        <w:rPr>
          <w:rFonts w:cs="Calibri"/>
        </w:rPr>
        <w:t>Javni prijevoz karakterizira proces modernizacije autobusnog i tramvajskog voznog parka, ali i male putne brzine, dok je putna brzina u željezničkom gradskom i prigradskom prometu na prihvatljivoj razini, ali je stajališta premal</w:t>
      </w:r>
      <w:r>
        <w:rPr>
          <w:rFonts w:cs="Calibri"/>
        </w:rPr>
        <w:t xml:space="preserve">o i </w:t>
      </w:r>
      <w:r w:rsidRPr="00A33E06">
        <w:rPr>
          <w:rFonts w:cs="Calibri"/>
        </w:rPr>
        <w:t xml:space="preserve">neadekvatno su opremljena, </w:t>
      </w:r>
      <w:r>
        <w:rPr>
          <w:rFonts w:cs="Calibri"/>
        </w:rPr>
        <w:t xml:space="preserve">nedovoljno je razvijena i razgranata tramvajska mreža, </w:t>
      </w:r>
      <w:r w:rsidRPr="00C32B2A">
        <w:rPr>
          <w:rFonts w:cs="Calibri"/>
        </w:rPr>
        <w:t>nedovoljn</w:t>
      </w:r>
      <w:r>
        <w:rPr>
          <w:rFonts w:cs="Calibri"/>
        </w:rPr>
        <w:t>a</w:t>
      </w:r>
      <w:r w:rsidRPr="00C32B2A">
        <w:rPr>
          <w:rFonts w:cs="Calibri"/>
        </w:rPr>
        <w:t xml:space="preserve"> </w:t>
      </w:r>
      <w:r>
        <w:rPr>
          <w:rFonts w:cs="Calibri"/>
        </w:rPr>
        <w:t xml:space="preserve">je </w:t>
      </w:r>
      <w:r w:rsidRPr="00C32B2A">
        <w:rPr>
          <w:rFonts w:cs="Calibri"/>
        </w:rPr>
        <w:t>propusnost prometnog toka tramvajskog prometa kroz središnji dio Grada Zagreba</w:t>
      </w:r>
      <w:r>
        <w:rPr>
          <w:rFonts w:cs="Calibri"/>
        </w:rPr>
        <w:t>,</w:t>
      </w:r>
      <w:r w:rsidRPr="00C32B2A">
        <w:rPr>
          <w:rFonts w:cs="Calibri"/>
        </w:rPr>
        <w:t xml:space="preserve"> </w:t>
      </w:r>
      <w:r>
        <w:rPr>
          <w:rFonts w:cs="Calibri"/>
        </w:rPr>
        <w:t xml:space="preserve">nedovoljan je broj intermodalnih terminala kao i parkirališta za automobile i bicikle pored željezničkih stanica i pored bitnih intermodalnih točaka, </w:t>
      </w:r>
      <w:r w:rsidRPr="00A33E06">
        <w:rPr>
          <w:rFonts w:cs="Calibri"/>
        </w:rPr>
        <w:t>vozni park je nedostatan i zastario</w:t>
      </w:r>
      <w:r>
        <w:rPr>
          <w:rFonts w:cs="Calibri"/>
        </w:rPr>
        <w:t>, p</w:t>
      </w:r>
      <w:r w:rsidRPr="002D6E37">
        <w:rPr>
          <w:rFonts w:cs="Calibri"/>
        </w:rPr>
        <w:t>ostojeće prometno opterećenje na nekim tramvajskim linijama premašuje kapacitet koji ova vrsta tračničkog vozila može pružiti</w:t>
      </w:r>
      <w:r>
        <w:rPr>
          <w:rFonts w:cs="Calibri"/>
        </w:rPr>
        <w:t>, prijevoz bicikala nije moguć u vlakovima, tramvajima i autobusima</w:t>
      </w:r>
      <w:r w:rsidRPr="002D6E37">
        <w:rPr>
          <w:rFonts w:cs="Calibri"/>
        </w:rPr>
        <w:t>.</w:t>
      </w:r>
      <w:r>
        <w:rPr>
          <w:rFonts w:cs="Calibri"/>
        </w:rPr>
        <w:t xml:space="preserve"> Postoji nedostatak u vidu nepostojanja integracije sa javnim prijevozom u prostoru koje okružuje Grad Zagreb (Zagrebačke županije i Krapinsko – zagorske županije), također ne postoji usklađenost voznih redova i integracija u sustavu javnog prijevoza na području Grada Zagreba između željeznice i tramvajskog i autobusnog prometa. Postoji samo djelomična integracija tarifnog sustava na području Grada Zagreba, gdje je korisnicima usluga javnog prijevoza omogućena kupnja zajedničke mjesečne i godišnje pretplatne karte (za usluge koje obavljaju Zagrebački električni tramvaj i HŽ Putnički prijevoz), ali ne i mogućnost kupnje satne, dnevne ili višednevne zajedničke prijevozne karte. Ne postoji sustav informiranja putnika u realnom vremenu. </w:t>
      </w:r>
      <w:r w:rsidRPr="00C32B2A">
        <w:rPr>
          <w:rFonts w:cs="Calibri"/>
        </w:rPr>
        <w:t>Nedovoljno</w:t>
      </w:r>
      <w:r>
        <w:rPr>
          <w:rFonts w:cs="Calibri"/>
        </w:rPr>
        <w:t xml:space="preserve"> je</w:t>
      </w:r>
      <w:r w:rsidRPr="00C32B2A">
        <w:rPr>
          <w:rFonts w:cs="Calibri"/>
        </w:rPr>
        <w:t xml:space="preserve"> razvijena gradska i prigradska željeznička mreža </w:t>
      </w:r>
      <w:r>
        <w:rPr>
          <w:rFonts w:cs="Calibri"/>
        </w:rPr>
        <w:t xml:space="preserve">što </w:t>
      </w:r>
      <w:r w:rsidRPr="00C32B2A">
        <w:rPr>
          <w:rFonts w:cs="Calibri"/>
        </w:rPr>
        <w:t>sprječava bolji javni prijevoz putnika</w:t>
      </w:r>
      <w:r>
        <w:rPr>
          <w:rFonts w:cs="Calibri"/>
        </w:rPr>
        <w:t>, s</w:t>
      </w:r>
      <w:r w:rsidRPr="00C32B2A">
        <w:rPr>
          <w:rFonts w:cs="Calibri"/>
        </w:rPr>
        <w:t>av željeznički teretni promet prolazi kroz centar grada što ograničava potencijalnu uporabu mreže za putnički prijevoz i</w:t>
      </w:r>
      <w:r>
        <w:rPr>
          <w:rFonts w:cs="Calibri"/>
        </w:rPr>
        <w:t xml:space="preserve"> </w:t>
      </w:r>
      <w:r w:rsidRPr="00C32B2A">
        <w:rPr>
          <w:rFonts w:cs="Calibri"/>
        </w:rPr>
        <w:t>stvara prekomjernu buku i vibracije</w:t>
      </w:r>
      <w:r>
        <w:rPr>
          <w:rFonts w:cs="Calibri"/>
        </w:rPr>
        <w:t>, ž</w:t>
      </w:r>
      <w:r w:rsidRPr="00C32B2A">
        <w:rPr>
          <w:rFonts w:cs="Calibri"/>
        </w:rPr>
        <w:t>eljezničko-cestovni prijelazi u razini predstavljaju sigurnosni problem i problem prometnog toka na određenim područjima</w:t>
      </w:r>
      <w:r>
        <w:rPr>
          <w:rFonts w:cs="Calibri"/>
        </w:rPr>
        <w:t>, j</w:t>
      </w:r>
      <w:r w:rsidRPr="00C32B2A">
        <w:rPr>
          <w:rFonts w:cs="Calibri"/>
        </w:rPr>
        <w:t>avni prijevoz putnika željeznicom nije u funkciji u južnom dijelu Zagreba, unatoč postojanju željezničke infrastrukture</w:t>
      </w:r>
      <w:r>
        <w:rPr>
          <w:rFonts w:cs="Calibri"/>
        </w:rPr>
        <w:t xml:space="preserve">. </w:t>
      </w:r>
      <w:r w:rsidRPr="00A33E06">
        <w:rPr>
          <w:rFonts w:cs="Calibri"/>
        </w:rPr>
        <w:t>Proces prilagodbe cjelokupnog prometnog sustava za nesmetanu dostupnost osobama s teškoćama u kretanju je u tijeku</w:t>
      </w:r>
      <w:r>
        <w:rPr>
          <w:rFonts w:cs="Calibri"/>
        </w:rPr>
        <w:t xml:space="preserve">. Naime, </w:t>
      </w:r>
      <w:r>
        <w:t xml:space="preserve">posljednjih godina novouređena stajališta imaju polja pristupačnosti i trake vođenja za slijepe i slabovidne osobe, u autobusima i tramvajima postoje audio-vizualne poruke s najavom stajališta na trasi putovanja, dok se niskopodna tramvajska vozila opremaju se rampama za ulaz/izlaz osoba s invaliditetom.  </w:t>
      </w:r>
    </w:p>
    <w:p w14:paraId="351B4653" w14:textId="77777777" w:rsidR="00C5315F" w:rsidRDefault="00C5315F" w:rsidP="00C5315F">
      <w:pPr>
        <w:spacing w:line="240" w:lineRule="auto"/>
        <w:jc w:val="both"/>
        <w:rPr>
          <w:rFonts w:cs="Calibri"/>
        </w:rPr>
      </w:pPr>
      <w:r w:rsidRPr="00A33E06">
        <w:rPr>
          <w:rFonts w:cs="Calibri"/>
        </w:rPr>
        <w:t xml:space="preserve">Sigurnost u prometu je </w:t>
      </w:r>
      <w:r>
        <w:rPr>
          <w:rFonts w:cs="Calibri"/>
        </w:rPr>
        <w:t>na</w:t>
      </w:r>
      <w:r w:rsidRPr="00A33E06">
        <w:rPr>
          <w:rFonts w:cs="Calibri"/>
        </w:rPr>
        <w:t xml:space="preserve"> relativno </w:t>
      </w:r>
      <w:r>
        <w:rPr>
          <w:rFonts w:cs="Calibri"/>
        </w:rPr>
        <w:t xml:space="preserve">zadovoljavajućoj razini s trendom smanjenja broja prometnih nesreća. </w:t>
      </w:r>
      <w:r w:rsidRPr="00C13084">
        <w:rPr>
          <w:rFonts w:cs="Calibri"/>
        </w:rPr>
        <w:t>Prema službenoj statistici PU zagrebačke za 2018. godinu najugroženije prometnice su Slavonska avenija, Ulica kneza Branimira, Ilica, Ul. grada Vukovara i Avenija Dubrava. Osim na Aveniji Dubrava,  na svim navedenim prometnicama se u odnosu na 2017. godinu primjećuje pad broj prometnih nesreća.</w:t>
      </w:r>
      <w:r>
        <w:rPr>
          <w:rFonts w:cs="Calibri"/>
        </w:rPr>
        <w:t xml:space="preserve"> </w:t>
      </w:r>
      <w:r w:rsidRPr="00C13084">
        <w:rPr>
          <w:rFonts w:cs="Calibri"/>
        </w:rPr>
        <w:t xml:space="preserve">Raskrižje Avenije Dubrovnik i </w:t>
      </w:r>
      <w:r>
        <w:rPr>
          <w:rFonts w:cs="Calibri"/>
        </w:rPr>
        <w:t>r</w:t>
      </w:r>
      <w:r w:rsidRPr="00C13084">
        <w:rPr>
          <w:rFonts w:cs="Calibri"/>
        </w:rPr>
        <w:t>otora</w:t>
      </w:r>
      <w:r>
        <w:rPr>
          <w:rFonts w:cs="Calibri"/>
        </w:rPr>
        <w:t xml:space="preserve"> u Remetincu</w:t>
      </w:r>
      <w:r w:rsidRPr="00C13084">
        <w:rPr>
          <w:rFonts w:cs="Calibri"/>
        </w:rPr>
        <w:t xml:space="preserve"> koje </w:t>
      </w:r>
      <w:r>
        <w:rPr>
          <w:rFonts w:cs="Calibri"/>
        </w:rPr>
        <w:t xml:space="preserve">je </w:t>
      </w:r>
      <w:r w:rsidRPr="00C13084">
        <w:rPr>
          <w:rFonts w:cs="Calibri"/>
        </w:rPr>
        <w:t>predstavlja</w:t>
      </w:r>
      <w:r>
        <w:rPr>
          <w:rFonts w:cs="Calibri"/>
        </w:rPr>
        <w:t>lo</w:t>
      </w:r>
      <w:r w:rsidRPr="00C13084">
        <w:rPr>
          <w:rFonts w:cs="Calibri"/>
        </w:rPr>
        <w:t xml:space="preserve"> visoki rizik od sudjelovanja u prometnoj nesreći je</w:t>
      </w:r>
      <w:r>
        <w:rPr>
          <w:rFonts w:cs="Calibri"/>
        </w:rPr>
        <w:t xml:space="preserve"> rekonstruirano i modernizirano.</w:t>
      </w:r>
    </w:p>
    <w:p w14:paraId="432DDE7F" w14:textId="5F85333C" w:rsidR="00C5315F" w:rsidRPr="00032E99" w:rsidRDefault="00C5315F" w:rsidP="00C45A8C">
      <w:pPr>
        <w:pStyle w:val="Stil2"/>
      </w:pPr>
      <w:bookmarkStart w:id="117" w:name="_Toc97123837"/>
      <w:r w:rsidRPr="00032E99">
        <w:t>4.3.2. Načinska raspodjela</w:t>
      </w:r>
      <w:bookmarkEnd w:id="117"/>
    </w:p>
    <w:p w14:paraId="51BD92C4" w14:textId="77777777" w:rsidR="00C5315F" w:rsidRDefault="00C5315F" w:rsidP="00C5315F">
      <w:pPr>
        <w:spacing w:line="240" w:lineRule="auto"/>
        <w:jc w:val="both"/>
        <w:rPr>
          <w:rFonts w:cs="Calibri"/>
        </w:rPr>
      </w:pPr>
      <w:r w:rsidRPr="00032E99">
        <w:rPr>
          <w:rFonts w:cs="Calibri"/>
        </w:rPr>
        <w:t>Gospodarska kriza koja je posebno bila izražena u razdoblju 2009. – 2014. odrazila se na mobilnost građana i modalnu raspodjelu. Temeljem dostupnih podataka procjenjuje se da je u modalnoj raspodjeli udjel biciklističkog prometa porastao na oko 3%, da je udjel javnog putničkog prometa u stagnaciji, a pješačkog i automobilskog u blagom padu.</w:t>
      </w:r>
      <w:r>
        <w:rPr>
          <w:rFonts w:cs="Calibri"/>
        </w:rPr>
        <w:t xml:space="preserve"> </w:t>
      </w:r>
      <w:r w:rsidRPr="00032E99">
        <w:rPr>
          <w:rFonts w:cs="Calibri"/>
        </w:rPr>
        <w:t>Temeljem provedenih prometnih istraživanja tijekom 2017. godine, u Gradu Zagrebu 46% putovanja odvija se automobilom. Udio putovanja javnim prijevozom čine 40% svih putovanja,  hodanje predstavlja 11% svih putovanja, a samo 3% putovanja obavlja se na biciklu.</w:t>
      </w:r>
    </w:p>
    <w:p w14:paraId="70B440DE" w14:textId="5069761F" w:rsidR="00C5315F" w:rsidRPr="00AE0DC7" w:rsidRDefault="00682389" w:rsidP="00E2286C">
      <w:pPr>
        <w:pStyle w:val="Opisslike"/>
        <w:rPr>
          <w:rFonts w:cs="Calibri"/>
          <w:color w:val="0070C0"/>
        </w:rPr>
      </w:pPr>
      <w:r>
        <w:t xml:space="preserve">Tablica </w:t>
      </w:r>
      <w:r w:rsidR="00751C19">
        <w:fldChar w:fldCharType="begin"/>
      </w:r>
      <w:r w:rsidR="00751C19">
        <w:instrText xml:space="preserve"> SEQ Tablica \* ARABIC </w:instrText>
      </w:r>
      <w:r w:rsidR="00751C19">
        <w:fldChar w:fldCharType="separate"/>
      </w:r>
      <w:r w:rsidR="00803E25">
        <w:rPr>
          <w:noProof/>
        </w:rPr>
        <w:t>21</w:t>
      </w:r>
      <w:r w:rsidR="00751C19">
        <w:rPr>
          <w:noProof/>
        </w:rPr>
        <w:fldChar w:fldCharType="end"/>
      </w:r>
      <w:r>
        <w:t xml:space="preserve">. </w:t>
      </w:r>
      <w:r w:rsidRPr="00475A76">
        <w:t>Zaposleni koji putuju na posao prema sredstvu putovanja (%)</w:t>
      </w:r>
    </w:p>
    <w:tbl>
      <w:tblPr>
        <w:tblW w:w="9195" w:type="dxa"/>
        <w:tblInd w:w="93" w:type="dxa"/>
        <w:tblLayout w:type="fixed"/>
        <w:tblLook w:val="04A0" w:firstRow="1" w:lastRow="0" w:firstColumn="1" w:lastColumn="0" w:noHBand="0" w:noVBand="1"/>
      </w:tblPr>
      <w:tblGrid>
        <w:gridCol w:w="1178"/>
        <w:gridCol w:w="851"/>
        <w:gridCol w:w="1417"/>
        <w:gridCol w:w="942"/>
        <w:gridCol w:w="1212"/>
        <w:gridCol w:w="1212"/>
        <w:gridCol w:w="1668"/>
        <w:gridCol w:w="715"/>
      </w:tblGrid>
      <w:tr w:rsidR="00C5315F" w:rsidRPr="005150CC" w14:paraId="15D41C30" w14:textId="77777777" w:rsidTr="00E2286C">
        <w:trPr>
          <w:trHeight w:val="732"/>
        </w:trPr>
        <w:tc>
          <w:tcPr>
            <w:tcW w:w="1178" w:type="dxa"/>
            <w:tcBorders>
              <w:top w:val="single" w:sz="4" w:space="0" w:color="auto"/>
              <w:left w:val="single" w:sz="4" w:space="0" w:color="auto"/>
              <w:bottom w:val="single" w:sz="4" w:space="0" w:color="auto"/>
              <w:right w:val="single" w:sz="4" w:space="0" w:color="auto"/>
            </w:tcBorders>
            <w:shd w:val="clear" w:color="000000" w:fill="EDF2F9"/>
            <w:hideMark/>
          </w:tcPr>
          <w:p w14:paraId="4E29726B" w14:textId="77777777" w:rsidR="00C5315F" w:rsidRPr="00AE0DC7" w:rsidRDefault="00C5315F" w:rsidP="00072476">
            <w:pPr>
              <w:spacing w:after="0" w:line="240" w:lineRule="auto"/>
              <w:rPr>
                <w:rFonts w:eastAsia="Times New Roman" w:cs="Calibri"/>
                <w:sz w:val="20"/>
                <w:szCs w:val="20"/>
                <w:lang w:val="en-US"/>
              </w:rPr>
            </w:pPr>
            <w:r w:rsidRPr="00AE0DC7">
              <w:rPr>
                <w:rFonts w:eastAsia="Times New Roman" w:cs="Calibri"/>
                <w:sz w:val="20"/>
                <w:szCs w:val="20"/>
                <w:lang w:val="en-US"/>
              </w:rPr>
              <w:t>Prijevozno sredstvo</w:t>
            </w:r>
          </w:p>
        </w:tc>
        <w:tc>
          <w:tcPr>
            <w:tcW w:w="851" w:type="dxa"/>
            <w:tcBorders>
              <w:top w:val="single" w:sz="4" w:space="0" w:color="auto"/>
              <w:left w:val="nil"/>
              <w:bottom w:val="single" w:sz="4" w:space="0" w:color="auto"/>
              <w:right w:val="single" w:sz="4" w:space="0" w:color="auto"/>
            </w:tcBorders>
            <w:shd w:val="clear" w:color="000000" w:fill="EDF2F9"/>
            <w:vAlign w:val="center"/>
            <w:hideMark/>
          </w:tcPr>
          <w:p w14:paraId="271750C2" w14:textId="77777777" w:rsidR="00C5315F" w:rsidRPr="00AE0DC7" w:rsidRDefault="00C5315F" w:rsidP="00072476">
            <w:pPr>
              <w:spacing w:after="0" w:line="240" w:lineRule="auto"/>
              <w:jc w:val="center"/>
              <w:rPr>
                <w:rFonts w:eastAsia="Times New Roman" w:cs="Calibri"/>
                <w:sz w:val="20"/>
                <w:szCs w:val="20"/>
                <w:lang w:val="en-US"/>
              </w:rPr>
            </w:pPr>
            <w:r w:rsidRPr="00AE0DC7">
              <w:rPr>
                <w:rFonts w:eastAsia="Times New Roman" w:cs="Calibri"/>
                <w:sz w:val="20"/>
                <w:szCs w:val="20"/>
                <w:lang w:val="en-US"/>
              </w:rPr>
              <w:t>Osobni automobil</w:t>
            </w:r>
          </w:p>
        </w:tc>
        <w:tc>
          <w:tcPr>
            <w:tcW w:w="1417" w:type="dxa"/>
            <w:tcBorders>
              <w:top w:val="single" w:sz="4" w:space="0" w:color="auto"/>
              <w:left w:val="nil"/>
              <w:bottom w:val="single" w:sz="4" w:space="0" w:color="auto"/>
              <w:right w:val="single" w:sz="4" w:space="0" w:color="auto"/>
            </w:tcBorders>
            <w:shd w:val="clear" w:color="000000" w:fill="EDF2F9"/>
            <w:vAlign w:val="center"/>
            <w:hideMark/>
          </w:tcPr>
          <w:p w14:paraId="4481ECCE" w14:textId="77777777" w:rsidR="00C5315F" w:rsidRPr="00AE0DC7" w:rsidRDefault="00C5315F" w:rsidP="00072476">
            <w:pPr>
              <w:spacing w:after="0" w:line="240" w:lineRule="auto"/>
              <w:jc w:val="center"/>
              <w:rPr>
                <w:rFonts w:eastAsia="Times New Roman" w:cs="Calibri"/>
                <w:sz w:val="20"/>
                <w:szCs w:val="20"/>
                <w:lang w:val="en-US"/>
              </w:rPr>
            </w:pPr>
            <w:r w:rsidRPr="00AE0DC7">
              <w:rPr>
                <w:rFonts w:eastAsia="Times New Roman" w:cs="Calibri"/>
                <w:sz w:val="20"/>
                <w:szCs w:val="20"/>
                <w:lang w:val="en-US"/>
              </w:rPr>
              <w:t>Javni gradski prijevoz (željeznica, autobus, tramvaj)</w:t>
            </w:r>
          </w:p>
        </w:tc>
        <w:tc>
          <w:tcPr>
            <w:tcW w:w="942" w:type="dxa"/>
            <w:tcBorders>
              <w:top w:val="single" w:sz="4" w:space="0" w:color="auto"/>
              <w:left w:val="nil"/>
              <w:bottom w:val="single" w:sz="4" w:space="0" w:color="auto"/>
              <w:right w:val="single" w:sz="4" w:space="0" w:color="auto"/>
            </w:tcBorders>
            <w:shd w:val="clear" w:color="000000" w:fill="EDF2F9"/>
            <w:vAlign w:val="center"/>
            <w:hideMark/>
          </w:tcPr>
          <w:p w14:paraId="47667BDE" w14:textId="43B830B3" w:rsidR="00C5315F" w:rsidRPr="00AE0DC7" w:rsidRDefault="00E2286C" w:rsidP="00072476">
            <w:pPr>
              <w:spacing w:after="0" w:line="240" w:lineRule="auto"/>
              <w:jc w:val="center"/>
              <w:rPr>
                <w:rFonts w:eastAsia="Times New Roman" w:cs="Calibri"/>
                <w:sz w:val="20"/>
                <w:szCs w:val="20"/>
                <w:lang w:val="en-US"/>
              </w:rPr>
            </w:pPr>
            <w:r>
              <w:rPr>
                <w:rFonts w:eastAsia="Times New Roman" w:cs="Calibri"/>
                <w:sz w:val="20"/>
                <w:szCs w:val="20"/>
                <w:lang w:val="en-US"/>
              </w:rPr>
              <w:t>M</w:t>
            </w:r>
            <w:r w:rsidR="00C5315F" w:rsidRPr="00AE0DC7">
              <w:rPr>
                <w:rFonts w:eastAsia="Times New Roman" w:cs="Calibri"/>
                <w:sz w:val="20"/>
                <w:szCs w:val="20"/>
                <w:lang w:val="en-US"/>
              </w:rPr>
              <w:t>otocikl</w:t>
            </w:r>
          </w:p>
        </w:tc>
        <w:tc>
          <w:tcPr>
            <w:tcW w:w="1212" w:type="dxa"/>
            <w:tcBorders>
              <w:top w:val="single" w:sz="4" w:space="0" w:color="auto"/>
              <w:left w:val="nil"/>
              <w:bottom w:val="single" w:sz="4" w:space="0" w:color="auto"/>
              <w:right w:val="single" w:sz="4" w:space="0" w:color="auto"/>
            </w:tcBorders>
            <w:shd w:val="clear" w:color="000000" w:fill="EDF2F9"/>
            <w:vAlign w:val="center"/>
            <w:hideMark/>
          </w:tcPr>
          <w:p w14:paraId="41AAD61B" w14:textId="290C25B7" w:rsidR="00C5315F" w:rsidRPr="00AE0DC7" w:rsidRDefault="00E2286C" w:rsidP="00072476">
            <w:pPr>
              <w:spacing w:after="0" w:line="240" w:lineRule="auto"/>
              <w:jc w:val="center"/>
              <w:rPr>
                <w:rFonts w:eastAsia="Times New Roman" w:cs="Calibri"/>
                <w:sz w:val="20"/>
                <w:szCs w:val="20"/>
                <w:lang w:val="en-US"/>
              </w:rPr>
            </w:pPr>
            <w:r>
              <w:rPr>
                <w:rFonts w:eastAsia="Times New Roman" w:cs="Calibri"/>
                <w:sz w:val="20"/>
                <w:szCs w:val="20"/>
                <w:lang w:val="en-US"/>
              </w:rPr>
              <w:t>B</w:t>
            </w:r>
            <w:r w:rsidR="00C5315F" w:rsidRPr="00AE0DC7">
              <w:rPr>
                <w:rFonts w:eastAsia="Times New Roman" w:cs="Calibri"/>
                <w:sz w:val="20"/>
                <w:szCs w:val="20"/>
                <w:lang w:val="en-US"/>
              </w:rPr>
              <w:t>icikl</w:t>
            </w:r>
          </w:p>
        </w:tc>
        <w:tc>
          <w:tcPr>
            <w:tcW w:w="1212" w:type="dxa"/>
            <w:tcBorders>
              <w:top w:val="single" w:sz="4" w:space="0" w:color="auto"/>
              <w:left w:val="nil"/>
              <w:bottom w:val="single" w:sz="4" w:space="0" w:color="auto"/>
              <w:right w:val="single" w:sz="4" w:space="0" w:color="auto"/>
            </w:tcBorders>
            <w:shd w:val="clear" w:color="000000" w:fill="EDF2F9"/>
            <w:vAlign w:val="center"/>
            <w:hideMark/>
          </w:tcPr>
          <w:p w14:paraId="51E49735" w14:textId="5F2A0DB8" w:rsidR="00C5315F" w:rsidRPr="00AE0DC7" w:rsidRDefault="00E2286C" w:rsidP="00072476">
            <w:pPr>
              <w:spacing w:after="0" w:line="240" w:lineRule="auto"/>
              <w:jc w:val="center"/>
              <w:rPr>
                <w:rFonts w:eastAsia="Times New Roman" w:cs="Calibri"/>
                <w:sz w:val="20"/>
                <w:szCs w:val="20"/>
                <w:lang w:val="en-US"/>
              </w:rPr>
            </w:pPr>
            <w:r>
              <w:rPr>
                <w:rFonts w:eastAsia="Times New Roman" w:cs="Calibri"/>
                <w:sz w:val="20"/>
                <w:szCs w:val="20"/>
                <w:lang w:val="en-US"/>
              </w:rPr>
              <w:t>P</w:t>
            </w:r>
            <w:r w:rsidR="00C5315F" w:rsidRPr="00AE0DC7">
              <w:rPr>
                <w:rFonts w:eastAsia="Times New Roman" w:cs="Calibri"/>
                <w:sz w:val="20"/>
                <w:szCs w:val="20"/>
                <w:lang w:val="en-US"/>
              </w:rPr>
              <w:t>ješice</w:t>
            </w:r>
          </w:p>
        </w:tc>
        <w:tc>
          <w:tcPr>
            <w:tcW w:w="1668" w:type="dxa"/>
            <w:tcBorders>
              <w:top w:val="single" w:sz="4" w:space="0" w:color="auto"/>
              <w:left w:val="nil"/>
              <w:bottom w:val="single" w:sz="4" w:space="0" w:color="auto"/>
              <w:right w:val="single" w:sz="4" w:space="0" w:color="auto"/>
            </w:tcBorders>
            <w:shd w:val="clear" w:color="000000" w:fill="EDF2F9"/>
            <w:vAlign w:val="center"/>
            <w:hideMark/>
          </w:tcPr>
          <w:p w14:paraId="4989BE72" w14:textId="77777777" w:rsidR="00C5315F" w:rsidRPr="00AE0DC7" w:rsidRDefault="00C5315F" w:rsidP="00072476">
            <w:pPr>
              <w:spacing w:after="0" w:line="240" w:lineRule="auto"/>
              <w:jc w:val="center"/>
              <w:rPr>
                <w:rFonts w:eastAsia="Times New Roman" w:cs="Calibri"/>
                <w:sz w:val="20"/>
                <w:szCs w:val="20"/>
                <w:lang w:val="en-US"/>
              </w:rPr>
            </w:pPr>
            <w:r w:rsidRPr="00AE0DC7">
              <w:rPr>
                <w:rFonts w:eastAsia="Times New Roman" w:cs="Calibri"/>
                <w:sz w:val="20"/>
                <w:szCs w:val="20"/>
                <w:lang w:val="en-US"/>
              </w:rPr>
              <w:t>Automobil I motocikl</w:t>
            </w:r>
          </w:p>
        </w:tc>
        <w:tc>
          <w:tcPr>
            <w:tcW w:w="715" w:type="dxa"/>
            <w:tcBorders>
              <w:top w:val="nil"/>
              <w:left w:val="nil"/>
              <w:bottom w:val="nil"/>
              <w:right w:val="nil"/>
            </w:tcBorders>
            <w:shd w:val="clear" w:color="auto" w:fill="auto"/>
            <w:noWrap/>
            <w:vAlign w:val="bottom"/>
            <w:hideMark/>
          </w:tcPr>
          <w:p w14:paraId="445BEE5C" w14:textId="77777777" w:rsidR="00C5315F" w:rsidRPr="005150CC" w:rsidRDefault="00C5315F" w:rsidP="00072476">
            <w:pPr>
              <w:spacing w:after="0" w:line="240" w:lineRule="auto"/>
              <w:rPr>
                <w:rFonts w:eastAsia="Times New Roman" w:cs="Calibri"/>
                <w:color w:val="000000"/>
                <w:lang w:val="en-US"/>
              </w:rPr>
            </w:pPr>
          </w:p>
        </w:tc>
      </w:tr>
      <w:tr w:rsidR="00C5315F" w:rsidRPr="005150CC" w14:paraId="3C8D47AC" w14:textId="77777777" w:rsidTr="00E2286C">
        <w:trPr>
          <w:trHeight w:val="300"/>
        </w:trPr>
        <w:tc>
          <w:tcPr>
            <w:tcW w:w="1178" w:type="dxa"/>
            <w:tcBorders>
              <w:top w:val="nil"/>
              <w:left w:val="single" w:sz="4" w:space="0" w:color="auto"/>
              <w:bottom w:val="single" w:sz="4" w:space="0" w:color="auto"/>
              <w:right w:val="single" w:sz="4" w:space="0" w:color="auto"/>
            </w:tcBorders>
            <w:shd w:val="clear" w:color="000000" w:fill="EDF2F9"/>
            <w:hideMark/>
          </w:tcPr>
          <w:p w14:paraId="054A0BF9" w14:textId="77777777" w:rsidR="00C5315F" w:rsidRPr="00AE0DC7" w:rsidRDefault="00C5315F" w:rsidP="00072476">
            <w:pPr>
              <w:spacing w:after="0" w:line="240" w:lineRule="auto"/>
              <w:rPr>
                <w:rFonts w:eastAsia="Times New Roman" w:cs="Calibri"/>
                <w:b/>
                <w:bCs/>
                <w:sz w:val="20"/>
                <w:szCs w:val="20"/>
                <w:lang w:val="en-US"/>
              </w:rPr>
            </w:pPr>
            <w:r w:rsidRPr="00AE0DC7">
              <w:rPr>
                <w:rFonts w:eastAsia="Times New Roman" w:cs="Calibri"/>
                <w:b/>
                <w:bCs/>
                <w:sz w:val="20"/>
                <w:szCs w:val="20"/>
                <w:lang w:val="en-US"/>
              </w:rPr>
              <w:t>Udio (%)</w:t>
            </w:r>
          </w:p>
        </w:tc>
        <w:tc>
          <w:tcPr>
            <w:tcW w:w="851" w:type="dxa"/>
            <w:tcBorders>
              <w:top w:val="nil"/>
              <w:left w:val="nil"/>
              <w:bottom w:val="single" w:sz="4" w:space="0" w:color="auto"/>
              <w:right w:val="single" w:sz="4" w:space="0" w:color="auto"/>
            </w:tcBorders>
            <w:shd w:val="clear" w:color="auto" w:fill="auto"/>
            <w:noWrap/>
            <w:vAlign w:val="bottom"/>
            <w:hideMark/>
          </w:tcPr>
          <w:p w14:paraId="04B9FB38" w14:textId="77777777" w:rsidR="00C5315F" w:rsidRPr="00AE0DC7" w:rsidRDefault="00C5315F" w:rsidP="00072476">
            <w:pPr>
              <w:spacing w:after="0" w:line="240" w:lineRule="auto"/>
              <w:rPr>
                <w:rFonts w:eastAsia="Times New Roman" w:cs="Calibri"/>
                <w:b/>
                <w:bCs/>
                <w:color w:val="000000"/>
                <w:sz w:val="20"/>
                <w:szCs w:val="20"/>
                <w:lang w:val="en-US"/>
              </w:rPr>
            </w:pPr>
            <w:r>
              <w:rPr>
                <w:rFonts w:eastAsia="Times New Roman" w:cs="Calibri"/>
                <w:b/>
                <w:bCs/>
                <w:color w:val="000000"/>
                <w:sz w:val="20"/>
                <w:szCs w:val="20"/>
                <w:lang w:val="en-US"/>
              </w:rPr>
              <w:t xml:space="preserve">46 </w:t>
            </w:r>
          </w:p>
        </w:tc>
        <w:tc>
          <w:tcPr>
            <w:tcW w:w="1417" w:type="dxa"/>
            <w:tcBorders>
              <w:top w:val="nil"/>
              <w:left w:val="nil"/>
              <w:bottom w:val="single" w:sz="4" w:space="0" w:color="auto"/>
              <w:right w:val="single" w:sz="4" w:space="0" w:color="auto"/>
            </w:tcBorders>
            <w:shd w:val="clear" w:color="auto" w:fill="auto"/>
            <w:noWrap/>
            <w:vAlign w:val="bottom"/>
            <w:hideMark/>
          </w:tcPr>
          <w:p w14:paraId="6DE749D0" w14:textId="77777777" w:rsidR="00C5315F" w:rsidRPr="00AE0DC7" w:rsidRDefault="00C5315F" w:rsidP="00072476">
            <w:pPr>
              <w:spacing w:after="0" w:line="240" w:lineRule="auto"/>
              <w:rPr>
                <w:rFonts w:eastAsia="Times New Roman" w:cs="Calibri"/>
                <w:b/>
                <w:bCs/>
                <w:color w:val="000000"/>
                <w:sz w:val="20"/>
                <w:szCs w:val="20"/>
                <w:lang w:val="en-US"/>
              </w:rPr>
            </w:pPr>
            <w:r>
              <w:rPr>
                <w:rFonts w:eastAsia="Times New Roman" w:cs="Calibri"/>
                <w:b/>
                <w:bCs/>
                <w:color w:val="000000"/>
                <w:sz w:val="20"/>
                <w:szCs w:val="20"/>
                <w:lang w:val="en-US"/>
              </w:rPr>
              <w:t xml:space="preserve">40 </w:t>
            </w:r>
          </w:p>
        </w:tc>
        <w:tc>
          <w:tcPr>
            <w:tcW w:w="942" w:type="dxa"/>
            <w:tcBorders>
              <w:top w:val="nil"/>
              <w:left w:val="nil"/>
              <w:bottom w:val="single" w:sz="4" w:space="0" w:color="auto"/>
              <w:right w:val="single" w:sz="4" w:space="0" w:color="auto"/>
            </w:tcBorders>
            <w:shd w:val="clear" w:color="auto" w:fill="auto"/>
            <w:noWrap/>
            <w:vAlign w:val="bottom"/>
            <w:hideMark/>
          </w:tcPr>
          <w:p w14:paraId="5D07B2C9" w14:textId="77777777" w:rsidR="00C5315F" w:rsidRPr="00AE0DC7" w:rsidRDefault="00C5315F" w:rsidP="00072476">
            <w:pPr>
              <w:spacing w:after="0" w:line="240" w:lineRule="auto"/>
              <w:jc w:val="right"/>
              <w:rPr>
                <w:rFonts w:eastAsia="Times New Roman" w:cs="Calibri"/>
                <w:b/>
                <w:bCs/>
                <w:color w:val="000000"/>
                <w:sz w:val="20"/>
                <w:szCs w:val="20"/>
                <w:lang w:val="en-US"/>
              </w:rPr>
            </w:pPr>
            <w:r>
              <w:rPr>
                <w:rFonts w:eastAsia="Times New Roman" w:cs="Calibri"/>
                <w:b/>
                <w:bCs/>
                <w:color w:val="000000"/>
                <w:sz w:val="20"/>
                <w:szCs w:val="20"/>
                <w:lang w:val="en-US"/>
              </w:rPr>
              <w:t xml:space="preserve">0, 32 </w:t>
            </w:r>
          </w:p>
        </w:tc>
        <w:tc>
          <w:tcPr>
            <w:tcW w:w="1212" w:type="dxa"/>
            <w:tcBorders>
              <w:top w:val="nil"/>
              <w:left w:val="nil"/>
              <w:bottom w:val="single" w:sz="4" w:space="0" w:color="auto"/>
              <w:right w:val="single" w:sz="4" w:space="0" w:color="auto"/>
            </w:tcBorders>
            <w:shd w:val="clear" w:color="auto" w:fill="auto"/>
            <w:noWrap/>
            <w:vAlign w:val="bottom"/>
            <w:hideMark/>
          </w:tcPr>
          <w:p w14:paraId="0B62BD89" w14:textId="77777777" w:rsidR="00C5315F" w:rsidRPr="00AE0DC7" w:rsidRDefault="00C5315F" w:rsidP="00072476">
            <w:pPr>
              <w:spacing w:after="0" w:line="240" w:lineRule="auto"/>
              <w:jc w:val="right"/>
              <w:rPr>
                <w:rFonts w:eastAsia="Times New Roman" w:cs="Calibri"/>
                <w:b/>
                <w:bCs/>
                <w:color w:val="000000"/>
                <w:sz w:val="20"/>
                <w:szCs w:val="20"/>
                <w:lang w:val="en-US"/>
              </w:rPr>
            </w:pPr>
            <w:r w:rsidRPr="00AE0DC7">
              <w:rPr>
                <w:rFonts w:eastAsia="Times New Roman" w:cs="Calibri"/>
                <w:b/>
                <w:bCs/>
                <w:color w:val="000000"/>
                <w:sz w:val="20"/>
                <w:szCs w:val="20"/>
                <w:lang w:val="en-US"/>
              </w:rPr>
              <w:t>3</w:t>
            </w:r>
          </w:p>
        </w:tc>
        <w:tc>
          <w:tcPr>
            <w:tcW w:w="1212" w:type="dxa"/>
            <w:tcBorders>
              <w:top w:val="nil"/>
              <w:left w:val="nil"/>
              <w:bottom w:val="single" w:sz="4" w:space="0" w:color="auto"/>
              <w:right w:val="single" w:sz="4" w:space="0" w:color="auto"/>
            </w:tcBorders>
            <w:shd w:val="clear" w:color="auto" w:fill="auto"/>
            <w:noWrap/>
            <w:vAlign w:val="bottom"/>
            <w:hideMark/>
          </w:tcPr>
          <w:p w14:paraId="660DF58D" w14:textId="77777777" w:rsidR="00C5315F" w:rsidRPr="00AE0DC7" w:rsidRDefault="00C5315F" w:rsidP="00072476">
            <w:pPr>
              <w:spacing w:after="0" w:line="240" w:lineRule="auto"/>
              <w:jc w:val="right"/>
              <w:rPr>
                <w:rFonts w:eastAsia="Times New Roman" w:cs="Calibri"/>
                <w:b/>
                <w:bCs/>
                <w:color w:val="000000"/>
                <w:sz w:val="20"/>
                <w:szCs w:val="20"/>
                <w:lang w:val="en-US"/>
              </w:rPr>
            </w:pPr>
            <w:r>
              <w:rPr>
                <w:rFonts w:eastAsia="Times New Roman" w:cs="Calibri"/>
                <w:b/>
                <w:bCs/>
                <w:color w:val="000000"/>
                <w:sz w:val="20"/>
                <w:szCs w:val="20"/>
                <w:lang w:val="en-US"/>
              </w:rPr>
              <w:t xml:space="preserve"> 11</w:t>
            </w:r>
          </w:p>
        </w:tc>
        <w:tc>
          <w:tcPr>
            <w:tcW w:w="1668" w:type="dxa"/>
            <w:tcBorders>
              <w:top w:val="nil"/>
              <w:left w:val="nil"/>
              <w:bottom w:val="single" w:sz="4" w:space="0" w:color="auto"/>
              <w:right w:val="single" w:sz="4" w:space="0" w:color="auto"/>
            </w:tcBorders>
            <w:shd w:val="clear" w:color="auto" w:fill="auto"/>
            <w:noWrap/>
            <w:vAlign w:val="bottom"/>
            <w:hideMark/>
          </w:tcPr>
          <w:p w14:paraId="409218AF" w14:textId="77777777" w:rsidR="00C5315F" w:rsidRPr="00AE0DC7" w:rsidRDefault="00C5315F" w:rsidP="00072476">
            <w:pPr>
              <w:spacing w:after="0" w:line="240" w:lineRule="auto"/>
              <w:jc w:val="right"/>
              <w:rPr>
                <w:rFonts w:eastAsia="Times New Roman" w:cs="Calibri"/>
                <w:b/>
                <w:bCs/>
                <w:color w:val="000000"/>
                <w:sz w:val="20"/>
                <w:szCs w:val="20"/>
                <w:lang w:val="en-US"/>
              </w:rPr>
            </w:pPr>
          </w:p>
        </w:tc>
        <w:tc>
          <w:tcPr>
            <w:tcW w:w="715" w:type="dxa"/>
            <w:tcBorders>
              <w:top w:val="nil"/>
              <w:left w:val="nil"/>
              <w:bottom w:val="nil"/>
              <w:right w:val="nil"/>
            </w:tcBorders>
            <w:shd w:val="clear" w:color="auto" w:fill="auto"/>
            <w:noWrap/>
            <w:vAlign w:val="bottom"/>
            <w:hideMark/>
          </w:tcPr>
          <w:p w14:paraId="3FC9D215" w14:textId="77777777" w:rsidR="00C5315F" w:rsidRPr="005150CC" w:rsidRDefault="00C5315F" w:rsidP="00072476">
            <w:pPr>
              <w:spacing w:after="0" w:line="240" w:lineRule="auto"/>
              <w:rPr>
                <w:rFonts w:eastAsia="Times New Roman" w:cs="Calibri"/>
                <w:color w:val="000000"/>
                <w:lang w:val="en-US"/>
              </w:rPr>
            </w:pPr>
          </w:p>
        </w:tc>
      </w:tr>
    </w:tbl>
    <w:p w14:paraId="7F726C2E" w14:textId="77777777" w:rsidR="00C259BD" w:rsidRDefault="00C5315F" w:rsidP="00C5315F">
      <w:pPr>
        <w:rPr>
          <w:rFonts w:cs="Calibri"/>
          <w:bCs/>
          <w:iCs/>
          <w:sz w:val="18"/>
          <w:szCs w:val="18"/>
        </w:rPr>
      </w:pPr>
      <w:r w:rsidRPr="00A32B07">
        <w:rPr>
          <w:rFonts w:cs="Calibri"/>
          <w:bCs/>
          <w:iCs/>
          <w:sz w:val="18"/>
          <w:szCs w:val="18"/>
        </w:rPr>
        <w:t xml:space="preserve">Izvor:  I. faza Masterplana prometnog sustava Grad Zagreba, Zagrebačke županije i Krapinsko-zagorske županije, 2017. </w:t>
      </w:r>
    </w:p>
    <w:p w14:paraId="1303555F" w14:textId="29BB43D5" w:rsidR="00C5315F" w:rsidRDefault="00C5315F" w:rsidP="00C45A8C">
      <w:pPr>
        <w:pStyle w:val="Stil2"/>
      </w:pPr>
      <w:bookmarkStart w:id="118" w:name="_Toc97123838"/>
      <w:r>
        <w:t>4</w:t>
      </w:r>
      <w:r w:rsidRPr="00A33E06">
        <w:t>.</w:t>
      </w:r>
      <w:r>
        <w:t>3</w:t>
      </w:r>
      <w:r w:rsidRPr="00A33E06">
        <w:t>.3.</w:t>
      </w:r>
      <w:r>
        <w:t xml:space="preserve"> </w:t>
      </w:r>
      <w:r w:rsidRPr="00A33E06">
        <w:t>Zračni promet</w:t>
      </w:r>
      <w:bookmarkEnd w:id="118"/>
    </w:p>
    <w:p w14:paraId="01EEE6B9" w14:textId="035CF43C" w:rsidR="00C5315F" w:rsidRDefault="00C5315F" w:rsidP="00C5315F">
      <w:pPr>
        <w:spacing w:line="240" w:lineRule="auto"/>
        <w:jc w:val="both"/>
        <w:rPr>
          <w:b/>
          <w:sz w:val="20"/>
          <w:szCs w:val="20"/>
        </w:rPr>
      </w:pPr>
      <w:r w:rsidRPr="00032E99">
        <w:rPr>
          <w:rFonts w:cs="Calibri"/>
        </w:rPr>
        <w:t>Međunarodna zračna luka Zagreb značajna je za razvoj na regionalnoj, nacionalnoj i međunarodnoj razini. Smještena je izvan administrativnih granica Grada Zagreba, na području Zagrebačke županije (Grad Velika Gorica). Novi putnički terminal otvoren je u ožujku 2017.</w:t>
      </w:r>
      <w:r w:rsidR="00C259BD" w:rsidRPr="00032E99">
        <w:t xml:space="preserve"> </w:t>
      </w:r>
      <w:r w:rsidRPr="00032E99">
        <w:br/>
        <w:t>Zračna luka "Franjo Tuđman" ima 65.000 m</w:t>
      </w:r>
      <w:r w:rsidRPr="00032E99">
        <w:rPr>
          <w:vertAlign w:val="superscript"/>
        </w:rPr>
        <w:t>2</w:t>
      </w:r>
      <w:r w:rsidRPr="00032E99">
        <w:t> površine, a projektirana je za 5 milijuna putnika godišnje s mogućnošću širenja do 8 milijuna putnika</w:t>
      </w:r>
      <w:r w:rsidRPr="00032E99">
        <w:rPr>
          <w:b/>
          <w:sz w:val="20"/>
          <w:szCs w:val="20"/>
        </w:rPr>
        <w:t>.</w:t>
      </w:r>
    </w:p>
    <w:p w14:paraId="29FD304C" w14:textId="03A79908" w:rsidR="0094477C" w:rsidRDefault="00C5315F" w:rsidP="004C26FD">
      <w:pPr>
        <w:spacing w:line="240" w:lineRule="auto"/>
        <w:jc w:val="both"/>
        <w:rPr>
          <w:bCs/>
        </w:rPr>
      </w:pPr>
      <w:r w:rsidRPr="00032E99">
        <w:rPr>
          <w:bCs/>
        </w:rPr>
        <w:t xml:space="preserve">Zračna luka Franjo Tuđman najveća je hrvatska zračna luka sa statusom međunarodne zračne luke, svrstana u razred i skupinu 4E prema klasifikaciji organizacije međunarodnog civilnog zrakoplovstva, dok se prema opremljenosti svrstava u kategoriju II (CAT II). Zračna luka se nalazi na području Grada Velike Gorice . Zračna luka u Zagrebu prvenstveno je zadužena za prijevoz putnika na nacionalnoj i međunarodnoj razini. Povezana je sa svim glavnim aerodromima u Europi te najznačajnijim svjetskim aerodromima. </w:t>
      </w:r>
      <w:r w:rsidR="002E7EEB" w:rsidRPr="00510889">
        <w:rPr>
          <w:bCs/>
        </w:rPr>
        <w:t>Izravnim je letovima u 2022. povezana s 49 destinacija, a u redovnom prometu</w:t>
      </w:r>
      <w:r w:rsidR="001762D3">
        <w:rPr>
          <w:bCs/>
        </w:rPr>
        <w:t xml:space="preserve"> </w:t>
      </w:r>
      <w:r w:rsidR="002E7EEB" w:rsidRPr="00510889">
        <w:rPr>
          <w:bCs/>
        </w:rPr>
        <w:t xml:space="preserve">prosječno leti 21 zrakoplovna kompanija. </w:t>
      </w:r>
      <w:r w:rsidR="004C26FD">
        <w:rPr>
          <w:bCs/>
        </w:rPr>
        <w:t xml:space="preserve">Njezina pozicija i dobra povezanost </w:t>
      </w:r>
      <w:r w:rsidR="003E53A6">
        <w:rPr>
          <w:bCs/>
        </w:rPr>
        <w:t xml:space="preserve">pogoduje </w:t>
      </w:r>
      <w:r w:rsidR="00A22E67">
        <w:rPr>
          <w:bCs/>
        </w:rPr>
        <w:t xml:space="preserve">i </w:t>
      </w:r>
      <w:r w:rsidR="004C26FD">
        <w:rPr>
          <w:bCs/>
        </w:rPr>
        <w:t>niskotari</w:t>
      </w:r>
      <w:r w:rsidR="00621276">
        <w:rPr>
          <w:bCs/>
        </w:rPr>
        <w:t>fn</w:t>
      </w:r>
      <w:r w:rsidR="003E53A6">
        <w:rPr>
          <w:bCs/>
        </w:rPr>
        <w:t>im</w:t>
      </w:r>
      <w:r w:rsidR="004C26FD">
        <w:rPr>
          <w:bCs/>
        </w:rPr>
        <w:t xml:space="preserve"> aviokompanij</w:t>
      </w:r>
      <w:r w:rsidR="003E53A6">
        <w:rPr>
          <w:bCs/>
        </w:rPr>
        <w:t xml:space="preserve">ama </w:t>
      </w:r>
      <w:r w:rsidR="004C26FD">
        <w:rPr>
          <w:bCs/>
        </w:rPr>
        <w:t>kojih je trenutno 10 na zračnoj luci Franjo Tuđman</w:t>
      </w:r>
      <w:r w:rsidR="00621276">
        <w:rPr>
          <w:bCs/>
        </w:rPr>
        <w:t>. I</w:t>
      </w:r>
      <w:r w:rsidR="00621276" w:rsidRPr="00621276">
        <w:rPr>
          <w:bCs/>
        </w:rPr>
        <w:t>rska niskotarifna zrakoplovna tvrtka Rynair</w:t>
      </w:r>
      <w:r w:rsidR="00A22E67">
        <w:rPr>
          <w:bCs/>
        </w:rPr>
        <w:t xml:space="preserve">, </w:t>
      </w:r>
      <w:r w:rsidR="00A22E67" w:rsidRPr="00A22E67">
        <w:rPr>
          <w:bCs/>
        </w:rPr>
        <w:t>jed</w:t>
      </w:r>
      <w:r w:rsidR="00A22E67">
        <w:rPr>
          <w:bCs/>
        </w:rPr>
        <w:t>na</w:t>
      </w:r>
      <w:r w:rsidR="00A22E67" w:rsidRPr="00A22E67">
        <w:rPr>
          <w:bCs/>
        </w:rPr>
        <w:t xml:space="preserve"> od najvećih europskih niskotarifnih avioprijevoznika</w:t>
      </w:r>
      <w:r w:rsidR="00A22E67">
        <w:rPr>
          <w:bCs/>
        </w:rPr>
        <w:t>,</w:t>
      </w:r>
      <w:r w:rsidR="00621276">
        <w:rPr>
          <w:bCs/>
        </w:rPr>
        <w:t xml:space="preserve"> najnovija </w:t>
      </w:r>
      <w:r w:rsidR="00A22E67">
        <w:rPr>
          <w:bCs/>
        </w:rPr>
        <w:t xml:space="preserve">je </w:t>
      </w:r>
      <w:r w:rsidR="00621276">
        <w:rPr>
          <w:bCs/>
        </w:rPr>
        <w:t xml:space="preserve">i jedna od značajnijih </w:t>
      </w:r>
      <w:r w:rsidR="00621276" w:rsidRPr="00621276">
        <w:rPr>
          <w:bCs/>
        </w:rPr>
        <w:t>niskotarifn</w:t>
      </w:r>
      <w:r w:rsidR="003E53A6">
        <w:rPr>
          <w:bCs/>
        </w:rPr>
        <w:t>ih</w:t>
      </w:r>
      <w:r w:rsidR="00621276" w:rsidRPr="00621276">
        <w:rPr>
          <w:bCs/>
        </w:rPr>
        <w:t xml:space="preserve"> aviokompanija</w:t>
      </w:r>
      <w:r w:rsidR="00A22E67">
        <w:rPr>
          <w:bCs/>
        </w:rPr>
        <w:t xml:space="preserve"> na zračnoj luci Franjo Tuđman. P</w:t>
      </w:r>
      <w:r w:rsidR="00621276" w:rsidRPr="00621276">
        <w:rPr>
          <w:bCs/>
        </w:rPr>
        <w:t xml:space="preserve">rve letove iz Zagreba </w:t>
      </w:r>
      <w:r w:rsidR="00621276">
        <w:rPr>
          <w:bCs/>
        </w:rPr>
        <w:t>uvela</w:t>
      </w:r>
      <w:r w:rsidR="00846372">
        <w:rPr>
          <w:bCs/>
        </w:rPr>
        <w:t xml:space="preserve"> je</w:t>
      </w:r>
      <w:r w:rsidR="00621276">
        <w:rPr>
          <w:bCs/>
        </w:rPr>
        <w:t xml:space="preserve"> </w:t>
      </w:r>
      <w:r w:rsidR="00621276" w:rsidRPr="00621276">
        <w:rPr>
          <w:bCs/>
        </w:rPr>
        <w:t>u travnju 2021. godine</w:t>
      </w:r>
      <w:r w:rsidR="00621276">
        <w:rPr>
          <w:bCs/>
        </w:rPr>
        <w:t>.</w:t>
      </w:r>
      <w:r w:rsidR="004C26FD">
        <w:rPr>
          <w:bCs/>
        </w:rPr>
        <w:t xml:space="preserve"> </w:t>
      </w:r>
    </w:p>
    <w:p w14:paraId="4515E614" w14:textId="124CDE69" w:rsidR="00C5315F" w:rsidRDefault="002E7EEB" w:rsidP="00C5315F">
      <w:pPr>
        <w:spacing w:line="240" w:lineRule="auto"/>
        <w:jc w:val="both"/>
        <w:rPr>
          <w:bCs/>
        </w:rPr>
      </w:pPr>
      <w:r w:rsidRPr="00510889">
        <w:rPr>
          <w:bCs/>
        </w:rPr>
        <w:t>S obzirom na Covid-19 svjetsku pandemiju tijekom 2020. je došlo do ozbiljnog poremećaja u zračnom prometu, gdje je sa 3.435.531 prevezenih putnika tijekom 2019. došlo do pada na 924.823 prevezenih putnika, što je pad od preko 73%. Tijekom 2021. broj prevezenih putnika iznosi 1.404.478, što predstavlja rast od 51%, no isto tako u odnosu na 2019. je i dalje preko 59% manje prevezenih putnika.</w:t>
      </w:r>
    </w:p>
    <w:p w14:paraId="79D4364E" w14:textId="06CD1064" w:rsidR="00C259BD" w:rsidRPr="00C259BD" w:rsidRDefault="00682389" w:rsidP="00E2286C">
      <w:pPr>
        <w:pStyle w:val="Opisslike"/>
        <w:rPr>
          <w:bCs/>
        </w:rPr>
      </w:pPr>
      <w:r>
        <w:t xml:space="preserve">Tablica </w:t>
      </w:r>
      <w:r w:rsidR="00751C19">
        <w:fldChar w:fldCharType="begin"/>
      </w:r>
      <w:r w:rsidR="00751C19">
        <w:instrText xml:space="preserve"> SEQ Tablica \* ARABIC </w:instrText>
      </w:r>
      <w:r w:rsidR="00751C19">
        <w:fldChar w:fldCharType="separate"/>
      </w:r>
      <w:r w:rsidR="00803E25">
        <w:rPr>
          <w:noProof/>
        </w:rPr>
        <w:t>22</w:t>
      </w:r>
      <w:r w:rsidR="00751C19">
        <w:rPr>
          <w:noProof/>
        </w:rPr>
        <w:fldChar w:fldCharType="end"/>
      </w:r>
      <w:r>
        <w:t xml:space="preserve">. </w:t>
      </w:r>
      <w:r w:rsidRPr="00CF2CEF">
        <w:t>Podaci o prometu Zračne luke Franjo Tuđman</w:t>
      </w:r>
    </w:p>
    <w:tbl>
      <w:tblPr>
        <w:tblW w:w="9080" w:type="dxa"/>
        <w:tblInd w:w="113" w:type="dxa"/>
        <w:tblLook w:val="04A0" w:firstRow="1" w:lastRow="0" w:firstColumn="1" w:lastColumn="0" w:noHBand="0" w:noVBand="1"/>
      </w:tblPr>
      <w:tblGrid>
        <w:gridCol w:w="2270"/>
        <w:gridCol w:w="2270"/>
        <w:gridCol w:w="2270"/>
        <w:gridCol w:w="2270"/>
      </w:tblGrid>
      <w:tr w:rsidR="00510889" w:rsidRPr="00510889" w14:paraId="48044FFF" w14:textId="77777777" w:rsidTr="009121D4">
        <w:trPr>
          <w:trHeight w:val="471"/>
        </w:trPr>
        <w:tc>
          <w:tcPr>
            <w:tcW w:w="2270" w:type="dxa"/>
            <w:tcBorders>
              <w:top w:val="single" w:sz="4" w:space="0" w:color="4472C4"/>
              <w:left w:val="single" w:sz="4" w:space="0" w:color="4472C4"/>
              <w:bottom w:val="nil"/>
              <w:right w:val="nil"/>
            </w:tcBorders>
            <w:shd w:val="clear" w:color="4472C4" w:fill="4472C4"/>
            <w:noWrap/>
            <w:vAlign w:val="center"/>
            <w:hideMark/>
          </w:tcPr>
          <w:p w14:paraId="4878BC9E" w14:textId="77777777" w:rsidR="00C5014E" w:rsidRPr="00510889" w:rsidRDefault="00C5014E" w:rsidP="00C5014E">
            <w:pPr>
              <w:spacing w:after="0" w:line="240" w:lineRule="auto"/>
              <w:jc w:val="center"/>
              <w:rPr>
                <w:rFonts w:eastAsia="Times New Roman" w:cs="Calibri"/>
                <w:b/>
                <w:bCs/>
                <w:lang w:eastAsia="hr-HR"/>
              </w:rPr>
            </w:pPr>
            <w:bookmarkStart w:id="119" w:name="_Hlk97120711"/>
            <w:r w:rsidRPr="00510889">
              <w:rPr>
                <w:rFonts w:eastAsia="Times New Roman" w:cs="Calibri"/>
                <w:b/>
                <w:bCs/>
                <w:lang w:eastAsia="hr-HR"/>
              </w:rPr>
              <w:t>GODINA</w:t>
            </w:r>
          </w:p>
        </w:tc>
        <w:tc>
          <w:tcPr>
            <w:tcW w:w="2270" w:type="dxa"/>
            <w:tcBorders>
              <w:top w:val="single" w:sz="4" w:space="0" w:color="4472C4"/>
              <w:left w:val="nil"/>
              <w:bottom w:val="nil"/>
              <w:right w:val="nil"/>
            </w:tcBorders>
            <w:shd w:val="clear" w:color="4472C4" w:fill="4472C4"/>
            <w:vAlign w:val="center"/>
            <w:hideMark/>
          </w:tcPr>
          <w:p w14:paraId="5AE8E392"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Broj putnika</w:t>
            </w:r>
          </w:p>
        </w:tc>
        <w:tc>
          <w:tcPr>
            <w:tcW w:w="2270" w:type="dxa"/>
            <w:tcBorders>
              <w:top w:val="single" w:sz="4" w:space="0" w:color="4472C4"/>
              <w:left w:val="nil"/>
              <w:bottom w:val="nil"/>
              <w:right w:val="nil"/>
            </w:tcBorders>
            <w:shd w:val="clear" w:color="4472C4" w:fill="4472C4"/>
            <w:vAlign w:val="center"/>
            <w:hideMark/>
          </w:tcPr>
          <w:p w14:paraId="336F40A4"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Broj letova</w:t>
            </w:r>
          </w:p>
        </w:tc>
        <w:tc>
          <w:tcPr>
            <w:tcW w:w="2270" w:type="dxa"/>
            <w:tcBorders>
              <w:top w:val="single" w:sz="4" w:space="0" w:color="4472C4"/>
              <w:left w:val="nil"/>
              <w:bottom w:val="nil"/>
              <w:right w:val="single" w:sz="4" w:space="0" w:color="4472C4"/>
            </w:tcBorders>
            <w:shd w:val="clear" w:color="4472C4" w:fill="4472C4"/>
            <w:noWrap/>
            <w:vAlign w:val="center"/>
            <w:hideMark/>
          </w:tcPr>
          <w:p w14:paraId="4E0F9CEF"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Teret(t)</w:t>
            </w:r>
          </w:p>
        </w:tc>
      </w:tr>
      <w:tr w:rsidR="00510889" w:rsidRPr="00510889" w14:paraId="1F03C5B7" w14:textId="77777777" w:rsidTr="009121D4">
        <w:trPr>
          <w:trHeight w:val="471"/>
        </w:trPr>
        <w:tc>
          <w:tcPr>
            <w:tcW w:w="2270" w:type="dxa"/>
            <w:tcBorders>
              <w:top w:val="single" w:sz="4" w:space="0" w:color="4472C4"/>
              <w:left w:val="single" w:sz="4" w:space="0" w:color="4472C4"/>
              <w:bottom w:val="nil"/>
              <w:right w:val="nil"/>
            </w:tcBorders>
            <w:shd w:val="clear" w:color="auto" w:fill="auto"/>
            <w:noWrap/>
            <w:vAlign w:val="center"/>
            <w:hideMark/>
          </w:tcPr>
          <w:p w14:paraId="687DB4F0"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2021</w:t>
            </w:r>
          </w:p>
        </w:tc>
        <w:tc>
          <w:tcPr>
            <w:tcW w:w="2270" w:type="dxa"/>
            <w:tcBorders>
              <w:top w:val="single" w:sz="4" w:space="0" w:color="4472C4"/>
              <w:left w:val="nil"/>
              <w:bottom w:val="nil"/>
              <w:right w:val="nil"/>
            </w:tcBorders>
            <w:shd w:val="clear" w:color="auto" w:fill="auto"/>
            <w:noWrap/>
            <w:vAlign w:val="center"/>
            <w:hideMark/>
          </w:tcPr>
          <w:p w14:paraId="39934A15" w14:textId="77777777" w:rsidR="00C5014E" w:rsidRPr="00510889" w:rsidRDefault="00C5014E" w:rsidP="00C5014E">
            <w:pPr>
              <w:spacing w:after="0" w:line="240" w:lineRule="auto"/>
              <w:jc w:val="center"/>
              <w:rPr>
                <w:rFonts w:eastAsia="Times New Roman" w:cs="Calibri"/>
                <w:highlight w:val="yellow"/>
                <w:lang w:eastAsia="hr-HR"/>
              </w:rPr>
            </w:pPr>
            <w:r w:rsidRPr="00510889">
              <w:rPr>
                <w:rFonts w:eastAsia="Times New Roman" w:cs="Calibri"/>
                <w:lang w:eastAsia="hr-HR"/>
              </w:rPr>
              <w:t>1.404.478</w:t>
            </w:r>
          </w:p>
        </w:tc>
        <w:tc>
          <w:tcPr>
            <w:tcW w:w="2270" w:type="dxa"/>
            <w:tcBorders>
              <w:top w:val="single" w:sz="4" w:space="0" w:color="4472C4"/>
              <w:left w:val="nil"/>
              <w:bottom w:val="nil"/>
              <w:right w:val="nil"/>
            </w:tcBorders>
            <w:shd w:val="clear" w:color="auto" w:fill="auto"/>
            <w:noWrap/>
            <w:vAlign w:val="center"/>
            <w:hideMark/>
          </w:tcPr>
          <w:p w14:paraId="628DDADF" w14:textId="77777777" w:rsidR="00C5014E" w:rsidRPr="00510889" w:rsidRDefault="00C5014E" w:rsidP="00C5014E">
            <w:pPr>
              <w:spacing w:after="0" w:line="240" w:lineRule="auto"/>
              <w:jc w:val="center"/>
              <w:rPr>
                <w:rFonts w:eastAsia="Times New Roman" w:cs="Calibri"/>
                <w:highlight w:val="yellow"/>
                <w:lang w:eastAsia="hr-HR"/>
              </w:rPr>
            </w:pPr>
            <w:r w:rsidRPr="00510889">
              <w:rPr>
                <w:rFonts w:eastAsia="Times New Roman" w:cs="Calibri"/>
                <w:lang w:eastAsia="hr-HR"/>
              </w:rPr>
              <w:t>29.605</w:t>
            </w:r>
          </w:p>
        </w:tc>
        <w:tc>
          <w:tcPr>
            <w:tcW w:w="2270" w:type="dxa"/>
            <w:tcBorders>
              <w:top w:val="single" w:sz="4" w:space="0" w:color="4472C4"/>
              <w:left w:val="nil"/>
              <w:bottom w:val="nil"/>
              <w:right w:val="single" w:sz="4" w:space="0" w:color="4472C4"/>
            </w:tcBorders>
            <w:shd w:val="clear" w:color="auto" w:fill="auto"/>
            <w:noWrap/>
            <w:vAlign w:val="center"/>
            <w:hideMark/>
          </w:tcPr>
          <w:p w14:paraId="771295A5" w14:textId="77777777" w:rsidR="00C5014E" w:rsidRPr="00510889" w:rsidRDefault="00C5014E" w:rsidP="00C5014E">
            <w:pPr>
              <w:spacing w:after="0" w:line="240" w:lineRule="auto"/>
              <w:jc w:val="center"/>
              <w:rPr>
                <w:rFonts w:eastAsia="Times New Roman" w:cs="Calibri"/>
                <w:highlight w:val="yellow"/>
                <w:lang w:eastAsia="hr-HR"/>
              </w:rPr>
            </w:pPr>
            <w:r w:rsidRPr="00510889">
              <w:rPr>
                <w:rFonts w:eastAsia="Times New Roman" w:cs="Calibri"/>
                <w:lang w:eastAsia="hr-HR"/>
              </w:rPr>
              <w:t>10.834</w:t>
            </w:r>
          </w:p>
        </w:tc>
      </w:tr>
      <w:tr w:rsidR="00510889" w:rsidRPr="00510889" w14:paraId="65651A62" w14:textId="77777777" w:rsidTr="009121D4">
        <w:trPr>
          <w:trHeight w:val="471"/>
        </w:trPr>
        <w:tc>
          <w:tcPr>
            <w:tcW w:w="2270" w:type="dxa"/>
            <w:tcBorders>
              <w:top w:val="single" w:sz="4" w:space="0" w:color="4472C4"/>
              <w:left w:val="single" w:sz="4" w:space="0" w:color="4472C4"/>
              <w:bottom w:val="nil"/>
              <w:right w:val="nil"/>
            </w:tcBorders>
            <w:shd w:val="clear" w:color="auto" w:fill="auto"/>
            <w:noWrap/>
            <w:vAlign w:val="center"/>
            <w:hideMark/>
          </w:tcPr>
          <w:p w14:paraId="6EC4D12C"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2020</w:t>
            </w:r>
          </w:p>
        </w:tc>
        <w:tc>
          <w:tcPr>
            <w:tcW w:w="2270" w:type="dxa"/>
            <w:tcBorders>
              <w:top w:val="single" w:sz="4" w:space="0" w:color="4472C4"/>
              <w:left w:val="nil"/>
              <w:bottom w:val="nil"/>
              <w:right w:val="nil"/>
            </w:tcBorders>
            <w:shd w:val="clear" w:color="auto" w:fill="auto"/>
            <w:noWrap/>
            <w:vAlign w:val="center"/>
            <w:hideMark/>
          </w:tcPr>
          <w:p w14:paraId="0F998112"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924.823</w:t>
            </w:r>
          </w:p>
        </w:tc>
        <w:tc>
          <w:tcPr>
            <w:tcW w:w="2270" w:type="dxa"/>
            <w:tcBorders>
              <w:top w:val="single" w:sz="4" w:space="0" w:color="4472C4"/>
              <w:left w:val="nil"/>
              <w:bottom w:val="nil"/>
              <w:right w:val="nil"/>
            </w:tcBorders>
            <w:shd w:val="clear" w:color="auto" w:fill="auto"/>
            <w:noWrap/>
            <w:vAlign w:val="center"/>
            <w:hideMark/>
          </w:tcPr>
          <w:p w14:paraId="0EF93B3A"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21.510</w:t>
            </w:r>
          </w:p>
        </w:tc>
        <w:tc>
          <w:tcPr>
            <w:tcW w:w="2270" w:type="dxa"/>
            <w:tcBorders>
              <w:top w:val="single" w:sz="4" w:space="0" w:color="4472C4"/>
              <w:left w:val="nil"/>
              <w:bottom w:val="nil"/>
              <w:right w:val="single" w:sz="4" w:space="0" w:color="4472C4"/>
            </w:tcBorders>
            <w:shd w:val="clear" w:color="auto" w:fill="auto"/>
            <w:noWrap/>
            <w:vAlign w:val="center"/>
            <w:hideMark/>
          </w:tcPr>
          <w:p w14:paraId="0A61CF94"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9.848</w:t>
            </w:r>
          </w:p>
        </w:tc>
      </w:tr>
      <w:tr w:rsidR="00510889" w:rsidRPr="00510889" w14:paraId="15F912C6" w14:textId="77777777" w:rsidTr="009121D4">
        <w:trPr>
          <w:trHeight w:val="471"/>
        </w:trPr>
        <w:tc>
          <w:tcPr>
            <w:tcW w:w="2270" w:type="dxa"/>
            <w:tcBorders>
              <w:top w:val="single" w:sz="4" w:space="0" w:color="4472C4"/>
              <w:left w:val="single" w:sz="4" w:space="0" w:color="4472C4"/>
              <w:bottom w:val="nil"/>
              <w:right w:val="nil"/>
            </w:tcBorders>
            <w:shd w:val="clear" w:color="auto" w:fill="auto"/>
            <w:noWrap/>
            <w:vAlign w:val="center"/>
            <w:hideMark/>
          </w:tcPr>
          <w:p w14:paraId="72B21596"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2019</w:t>
            </w:r>
          </w:p>
        </w:tc>
        <w:tc>
          <w:tcPr>
            <w:tcW w:w="2270" w:type="dxa"/>
            <w:tcBorders>
              <w:top w:val="single" w:sz="4" w:space="0" w:color="4472C4"/>
              <w:left w:val="nil"/>
              <w:bottom w:val="nil"/>
              <w:right w:val="nil"/>
            </w:tcBorders>
            <w:shd w:val="clear" w:color="auto" w:fill="auto"/>
            <w:noWrap/>
            <w:vAlign w:val="center"/>
            <w:hideMark/>
          </w:tcPr>
          <w:p w14:paraId="34F32297"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3.435.531</w:t>
            </w:r>
          </w:p>
        </w:tc>
        <w:tc>
          <w:tcPr>
            <w:tcW w:w="2270" w:type="dxa"/>
            <w:tcBorders>
              <w:top w:val="single" w:sz="4" w:space="0" w:color="4472C4"/>
              <w:left w:val="nil"/>
              <w:bottom w:val="nil"/>
              <w:right w:val="nil"/>
            </w:tcBorders>
            <w:shd w:val="clear" w:color="auto" w:fill="auto"/>
            <w:noWrap/>
            <w:vAlign w:val="center"/>
            <w:hideMark/>
          </w:tcPr>
          <w:p w14:paraId="6E82C183"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45.061</w:t>
            </w:r>
          </w:p>
        </w:tc>
        <w:tc>
          <w:tcPr>
            <w:tcW w:w="2270" w:type="dxa"/>
            <w:tcBorders>
              <w:top w:val="single" w:sz="4" w:space="0" w:color="4472C4"/>
              <w:left w:val="nil"/>
              <w:bottom w:val="nil"/>
              <w:right w:val="single" w:sz="4" w:space="0" w:color="4472C4"/>
            </w:tcBorders>
            <w:shd w:val="clear" w:color="auto" w:fill="auto"/>
            <w:noWrap/>
            <w:vAlign w:val="center"/>
            <w:hideMark/>
          </w:tcPr>
          <w:p w14:paraId="2946A372"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12.684</w:t>
            </w:r>
          </w:p>
        </w:tc>
      </w:tr>
      <w:tr w:rsidR="00510889" w:rsidRPr="00510889" w14:paraId="266E2782" w14:textId="77777777" w:rsidTr="009121D4">
        <w:trPr>
          <w:trHeight w:val="471"/>
        </w:trPr>
        <w:tc>
          <w:tcPr>
            <w:tcW w:w="2270" w:type="dxa"/>
            <w:tcBorders>
              <w:top w:val="single" w:sz="4" w:space="0" w:color="4472C4"/>
              <w:left w:val="single" w:sz="4" w:space="0" w:color="4472C4"/>
              <w:bottom w:val="nil"/>
              <w:right w:val="nil"/>
            </w:tcBorders>
            <w:shd w:val="clear" w:color="auto" w:fill="auto"/>
            <w:noWrap/>
            <w:vAlign w:val="center"/>
            <w:hideMark/>
          </w:tcPr>
          <w:p w14:paraId="0F51FEEA"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2018</w:t>
            </w:r>
          </w:p>
        </w:tc>
        <w:tc>
          <w:tcPr>
            <w:tcW w:w="2270" w:type="dxa"/>
            <w:tcBorders>
              <w:top w:val="single" w:sz="4" w:space="0" w:color="4472C4"/>
              <w:left w:val="nil"/>
              <w:bottom w:val="nil"/>
              <w:right w:val="nil"/>
            </w:tcBorders>
            <w:shd w:val="clear" w:color="auto" w:fill="auto"/>
            <w:noWrap/>
            <w:vAlign w:val="center"/>
            <w:hideMark/>
          </w:tcPr>
          <w:p w14:paraId="57AD0756"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3.336.310</w:t>
            </w:r>
          </w:p>
        </w:tc>
        <w:tc>
          <w:tcPr>
            <w:tcW w:w="2270" w:type="dxa"/>
            <w:tcBorders>
              <w:top w:val="single" w:sz="4" w:space="0" w:color="4472C4"/>
              <w:left w:val="nil"/>
              <w:bottom w:val="nil"/>
              <w:right w:val="nil"/>
            </w:tcBorders>
            <w:shd w:val="clear" w:color="auto" w:fill="auto"/>
            <w:noWrap/>
            <w:vAlign w:val="center"/>
            <w:hideMark/>
          </w:tcPr>
          <w:p w14:paraId="23FF4E27"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43.688</w:t>
            </w:r>
          </w:p>
        </w:tc>
        <w:tc>
          <w:tcPr>
            <w:tcW w:w="2270" w:type="dxa"/>
            <w:tcBorders>
              <w:top w:val="single" w:sz="4" w:space="0" w:color="4472C4"/>
              <w:left w:val="nil"/>
              <w:bottom w:val="nil"/>
              <w:right w:val="single" w:sz="4" w:space="0" w:color="4472C4"/>
            </w:tcBorders>
            <w:shd w:val="clear" w:color="auto" w:fill="auto"/>
            <w:noWrap/>
            <w:vAlign w:val="center"/>
            <w:hideMark/>
          </w:tcPr>
          <w:p w14:paraId="1465F4D4"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13.675</w:t>
            </w:r>
          </w:p>
        </w:tc>
      </w:tr>
      <w:tr w:rsidR="00510889" w:rsidRPr="00510889" w14:paraId="3C9548E7" w14:textId="77777777" w:rsidTr="009121D4">
        <w:trPr>
          <w:trHeight w:val="471"/>
        </w:trPr>
        <w:tc>
          <w:tcPr>
            <w:tcW w:w="2270" w:type="dxa"/>
            <w:tcBorders>
              <w:top w:val="single" w:sz="4" w:space="0" w:color="4472C4"/>
              <w:left w:val="single" w:sz="4" w:space="0" w:color="4472C4"/>
              <w:bottom w:val="nil"/>
              <w:right w:val="nil"/>
            </w:tcBorders>
            <w:shd w:val="clear" w:color="auto" w:fill="auto"/>
            <w:noWrap/>
            <w:vAlign w:val="center"/>
          </w:tcPr>
          <w:p w14:paraId="6AEE6C6F"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2017</w:t>
            </w:r>
          </w:p>
        </w:tc>
        <w:tc>
          <w:tcPr>
            <w:tcW w:w="2270" w:type="dxa"/>
            <w:tcBorders>
              <w:top w:val="single" w:sz="4" w:space="0" w:color="4472C4"/>
              <w:left w:val="nil"/>
              <w:bottom w:val="nil"/>
              <w:right w:val="nil"/>
            </w:tcBorders>
            <w:shd w:val="clear" w:color="auto" w:fill="auto"/>
            <w:noWrap/>
            <w:vAlign w:val="center"/>
          </w:tcPr>
          <w:p w14:paraId="57C2BFBB"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3.092.047</w:t>
            </w:r>
          </w:p>
        </w:tc>
        <w:tc>
          <w:tcPr>
            <w:tcW w:w="2270" w:type="dxa"/>
            <w:tcBorders>
              <w:top w:val="single" w:sz="4" w:space="0" w:color="4472C4"/>
              <w:left w:val="nil"/>
              <w:bottom w:val="nil"/>
              <w:right w:val="nil"/>
            </w:tcBorders>
            <w:shd w:val="clear" w:color="auto" w:fill="auto"/>
            <w:noWrap/>
            <w:vAlign w:val="center"/>
          </w:tcPr>
          <w:p w14:paraId="654247DE"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41.585</w:t>
            </w:r>
          </w:p>
        </w:tc>
        <w:tc>
          <w:tcPr>
            <w:tcW w:w="2270" w:type="dxa"/>
            <w:tcBorders>
              <w:top w:val="single" w:sz="4" w:space="0" w:color="4472C4"/>
              <w:left w:val="nil"/>
              <w:bottom w:val="nil"/>
              <w:right w:val="single" w:sz="4" w:space="0" w:color="4472C4"/>
            </w:tcBorders>
            <w:shd w:val="clear" w:color="auto" w:fill="auto"/>
            <w:noWrap/>
            <w:vAlign w:val="center"/>
          </w:tcPr>
          <w:p w14:paraId="3ACBEECF"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11.718</w:t>
            </w:r>
          </w:p>
        </w:tc>
      </w:tr>
      <w:tr w:rsidR="00510889" w:rsidRPr="00510889" w14:paraId="2424C76D" w14:textId="77777777" w:rsidTr="009121D4">
        <w:trPr>
          <w:trHeight w:val="471"/>
        </w:trPr>
        <w:tc>
          <w:tcPr>
            <w:tcW w:w="2270" w:type="dxa"/>
            <w:tcBorders>
              <w:top w:val="single" w:sz="4" w:space="0" w:color="4472C4"/>
              <w:left w:val="single" w:sz="4" w:space="0" w:color="4472C4"/>
              <w:bottom w:val="single" w:sz="4" w:space="0" w:color="4472C4"/>
              <w:right w:val="nil"/>
            </w:tcBorders>
            <w:shd w:val="clear" w:color="auto" w:fill="auto"/>
            <w:noWrap/>
            <w:vAlign w:val="center"/>
          </w:tcPr>
          <w:p w14:paraId="461A8741" w14:textId="77777777" w:rsidR="00C5014E" w:rsidRPr="00510889" w:rsidRDefault="00C5014E" w:rsidP="00C5014E">
            <w:pPr>
              <w:spacing w:after="0" w:line="240" w:lineRule="auto"/>
              <w:jc w:val="center"/>
              <w:rPr>
                <w:rFonts w:eastAsia="Times New Roman" w:cs="Calibri"/>
                <w:b/>
                <w:bCs/>
                <w:lang w:eastAsia="hr-HR"/>
              </w:rPr>
            </w:pPr>
            <w:r w:rsidRPr="00510889">
              <w:rPr>
                <w:rFonts w:eastAsia="Times New Roman" w:cs="Calibri"/>
                <w:b/>
                <w:bCs/>
                <w:lang w:eastAsia="hr-HR"/>
              </w:rPr>
              <w:t>2016</w:t>
            </w:r>
          </w:p>
        </w:tc>
        <w:tc>
          <w:tcPr>
            <w:tcW w:w="2270" w:type="dxa"/>
            <w:tcBorders>
              <w:top w:val="single" w:sz="4" w:space="0" w:color="4472C4"/>
              <w:left w:val="nil"/>
              <w:bottom w:val="single" w:sz="4" w:space="0" w:color="4472C4"/>
              <w:right w:val="nil"/>
            </w:tcBorders>
            <w:shd w:val="clear" w:color="auto" w:fill="auto"/>
            <w:noWrap/>
            <w:vAlign w:val="center"/>
          </w:tcPr>
          <w:p w14:paraId="02C3B171"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2.766.087</w:t>
            </w:r>
          </w:p>
        </w:tc>
        <w:tc>
          <w:tcPr>
            <w:tcW w:w="2270" w:type="dxa"/>
            <w:tcBorders>
              <w:top w:val="single" w:sz="4" w:space="0" w:color="4472C4"/>
              <w:left w:val="nil"/>
              <w:bottom w:val="single" w:sz="4" w:space="0" w:color="4472C4"/>
              <w:right w:val="nil"/>
            </w:tcBorders>
            <w:shd w:val="clear" w:color="auto" w:fill="auto"/>
            <w:noWrap/>
            <w:vAlign w:val="center"/>
          </w:tcPr>
          <w:p w14:paraId="287AF3F3"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40.796</w:t>
            </w:r>
          </w:p>
        </w:tc>
        <w:tc>
          <w:tcPr>
            <w:tcW w:w="2270" w:type="dxa"/>
            <w:tcBorders>
              <w:top w:val="single" w:sz="4" w:space="0" w:color="4472C4"/>
              <w:left w:val="nil"/>
              <w:bottom w:val="single" w:sz="4" w:space="0" w:color="4472C4"/>
              <w:right w:val="single" w:sz="4" w:space="0" w:color="4472C4"/>
            </w:tcBorders>
            <w:shd w:val="clear" w:color="auto" w:fill="auto"/>
            <w:noWrap/>
            <w:vAlign w:val="center"/>
          </w:tcPr>
          <w:p w14:paraId="0FED7817" w14:textId="77777777" w:rsidR="00C5014E" w:rsidRPr="00510889" w:rsidRDefault="00C5014E" w:rsidP="00C5014E">
            <w:pPr>
              <w:spacing w:after="0" w:line="240" w:lineRule="auto"/>
              <w:jc w:val="center"/>
              <w:rPr>
                <w:rFonts w:eastAsia="Times New Roman" w:cs="Calibri"/>
                <w:lang w:eastAsia="hr-HR"/>
              </w:rPr>
            </w:pPr>
            <w:r w:rsidRPr="00510889">
              <w:rPr>
                <w:rFonts w:eastAsia="Times New Roman" w:cs="Calibri"/>
                <w:lang w:eastAsia="hr-HR"/>
              </w:rPr>
              <w:t>10.074</w:t>
            </w:r>
          </w:p>
        </w:tc>
      </w:tr>
    </w:tbl>
    <w:p w14:paraId="32035580" w14:textId="77777777" w:rsidR="00C5014E" w:rsidRPr="00C5014E" w:rsidRDefault="00C5014E" w:rsidP="00C5014E">
      <w:pPr>
        <w:spacing w:line="240" w:lineRule="auto"/>
        <w:rPr>
          <w:bCs/>
          <w:sz w:val="20"/>
          <w:szCs w:val="20"/>
        </w:rPr>
      </w:pPr>
      <w:r w:rsidRPr="00C5014E">
        <w:rPr>
          <w:bCs/>
          <w:sz w:val="20"/>
          <w:szCs w:val="20"/>
        </w:rPr>
        <w:t>Izvor: Statistički podaci Zračne luke Franjo Tuđman (</w:t>
      </w:r>
      <w:hyperlink r:id="rId36" w:history="1">
        <w:r w:rsidRPr="00C5014E">
          <w:rPr>
            <w:bCs/>
            <w:color w:val="0563C1" w:themeColor="hyperlink"/>
            <w:sz w:val="20"/>
            <w:szCs w:val="20"/>
            <w:u w:val="single"/>
          </w:rPr>
          <w:t>https://www.zagreb-airport.hr/poslovni/b2b-223/statistika/278</w:t>
        </w:r>
      </w:hyperlink>
      <w:bookmarkEnd w:id="119"/>
      <w:r w:rsidRPr="00C5014E">
        <w:rPr>
          <w:bCs/>
          <w:sz w:val="20"/>
          <w:szCs w:val="20"/>
        </w:rPr>
        <w:t xml:space="preserve">) </w:t>
      </w:r>
    </w:p>
    <w:p w14:paraId="73E21D9E" w14:textId="38433318" w:rsidR="00C5315F" w:rsidRPr="00032E99" w:rsidRDefault="00C5315F" w:rsidP="00C5315F">
      <w:pPr>
        <w:spacing w:line="240" w:lineRule="auto"/>
        <w:jc w:val="both"/>
        <w:rPr>
          <w:bCs/>
        </w:rPr>
      </w:pPr>
      <w:r w:rsidRPr="00032E99">
        <w:rPr>
          <w:bCs/>
        </w:rPr>
        <w:t xml:space="preserve">Zračna luka Franjo Tuđman s </w:t>
      </w:r>
      <w:r w:rsidR="00C259BD">
        <w:rPr>
          <w:bCs/>
        </w:rPr>
        <w:t>G</w:t>
      </w:r>
      <w:r w:rsidRPr="00032E99">
        <w:rPr>
          <w:bCs/>
        </w:rPr>
        <w:t>radom Zagrebom, kao najvećim generatorom i atraktorom putovanja, povezana je samo cestovnim prometom te se sav pristupni promet putnika terminalu obavlja osobnim automobilima, taksijima ili autobusima.  Nedostatak kvalitetne veze za pristup terminalu uzrokuje negativne posljedice na ukupnu duljinu putovanja, poglavito u vremenima vršnih opterećenja kada je cestovni promet izrazito osjetljiv na povećanje potražnje. To za posljedicu ima produljenje ukupnog putovanja i smanjenje konkurentnosti zračnog prijevoza na kratkim i srednjim relacijama.</w:t>
      </w:r>
    </w:p>
    <w:p w14:paraId="44973C99" w14:textId="77777777" w:rsidR="00C5315F" w:rsidRDefault="00C5315F" w:rsidP="00C5315F">
      <w:pPr>
        <w:jc w:val="both"/>
        <w:rPr>
          <w:bCs/>
        </w:rPr>
      </w:pPr>
      <w:r w:rsidRPr="00032E99">
        <w:rPr>
          <w:bCs/>
        </w:rPr>
        <w:t>Osim prijevoza putnika, zagrebačka zračna luka je specijalizirana i za prijevoz robe i pošiljki. Luka je registrirani IATA „cargo“ agent koji pruža širok raspon usluga u prihvatu i otpremi robe te posjeduje vlastita robna skladišta. U sklopu luke izgrađen je zračno-cestovni terminal čija je funkcija pretovar tereta iz zračnog prometa na cestovna motorna vozila za daljnju distribuciju. Navedenim terminalom upravlja zračna luka koja obavlja sve procese pretovara robe.</w:t>
      </w:r>
      <w:r w:rsidRPr="00032E99">
        <w:rPr>
          <w:bCs/>
          <w:sz w:val="24"/>
          <w:szCs w:val="24"/>
        </w:rPr>
        <w:t xml:space="preserve"> </w:t>
      </w:r>
      <w:r w:rsidRPr="00032E99">
        <w:rPr>
          <w:bCs/>
        </w:rPr>
        <w:t>Količina prevezenog tereta u Zračnoj luci Franjo Tuđman nije se osobito mijenjala u razdoblju 2011.- 2015. godine, a nakon toga je zabilježen izrazit porast, osobito u 2018. godini</w:t>
      </w:r>
      <w:r w:rsidRPr="00032E99">
        <w:rPr>
          <w:rStyle w:val="Referencafusnote"/>
          <w:bCs/>
        </w:rPr>
        <w:footnoteReference w:id="52"/>
      </w:r>
      <w:r>
        <w:rPr>
          <w:bCs/>
        </w:rPr>
        <w:t xml:space="preserve">. </w:t>
      </w:r>
      <w:r w:rsidRPr="00D771AD">
        <w:rPr>
          <w:bCs/>
        </w:rPr>
        <w:t>Međutim, pandemija COVID -19 negativno je utjecala, između ostalog, i na promet putnika i tereta Zračne luke Zagreb. Ukupan broj slijetanja i polijetanja zrakoplova u zračnoj luci Zagreb u razdoblju od siječnja do prosinca 2020. zabilježio je pad od 52,8%, broj putnika pad od 73,2%, a promet tereta pad od 29,4% u odnosu na 2019.</w:t>
      </w:r>
    </w:p>
    <w:p w14:paraId="78FC87BB" w14:textId="77777777" w:rsidR="00C5315F" w:rsidRPr="00C9442B" w:rsidRDefault="00C5315F" w:rsidP="00C5315F">
      <w:pPr>
        <w:spacing w:line="240" w:lineRule="auto"/>
        <w:jc w:val="both"/>
        <w:rPr>
          <w:b/>
          <w:sz w:val="20"/>
          <w:szCs w:val="20"/>
        </w:rPr>
      </w:pPr>
      <w:r w:rsidRPr="00032E99">
        <w:rPr>
          <w:rFonts w:cs="Calibri"/>
        </w:rPr>
        <w:t>Aerodrom Lučko nalazi se na zapadnom dijelu Grada Zagreba, između autoputa Zagreb – Ljubljana i Zagreb – Karlovac. Raspolaže s dvije travnate uzletno-sletne staze a namijenjen je za operiranje manjih zrakoplovnih jedinica.</w:t>
      </w:r>
    </w:p>
    <w:p w14:paraId="0AEFFC16" w14:textId="119E377A" w:rsidR="00C5315F" w:rsidRPr="00032E99" w:rsidRDefault="00C5315F" w:rsidP="00C45A8C">
      <w:pPr>
        <w:pStyle w:val="Stil2"/>
      </w:pPr>
      <w:bookmarkStart w:id="120" w:name="_Toc97123839"/>
      <w:r w:rsidRPr="00032E99">
        <w:t>4.3.4. Javni putnički promet</w:t>
      </w:r>
      <w:bookmarkEnd w:id="120"/>
    </w:p>
    <w:p w14:paraId="33A681E1" w14:textId="5818E8F5" w:rsidR="00C5315F" w:rsidRDefault="00C5315F" w:rsidP="00C5315F">
      <w:pPr>
        <w:jc w:val="both"/>
        <w:rPr>
          <w:rFonts w:cs="Calibri"/>
        </w:rPr>
      </w:pPr>
      <w:r w:rsidRPr="00032E99">
        <w:rPr>
          <w:rFonts w:cs="Calibri"/>
        </w:rPr>
        <w:t>Javni prijevoz obavlja se tramvajima, autobusima, željeznicom i uspinjačom.</w:t>
      </w:r>
      <w:r>
        <w:rPr>
          <w:rFonts w:cs="Calibri"/>
        </w:rPr>
        <w:t xml:space="preserve"> U</w:t>
      </w:r>
      <w:r w:rsidRPr="00D771AD">
        <w:rPr>
          <w:rFonts w:cs="Calibri"/>
        </w:rPr>
        <w:t xml:space="preserve"> 2020. godini gradski prijevoz putnika smanjen je za 28,3% u odnosu na 2019. Epidemija bolesti COVID-19, kao i mjere ograničenja kretanja koje su se u Hrvatskoj provodile u 2020. izravno su utjecale na ukupni pad prometa u gradskom putničkom prijevozu u Gradu Zagrebu u 2020. Od siječnja do prosinca 2020. ukupno je prevezeno 188 milijuna putnika, što je u usporedbi s istim razdobljem 2019., pad za 28,3%, kada je prevezeno 262 milijuna putnika. U drugom polugodištu 2020. u usporedbi s drugim polugodištem 2019., ukupan broj prevezenih putnika smanjen je za 27,5%, broj prevezenih putnika tramvajima i autobusima manji je za 27,4%, dok je broj prevezenih putnika uspinjačom u istom razdoblju manji za 57,3%.</w:t>
      </w:r>
    </w:p>
    <w:p w14:paraId="4EADD41F" w14:textId="77777777" w:rsidR="007A2522" w:rsidRDefault="007A2522" w:rsidP="00C5315F">
      <w:pPr>
        <w:jc w:val="both"/>
        <w:rPr>
          <w:rFonts w:cs="Calibri"/>
        </w:rPr>
      </w:pPr>
    </w:p>
    <w:p w14:paraId="532AA9D6" w14:textId="060F27C2" w:rsidR="007A2522" w:rsidRDefault="007A2522" w:rsidP="007A2522">
      <w:pPr>
        <w:pStyle w:val="Opisslike"/>
        <w:rPr>
          <w:color w:val="1F497D"/>
        </w:rPr>
      </w:pPr>
      <w:r>
        <w:t xml:space="preserve">Graf </w:t>
      </w:r>
      <w:r w:rsidR="00751C19">
        <w:fldChar w:fldCharType="begin"/>
      </w:r>
      <w:r w:rsidR="00751C19">
        <w:instrText xml:space="preserve"> SEQ Graf \* ARABIC</w:instrText>
      </w:r>
      <w:r w:rsidR="00751C19">
        <w:instrText xml:space="preserve"> </w:instrText>
      </w:r>
      <w:r w:rsidR="00751C19">
        <w:fldChar w:fldCharType="separate"/>
      </w:r>
      <w:r w:rsidR="00DE17C9">
        <w:rPr>
          <w:noProof/>
        </w:rPr>
        <w:t>4</w:t>
      </w:r>
      <w:r w:rsidR="00751C19">
        <w:rPr>
          <w:noProof/>
        </w:rPr>
        <w:fldChar w:fldCharType="end"/>
      </w:r>
      <w:r>
        <w:rPr>
          <w:noProof/>
        </w:rPr>
        <w:t xml:space="preserve"> . Broj putnika u gradskom prijevozu, po tromjesječjima, 2019. i 2020.</w:t>
      </w:r>
    </w:p>
    <w:p w14:paraId="15D15CD2" w14:textId="0B8175D9" w:rsidR="00C5315F" w:rsidRDefault="00C5315F" w:rsidP="00C5315F">
      <w:pPr>
        <w:spacing w:after="0" w:line="240" w:lineRule="auto"/>
        <w:rPr>
          <w:rFonts w:cs="Calibri"/>
        </w:rPr>
      </w:pPr>
      <w:r w:rsidRPr="00774954">
        <w:rPr>
          <w:noProof/>
        </w:rPr>
        <w:drawing>
          <wp:inline distT="0" distB="0" distL="0" distR="0" wp14:anchorId="4B86FD48" wp14:editId="54D1B108">
            <wp:extent cx="5572125" cy="3248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125" cy="3248025"/>
                    </a:xfrm>
                    <a:prstGeom prst="rect">
                      <a:avLst/>
                    </a:prstGeom>
                    <a:noFill/>
                    <a:ln>
                      <a:noFill/>
                    </a:ln>
                  </pic:spPr>
                </pic:pic>
              </a:graphicData>
            </a:graphic>
          </wp:inline>
        </w:drawing>
      </w:r>
    </w:p>
    <w:p w14:paraId="1BE2B417" w14:textId="77777777" w:rsidR="00C5315F" w:rsidRPr="00BC573F" w:rsidRDefault="00C5315F" w:rsidP="00C5315F">
      <w:pPr>
        <w:spacing w:after="0" w:line="240" w:lineRule="auto"/>
        <w:rPr>
          <w:rFonts w:cs="Calibri"/>
          <w:sz w:val="20"/>
          <w:szCs w:val="20"/>
        </w:rPr>
      </w:pPr>
      <w:r w:rsidRPr="00BC573F">
        <w:rPr>
          <w:sz w:val="20"/>
          <w:szCs w:val="20"/>
        </w:rPr>
        <w:t xml:space="preserve">Izvor: </w:t>
      </w:r>
      <w:r>
        <w:rPr>
          <w:sz w:val="20"/>
          <w:szCs w:val="20"/>
        </w:rPr>
        <w:t xml:space="preserve">Grad Zagreb, </w:t>
      </w:r>
      <w:r w:rsidRPr="00BC573F">
        <w:rPr>
          <w:sz w:val="20"/>
          <w:szCs w:val="20"/>
        </w:rPr>
        <w:t>Gradski ured za strategijsko planiranje i razvoj grada, Odjel za statističke i analitičke poslove</w:t>
      </w:r>
      <w:r>
        <w:rPr>
          <w:sz w:val="20"/>
          <w:szCs w:val="20"/>
        </w:rPr>
        <w:t xml:space="preserve"> za 2020.</w:t>
      </w:r>
    </w:p>
    <w:p w14:paraId="370D1926" w14:textId="77777777" w:rsidR="00C259BD" w:rsidRDefault="00C259BD" w:rsidP="00C5315F">
      <w:pPr>
        <w:spacing w:line="240" w:lineRule="auto"/>
        <w:jc w:val="both"/>
        <w:rPr>
          <w:rFonts w:cs="Calibri"/>
          <w:b/>
        </w:rPr>
      </w:pPr>
    </w:p>
    <w:p w14:paraId="67FDC46F" w14:textId="050BF6F0" w:rsidR="00C5315F" w:rsidRDefault="00C5315F" w:rsidP="00C5315F">
      <w:pPr>
        <w:spacing w:line="240" w:lineRule="auto"/>
        <w:jc w:val="both"/>
        <w:rPr>
          <w:rFonts w:cs="Calibri"/>
        </w:rPr>
      </w:pPr>
      <w:r w:rsidRPr="00032E99">
        <w:rPr>
          <w:rFonts w:cs="Calibri"/>
          <w:b/>
        </w:rPr>
        <w:t>Tramvaj.</w:t>
      </w:r>
      <w:r w:rsidRPr="00032E99">
        <w:rPr>
          <w:rFonts w:cs="Calibri"/>
        </w:rPr>
        <w:t xml:space="preserve"> Dužina tramvajske mreže je 58 km dvokolosiječnih pruga na kojima je organizirano 15 dnevnih i  4 noćne linije. Oko 40% kolosijeka nije fizički odvojeno od automobilskog prometa pa brzina i točnost tramvajskog prometa u velikoj mjeri ovise o gustoći automobilskog prometa. Za brzinu i redovitost tramvajskog prometa značajna je i činjenica da na semaforski reguliranim raskrižjima tramvaji nemaju prednost. U razdoblju 2000.-2015. povećan je broj tramvajskih motornih vozila s 254 na 274 dok je u razdoblju od 2015.-201</w:t>
      </w:r>
      <w:r>
        <w:rPr>
          <w:rFonts w:cs="Calibri"/>
        </w:rPr>
        <w:t>9</w:t>
      </w:r>
      <w:r w:rsidRPr="00032E99">
        <w:rPr>
          <w:rFonts w:cs="Calibri"/>
        </w:rPr>
        <w:t>. smanjen broj tramvajskih motornih vozila s 274 na 266 vozila. Trenutni vozni park posjeduje 142 suvremena niskopodna tramvaja</w:t>
      </w:r>
      <w:r w:rsidRPr="00032E99">
        <w:rPr>
          <w:rStyle w:val="Referencafusnote"/>
          <w:rFonts w:cs="Calibri"/>
        </w:rPr>
        <w:footnoteReference w:id="53"/>
      </w:r>
      <w:r w:rsidRPr="00032E99">
        <w:rPr>
          <w:rFonts w:cs="Calibri"/>
        </w:rPr>
        <w:t>. S obzirom na postupnu modernizaciju voznog parka nabavom niskopodnih vozila, postojeću popratnu infrastrukturu potrebno je prilagoditi zahtjevima niskopodnih vozila.</w:t>
      </w:r>
      <w:r>
        <w:rPr>
          <w:rFonts w:cs="Calibri"/>
        </w:rPr>
        <w:t xml:space="preserve"> U 2019. godini </w:t>
      </w:r>
      <w:r w:rsidRPr="00E5050A">
        <w:rPr>
          <w:rFonts w:cs="Calibri"/>
        </w:rPr>
        <w:t>prevezen</w:t>
      </w:r>
      <w:r>
        <w:rPr>
          <w:rFonts w:cs="Calibri"/>
        </w:rPr>
        <w:t xml:space="preserve">o je </w:t>
      </w:r>
      <w:r w:rsidRPr="00E5050A">
        <w:rPr>
          <w:rFonts w:cs="Calibri"/>
        </w:rPr>
        <w:t xml:space="preserve"> 178</w:t>
      </w:r>
      <w:r>
        <w:rPr>
          <w:rFonts w:cs="Calibri"/>
        </w:rPr>
        <w:t>.</w:t>
      </w:r>
      <w:r w:rsidRPr="00E5050A">
        <w:rPr>
          <w:rFonts w:cs="Calibri"/>
        </w:rPr>
        <w:t>952</w:t>
      </w:r>
      <w:r>
        <w:rPr>
          <w:rFonts w:cs="Calibri"/>
        </w:rPr>
        <w:t xml:space="preserve"> putnika</w:t>
      </w:r>
      <w:r>
        <w:rPr>
          <w:rStyle w:val="Referencafusnote"/>
          <w:rFonts w:cs="Calibri"/>
        </w:rPr>
        <w:footnoteReference w:id="54"/>
      </w:r>
      <w:r>
        <w:rPr>
          <w:rFonts w:cs="Calibri"/>
        </w:rPr>
        <w:t>.</w:t>
      </w:r>
    </w:p>
    <w:p w14:paraId="0D65BF14" w14:textId="77777777" w:rsidR="00C5315F" w:rsidRPr="00A33E06" w:rsidRDefault="00C5315F" w:rsidP="00C5315F">
      <w:pPr>
        <w:spacing w:line="240" w:lineRule="auto"/>
        <w:jc w:val="both"/>
        <w:rPr>
          <w:rFonts w:cs="Calibri"/>
        </w:rPr>
      </w:pPr>
      <w:r w:rsidRPr="00032E99">
        <w:rPr>
          <w:rFonts w:cs="Calibri"/>
        </w:rPr>
        <w:t>Preveliko opterećenje, odnosno prolazak velikog broja tramvajskih linija u gradskom centru uzrokuje povremene zastoje i prometna zagušenja. Osim istaknutog problema prevelikog opterećenja, na određenim dijelovima tramvajske mreže postoje problemi vezani uz električni kapacitet napajačke mreže zbog starih električnih vodova i velikog volumena prometa.</w:t>
      </w:r>
      <w:r w:rsidRPr="00032E99">
        <w:t xml:space="preserve"> </w:t>
      </w:r>
      <w:r w:rsidRPr="00032E99">
        <w:rPr>
          <w:rFonts w:cs="Calibri"/>
        </w:rPr>
        <w:t>Isto tako uočeni su nedostaci vezani uz oborinsku odvodnju i kvalitetu tračničke podloge.</w:t>
      </w:r>
      <w:r w:rsidRPr="007727BF">
        <w:rPr>
          <w:rFonts w:cs="Calibri"/>
        </w:rPr>
        <w:t xml:space="preserve"> </w:t>
      </w:r>
    </w:p>
    <w:p w14:paraId="13601332" w14:textId="0B795C65" w:rsidR="00C5315F" w:rsidRPr="00032E99" w:rsidRDefault="00C5315F" w:rsidP="00C5315F">
      <w:pPr>
        <w:spacing w:line="240" w:lineRule="auto"/>
        <w:jc w:val="both"/>
      </w:pPr>
      <w:r w:rsidRPr="00032E99">
        <w:rPr>
          <w:rFonts w:cs="Calibri"/>
          <w:b/>
        </w:rPr>
        <w:t>Autobus.</w:t>
      </w:r>
      <w:r w:rsidRPr="00032E99">
        <w:rPr>
          <w:rFonts w:cs="Calibri"/>
        </w:rPr>
        <w:t xml:space="preserve"> Autobusni promet odvija se na 146 dnevne, 4 noćne i 3 posebne linije</w:t>
      </w:r>
      <w:r w:rsidRPr="00032E99">
        <w:rPr>
          <w:rStyle w:val="Referencafusnote"/>
          <w:rFonts w:cs="Calibri"/>
        </w:rPr>
        <w:footnoteReference w:id="55"/>
      </w:r>
      <w:r w:rsidRPr="00032E99">
        <w:rPr>
          <w:rFonts w:cs="Calibri"/>
        </w:rPr>
        <w:t>. Broj autobusa je u razdoblju od 2015.-2018. povećan s 411 na 432 vozila, a od toga je 361 suvremenih niskopodnih autobusa.  U sklopu autobusne garaže Podsused, 2013. je sagrađena punionica stlačenog prirodnog plina. Međugradski i međunarodni autobusni promet odvija se preko Autobusnog kolodvora Zagreb koji zadnjih nekoliko godina bilježi rast broja putnika za oko 3% na godišnjoj razini. Autobusni kolodvori i putnički terminali važan su dio infrastrukture cestovnog prijevoza putnika, jer su to mjesta na kojima se odvijaju izmjene putnika. Utemeljen je 1961. godine, a sadašnji izgled poprimio je 1987. godine kada je izgrađena nova kolodvorska zgrada s pripadajućim terminalima. S obzirom na broj</w:t>
      </w:r>
      <w:r w:rsidRPr="001B6359">
        <w:rPr>
          <w:rFonts w:cs="Calibri"/>
        </w:rPr>
        <w:t xml:space="preserve"> </w:t>
      </w:r>
      <w:r w:rsidRPr="00032E99">
        <w:rPr>
          <w:rFonts w:cs="Calibri"/>
        </w:rPr>
        <w:t>perona, kojih je 44, te više od 175.000 autobusa u odlasku (ili dolasku) na godišnjoj razini, najveći je autobusni kolodvor u ovom dijelu Europe. S obzirom na godinu izgradnje postojećeg autobusnog kolodvora te trend rasta broja turista u gradu Zagrebu (1,4 mil. u 2018.), modernizacija Autobusnog kolodvora Zagreb jedan je od važnijih elemenata razvitka prometnog sustava grada Zagreba. Obuhvaća rekonstrukciju postojećih prostornih kapaciteta (čekaonica, perona, garderobe, prometnog ureda i ostalih prostora), izgradnju novih kapaciteta te modernizaciju i digitalizaciju tehnoloških sustava (sustav prodaje karata, informacijski sustavi i nadzorni sustavi), što će omogućiti razvitak raznih uslužnih djelatnosti za potrebe korisnika autobusnog kolodvora. Elektronska naplata karata u tramvajskom i autobusnom prometu uvedena je 2012. Uveden je sustav za pozicioniranje vozila na mreži, a pojedina tramvajska i autobusna stajališta opremljena su displejima koji pokazuju vrijeme dolaska vozila na pojedinoj liniji. U tramvajima je uvedena vizualna i zvučna najava stajališta. Postupno se eliminiraju barijere za osobe s teškoćama u kretanju.</w:t>
      </w:r>
    </w:p>
    <w:p w14:paraId="67CD3017" w14:textId="39F53580" w:rsidR="00C5315F" w:rsidRDefault="00C5315F" w:rsidP="00C5315F">
      <w:pPr>
        <w:spacing w:line="240" w:lineRule="auto"/>
        <w:jc w:val="both"/>
        <w:rPr>
          <w:rFonts w:cs="Calibri"/>
        </w:rPr>
      </w:pPr>
      <w:r w:rsidRPr="00032E99">
        <w:rPr>
          <w:rFonts w:cs="Calibri"/>
          <w:b/>
        </w:rPr>
        <w:t>Željeznica.</w:t>
      </w:r>
      <w:r w:rsidRPr="00032E99">
        <w:rPr>
          <w:rFonts w:cs="Calibri"/>
        </w:rPr>
        <w:t xml:space="preserve"> </w:t>
      </w:r>
      <w:r>
        <w:rPr>
          <w:rFonts w:cs="Calibri"/>
        </w:rPr>
        <w:t>U</w:t>
      </w:r>
      <w:r w:rsidRPr="0050190E">
        <w:rPr>
          <w:rFonts w:cs="Calibri"/>
        </w:rPr>
        <w:t xml:space="preserve"> razdoblju 2015.-201</w:t>
      </w:r>
      <w:r>
        <w:rPr>
          <w:rFonts w:cs="Calibri"/>
        </w:rPr>
        <w:t>9</w:t>
      </w:r>
      <w:r w:rsidRPr="0050190E">
        <w:rPr>
          <w:rFonts w:cs="Calibri"/>
        </w:rPr>
        <w:t xml:space="preserve">. bilježi </w:t>
      </w:r>
      <w:r>
        <w:rPr>
          <w:rFonts w:cs="Calibri"/>
        </w:rPr>
        <w:t>se rast</w:t>
      </w:r>
      <w:r w:rsidRPr="0050190E">
        <w:rPr>
          <w:rFonts w:cs="Calibri"/>
        </w:rPr>
        <w:t xml:space="preserve"> broja prevezenih putnika</w:t>
      </w:r>
      <w:r>
        <w:rPr>
          <w:rStyle w:val="Referencafusnote"/>
          <w:rFonts w:cs="Calibri"/>
        </w:rPr>
        <w:footnoteReference w:id="56"/>
      </w:r>
      <w:r>
        <w:rPr>
          <w:rFonts w:cs="Calibri"/>
        </w:rPr>
        <w:t xml:space="preserve"> (2015. je bilo 7.839 dok je 2019. bilo 9.059 prevezenih putnika).</w:t>
      </w:r>
      <w:r w:rsidRPr="00032E99">
        <w:rPr>
          <w:rFonts w:cs="Calibri"/>
        </w:rPr>
        <w:t xml:space="preserve"> Na području Grada Zagreba putnici mogu ući/izaći iz vlakova u gradskom prometu na 17 službenih mjesta (kolodvora i stajališta) i to 11 na dvokolosiječnoj pruzi Zaprešić – Dugo Selo, 2 na jednokolosiječnoj pruzi Zagreb – Sisak i 4 na jednokolosiječnoj pruzi Zagreb - Rijeka. Krajem 2014. dovršena je gradnja stajališta Buzin, na pruzi Zagreb - Sisak. U zagrebačkoj okolici trenutno vozi 9 niskopodnih vlakova. Trenutno prometovanje niskopodnih vlakova koje koristi HŽ putnički prijevoz odvija se na sljedećim relacijama: 6 vlakova vozi na relaciji Harmica (S. Marof)</w:t>
      </w:r>
      <w:r w:rsidRPr="00032E99">
        <w:t xml:space="preserve"> Zagreb GK –Dugo Selo, 1 vlak vozi na relacij</w:t>
      </w:r>
      <w:r w:rsidR="00C70FBE">
        <w:t>i</w:t>
      </w:r>
      <w:r w:rsidRPr="00032E99">
        <w:t xml:space="preserve"> Zagreb GK – Karlovac – Duga Resa i 2 vlaka voze na relaciji Zagreb GK – Koprivnica i Zagreb GK – Novska.</w:t>
      </w:r>
      <w:r w:rsidRPr="00032E99">
        <w:rPr>
          <w:rFonts w:cs="Calibri"/>
        </w:rPr>
        <w:t xml:space="preserve"> Putna brzina u prigradskom i gradskom željezničkom prometu je oko 40 km/h, no usko grlo su nedovoljan broj i neadekvatno opremljena stajališta kao i nedostatan i zastarjeli vozni park. Grad Zagreb, Krapinsko-zagorska i Zagrebačka županija potpisali su 2012. sporazum o integriranom prijevozu putnika i tarifno-prijevozničkoj uniji</w:t>
      </w:r>
      <w:r>
        <w:rPr>
          <w:rFonts w:cs="Calibri"/>
        </w:rPr>
        <w:t xml:space="preserve"> te su tijekom 2014. osnovali društvo Integ</w:t>
      </w:r>
      <w:r w:rsidR="00C70FBE">
        <w:rPr>
          <w:rFonts w:cs="Calibri"/>
        </w:rPr>
        <w:t>r</w:t>
      </w:r>
      <w:r>
        <w:rPr>
          <w:rFonts w:cs="Calibri"/>
        </w:rPr>
        <w:t>irani promet zagrebačkog područja d.o.o. s ciljem pripreme</w:t>
      </w:r>
      <w:r w:rsidRPr="00006A08">
        <w:rPr>
          <w:rFonts w:cs="Calibri"/>
        </w:rPr>
        <w:t xml:space="preserve"> i realizacija projekata vezanih uz uspostavljanje novog modela organizacije prijevoza putnika na području (Grada Zagreba, Zagrebačke županije i Krapinsko–zagorske županije.</w:t>
      </w:r>
    </w:p>
    <w:p w14:paraId="45BAD4C5" w14:textId="261A770C" w:rsidR="00C5315F" w:rsidRPr="00AA68E8" w:rsidRDefault="006E4120" w:rsidP="00C5315F">
      <w:pPr>
        <w:spacing w:line="240" w:lineRule="auto"/>
        <w:jc w:val="both"/>
        <w:rPr>
          <w:rFonts w:cs="Calibri"/>
        </w:rPr>
      </w:pPr>
      <w:r w:rsidRPr="006E4120">
        <w:rPr>
          <w:rFonts w:cs="Calibri"/>
          <w:b/>
        </w:rPr>
        <w:t>Žičara.</w:t>
      </w:r>
      <w:r w:rsidRPr="006E4120">
        <w:rPr>
          <w:rFonts w:cs="Calibri"/>
        </w:rPr>
        <w:t xml:space="preserve"> </w:t>
      </w:r>
      <w:r w:rsidR="00C5315F" w:rsidRPr="00AA68E8">
        <w:rPr>
          <w:rFonts w:cs="Calibri"/>
        </w:rPr>
        <w:t>Žičara koja je povezivala Dolje sa Sljemenom od 2007. je izvan funkcije pa je javni prijevoz na Sljeme organiziran autobusom.</w:t>
      </w:r>
      <w:r w:rsidR="00C5315F" w:rsidRPr="00AA68E8">
        <w:rPr>
          <w:rFonts w:cs="Arial"/>
        </w:rPr>
        <w:t xml:space="preserve"> </w:t>
      </w:r>
      <w:r w:rsidR="00C5315F" w:rsidRPr="00AA68E8">
        <w:rPr>
          <w:rFonts w:cs="Calibri"/>
        </w:rPr>
        <w:t xml:space="preserve">Nakon faze rušenja postojeće žičare (za što je izrađen projekt rušenja) 1.3.2019. </w:t>
      </w:r>
      <w:r w:rsidR="00C5315F" w:rsidRPr="00AA68E8">
        <w:rPr>
          <w:rFonts w:cs="Calibri"/>
          <w:iCs/>
        </w:rPr>
        <w:t xml:space="preserve">započeli su radovi na novoj žičari. Projektom Nova žičara Sljeme postiže se korištenje javnog prijevoza žičarom i rasterećenje prostora od automobilskog prometa. </w:t>
      </w:r>
      <w:r>
        <w:rPr>
          <w:rFonts w:cs="Calibri"/>
          <w:iCs/>
        </w:rPr>
        <w:t xml:space="preserve">Nova Žičara Sljeme </w:t>
      </w:r>
      <w:r w:rsidRPr="004C7EF9">
        <w:rPr>
          <w:rFonts w:cs="Calibri"/>
          <w:iCs/>
        </w:rPr>
        <w:t xml:space="preserve"> svečano </w:t>
      </w:r>
      <w:r>
        <w:rPr>
          <w:rFonts w:cs="Calibri"/>
          <w:iCs/>
        </w:rPr>
        <w:t xml:space="preserve">je </w:t>
      </w:r>
      <w:r w:rsidRPr="004C7EF9">
        <w:rPr>
          <w:rFonts w:cs="Calibri"/>
          <w:iCs/>
        </w:rPr>
        <w:t xml:space="preserve">puštena u rad </w:t>
      </w:r>
      <w:r>
        <w:rPr>
          <w:rFonts w:cs="Calibri"/>
          <w:iCs/>
        </w:rPr>
        <w:t xml:space="preserve">23.02.2022. </w:t>
      </w:r>
      <w:r w:rsidRPr="00284386">
        <w:rPr>
          <w:rFonts w:cs="Calibri"/>
          <w:iCs/>
        </w:rPr>
        <w:t xml:space="preserve">Žičara može prevesti oko 1500 ljudi na sat a duljina trase je oko 5000 metara. Nosivost jedne gondole je 800 kilograma. </w:t>
      </w:r>
      <w:r>
        <w:rPr>
          <w:rFonts w:cs="Calibri"/>
          <w:iCs/>
        </w:rPr>
        <w:t>84 g</w:t>
      </w:r>
      <w:r w:rsidRPr="00284386">
        <w:rPr>
          <w:rFonts w:cs="Calibri"/>
          <w:iCs/>
        </w:rPr>
        <w:t>ondole opremljene</w:t>
      </w:r>
      <w:r>
        <w:rPr>
          <w:rFonts w:cs="Calibri"/>
          <w:iCs/>
        </w:rPr>
        <w:t xml:space="preserve"> su</w:t>
      </w:r>
      <w:r w:rsidRPr="00284386">
        <w:rPr>
          <w:rFonts w:cs="Calibri"/>
          <w:iCs/>
        </w:rPr>
        <w:t xml:space="preserve"> nosačima za skije. U svaku se može smjestiti 10 putnika. Vožnja traje petnaestak minuta. Visinska razlika je oko 750 metara nadmorske visine. Brzina je oko 20 kilometara na sat.</w:t>
      </w:r>
      <w:r>
        <w:rPr>
          <w:rFonts w:cs="Calibri"/>
          <w:iCs/>
        </w:rPr>
        <w:t xml:space="preserve"> </w:t>
      </w:r>
      <w:r w:rsidRPr="00284386">
        <w:rPr>
          <w:rFonts w:cs="Calibri"/>
          <w:iCs/>
        </w:rPr>
        <w:t>Polazna postaja Dolje nalazi se na 267 mnv, kutna postaja na 308 mnv, međupostaja Brestovac na 877 mnv, dok je postaja Sljeme smještena na 1030 metara nadmorske visine.</w:t>
      </w:r>
      <w:r>
        <w:rPr>
          <w:rFonts w:cs="Calibri"/>
          <w:iCs/>
        </w:rPr>
        <w:t xml:space="preserve"> </w:t>
      </w:r>
    </w:p>
    <w:p w14:paraId="2B81716B" w14:textId="77777777" w:rsidR="00C5315F" w:rsidRPr="00AA68E8" w:rsidRDefault="00C5315F" w:rsidP="005E6B55">
      <w:pPr>
        <w:pStyle w:val="Odlomakpopisa"/>
        <w:spacing w:line="256" w:lineRule="auto"/>
        <w:ind w:left="0"/>
        <w:jc w:val="both"/>
        <w:rPr>
          <w:rFonts w:cs="Calibri"/>
          <w:iCs/>
        </w:rPr>
      </w:pPr>
      <w:r w:rsidRPr="00AA68E8">
        <w:rPr>
          <w:rFonts w:cs="Calibri"/>
          <w:iCs/>
        </w:rPr>
        <w:t xml:space="preserve">Objekti u funkciji žičare su: </w:t>
      </w:r>
    </w:p>
    <w:p w14:paraId="1FE8E645" w14:textId="77777777" w:rsidR="00C5315F" w:rsidRPr="00AA68E8" w:rsidRDefault="00C5315F" w:rsidP="005E6B55">
      <w:pPr>
        <w:pStyle w:val="Odlomakpopisa"/>
        <w:numPr>
          <w:ilvl w:val="0"/>
          <w:numId w:val="31"/>
        </w:numPr>
        <w:spacing w:line="256" w:lineRule="auto"/>
        <w:jc w:val="both"/>
        <w:rPr>
          <w:rFonts w:cs="Calibri"/>
          <w:iCs/>
        </w:rPr>
      </w:pPr>
      <w:r w:rsidRPr="00AA68E8">
        <w:rPr>
          <w:rFonts w:cs="Calibri"/>
          <w:iCs/>
        </w:rPr>
        <w:t xml:space="preserve">Donja postaja, </w:t>
      </w:r>
    </w:p>
    <w:p w14:paraId="44D6BB16" w14:textId="77777777" w:rsidR="00C5315F" w:rsidRPr="00AA68E8" w:rsidRDefault="00C5315F" w:rsidP="005E6B55">
      <w:pPr>
        <w:pStyle w:val="Odlomakpopisa"/>
        <w:numPr>
          <w:ilvl w:val="0"/>
          <w:numId w:val="31"/>
        </w:numPr>
        <w:spacing w:line="256" w:lineRule="auto"/>
        <w:jc w:val="both"/>
        <w:rPr>
          <w:rFonts w:cs="Calibri"/>
          <w:iCs/>
        </w:rPr>
      </w:pPr>
      <w:r w:rsidRPr="00AA68E8">
        <w:rPr>
          <w:rFonts w:cs="Calibri"/>
          <w:iCs/>
        </w:rPr>
        <w:t xml:space="preserve">Kutna građevina, </w:t>
      </w:r>
    </w:p>
    <w:p w14:paraId="7CD4028C" w14:textId="77777777" w:rsidR="00C5315F" w:rsidRPr="00AA68E8" w:rsidRDefault="00C5315F" w:rsidP="005E6B55">
      <w:pPr>
        <w:pStyle w:val="Odlomakpopisa"/>
        <w:numPr>
          <w:ilvl w:val="0"/>
          <w:numId w:val="31"/>
        </w:numPr>
        <w:spacing w:line="256" w:lineRule="auto"/>
        <w:jc w:val="both"/>
        <w:rPr>
          <w:rFonts w:cs="Calibri"/>
          <w:iCs/>
        </w:rPr>
      </w:pPr>
      <w:r w:rsidRPr="00AA68E8">
        <w:rPr>
          <w:rFonts w:cs="Calibri"/>
          <w:iCs/>
        </w:rPr>
        <w:t xml:space="preserve">Međupostaja Brestovac i </w:t>
      </w:r>
    </w:p>
    <w:p w14:paraId="6C72A09B" w14:textId="0C1442F5" w:rsidR="00C5315F" w:rsidRPr="00AA68E8" w:rsidRDefault="00C5315F" w:rsidP="005E6B55">
      <w:pPr>
        <w:pStyle w:val="Odlomakpopisa"/>
        <w:numPr>
          <w:ilvl w:val="0"/>
          <w:numId w:val="31"/>
        </w:numPr>
        <w:spacing w:line="256" w:lineRule="auto"/>
        <w:jc w:val="both"/>
        <w:rPr>
          <w:rFonts w:cs="Calibri"/>
          <w:iCs/>
        </w:rPr>
      </w:pPr>
      <w:r w:rsidRPr="00AA68E8">
        <w:rPr>
          <w:rFonts w:cs="Calibri"/>
          <w:iCs/>
        </w:rPr>
        <w:t>Gornja postaja</w:t>
      </w:r>
      <w:r w:rsidR="006E4120" w:rsidRPr="006E4120">
        <w:rPr>
          <w:rFonts w:cs="Calibri"/>
          <w:iCs/>
        </w:rPr>
        <w:t xml:space="preserve"> </w:t>
      </w:r>
      <w:r w:rsidR="006E4120">
        <w:rPr>
          <w:rFonts w:cs="Calibri"/>
          <w:iCs/>
        </w:rPr>
        <w:t xml:space="preserve">Sljeme </w:t>
      </w:r>
    </w:p>
    <w:p w14:paraId="4F2EBBE1" w14:textId="5B4485E9" w:rsidR="006E4120" w:rsidRPr="00AA68E8" w:rsidRDefault="006E4120" w:rsidP="005E6B55">
      <w:pPr>
        <w:pStyle w:val="Odlomakpopisa"/>
        <w:spacing w:line="256" w:lineRule="auto"/>
        <w:ind w:left="0"/>
        <w:jc w:val="both"/>
        <w:rPr>
          <w:rFonts w:cs="Calibri"/>
          <w:iCs/>
        </w:rPr>
      </w:pPr>
      <w:r w:rsidRPr="00284386">
        <w:rPr>
          <w:rFonts w:cs="Calibri"/>
          <w:iCs/>
        </w:rPr>
        <w:t>Žičara Sljeme parking nalazi se uz glavnu zgradu – polaznu postaju Gračansko Dolje. Vanjsko</w:t>
      </w:r>
      <w:r w:rsidR="005E6B55">
        <w:rPr>
          <w:rFonts w:cs="Calibri"/>
          <w:iCs/>
        </w:rPr>
        <w:t xml:space="preserve"> </w:t>
      </w:r>
      <w:r w:rsidRPr="00284386">
        <w:rPr>
          <w:rFonts w:cs="Calibri"/>
          <w:iCs/>
        </w:rPr>
        <w:t>parkiralište je besplatno.</w:t>
      </w:r>
      <w:r>
        <w:rPr>
          <w:rFonts w:cs="Calibri"/>
          <w:iCs/>
        </w:rPr>
        <w:t xml:space="preserve"> </w:t>
      </w:r>
    </w:p>
    <w:p w14:paraId="251F6CD2" w14:textId="253BA788" w:rsidR="00C5315F" w:rsidRPr="00FC4C82" w:rsidRDefault="00C5315F" w:rsidP="00C5315F">
      <w:pPr>
        <w:spacing w:line="240" w:lineRule="auto"/>
        <w:jc w:val="both"/>
        <w:rPr>
          <w:rFonts w:cs="Calibri"/>
        </w:rPr>
      </w:pPr>
      <w:r w:rsidRPr="00FC4C82">
        <w:rPr>
          <w:rFonts w:cs="Calibri"/>
        </w:rPr>
        <w:t>U drugoj fazi izgradnje žičare, predlaže se produžetak dužine žičare sa sjeverne strane Medvednice, kako  bi ista poslužila i za potrebe javnog prijevoza (povezivanje sjeverne i južne strane Medvednice, tj. Grada Zagreba i Krapinsko-zagorske županije).</w:t>
      </w:r>
      <w:r w:rsidR="005A0E1D" w:rsidRPr="005A0E1D">
        <w:t xml:space="preserve"> </w:t>
      </w:r>
      <w:r w:rsidR="005A0E1D" w:rsidRPr="005A0E1D">
        <w:rPr>
          <w:rFonts w:cs="Calibri"/>
        </w:rPr>
        <w:t xml:space="preserve">Na ovaj način bi predmetna žičara mogla služiti i za potrebe javnog prijevoza (povezivanje sjeverne i južne strane Medvednice, tj. Grada Zagreba i Krapinsko-zagorske županije). </w:t>
      </w:r>
      <w:r w:rsidRPr="00FC4C82">
        <w:rPr>
          <w:rFonts w:cs="Calibri"/>
        </w:rPr>
        <w:t xml:space="preserve"> </w:t>
      </w:r>
    </w:p>
    <w:p w14:paraId="419E80B7" w14:textId="77777777" w:rsidR="00C5315F" w:rsidRPr="00A33E06" w:rsidRDefault="00C5315F" w:rsidP="00C5315F">
      <w:pPr>
        <w:spacing w:line="240" w:lineRule="auto"/>
        <w:jc w:val="both"/>
        <w:rPr>
          <w:rFonts w:cs="Calibri"/>
        </w:rPr>
      </w:pPr>
      <w:r w:rsidRPr="00A33E06">
        <w:rPr>
          <w:rFonts w:cs="Calibri"/>
          <w:b/>
        </w:rPr>
        <w:t>Uspinjača.</w:t>
      </w:r>
      <w:r w:rsidRPr="00A33E06">
        <w:rPr>
          <w:rFonts w:cs="Calibri"/>
        </w:rPr>
        <w:t xml:space="preserve"> Uspinjača spaja zagrebački Gornji i Donji grad. Pruga je </w:t>
      </w:r>
      <w:r>
        <w:rPr>
          <w:rFonts w:cs="Calibri"/>
        </w:rPr>
        <w:t>dugačka</w:t>
      </w:r>
      <w:r w:rsidRPr="00A33E06">
        <w:rPr>
          <w:rFonts w:cs="Calibri"/>
        </w:rPr>
        <w:t xml:space="preserve"> 66 metara i savladava visinsku razliku od 30,5 metara. Zadržala je prvobitni vanjski izgled</w:t>
      </w:r>
      <w:r>
        <w:rPr>
          <w:rFonts w:cs="Calibri"/>
        </w:rPr>
        <w:t>,</w:t>
      </w:r>
      <w:r w:rsidRPr="00A33E06">
        <w:rPr>
          <w:rFonts w:cs="Calibri"/>
        </w:rPr>
        <w:t xml:space="preserve"> građevnu konstrukciju</w:t>
      </w:r>
      <w:r>
        <w:rPr>
          <w:rFonts w:cs="Calibri"/>
        </w:rPr>
        <w:t xml:space="preserve"> kao i </w:t>
      </w:r>
      <w:r w:rsidRPr="00A33E06">
        <w:rPr>
          <w:rFonts w:cs="Calibri"/>
        </w:rPr>
        <w:t xml:space="preserve">većinu tehničkih svojstava koja su joj dali graditelji krajem 19. st, pa je zagrebačka Uspinjača zakonski zaštićena kao spomenik kulture. </w:t>
      </w:r>
      <w:r>
        <w:rPr>
          <w:rFonts w:cs="Calibri"/>
        </w:rPr>
        <w:t>U razdoblju od 2015.-2019. povećan je broj putnika sa 741 na 771 tisuća prevezenih putnika godišnje</w:t>
      </w:r>
      <w:r>
        <w:rPr>
          <w:rStyle w:val="Referencafusnote"/>
          <w:rFonts w:cs="Calibri"/>
        </w:rPr>
        <w:footnoteReference w:id="57"/>
      </w:r>
      <w:r>
        <w:rPr>
          <w:rFonts w:cs="Calibri"/>
        </w:rPr>
        <w:t>.</w:t>
      </w:r>
    </w:p>
    <w:p w14:paraId="0E735750" w14:textId="079691E8" w:rsidR="00DB4AAE" w:rsidRPr="00DB4AAE" w:rsidRDefault="00C5315F" w:rsidP="00DB4AAE">
      <w:pPr>
        <w:spacing w:line="240" w:lineRule="auto"/>
        <w:jc w:val="both"/>
        <w:rPr>
          <w:rFonts w:cs="Calibri"/>
        </w:rPr>
      </w:pPr>
      <w:r w:rsidRPr="00A33E06">
        <w:rPr>
          <w:rFonts w:cs="Calibri"/>
          <w:b/>
        </w:rPr>
        <w:t>Taksi.</w:t>
      </w:r>
      <w:r w:rsidRPr="00A33E06">
        <w:rPr>
          <w:rFonts w:cs="Calibri"/>
        </w:rPr>
        <w:t xml:space="preserve"> </w:t>
      </w:r>
      <w:r>
        <w:t>Autotaksi prijevoz je djelatnost javnog prijevoza putnika koja se obavlja osobnim automobilom gdje se putnik ili više njih ukrcava na jednom, a iskrcava na drugom mjestu. Taksi prijevoz obavlja se temeljem narudžbe ili putem taksi stajališta, a plaća se za obavljenu uslugu na licu mjesta. Taksi prijevoz je sve češći oblik javnog prijevoza, osobito u gradovima, ali također i u povezivanju gradova s njihovom okolicom. Iako se taksi prijevoz uglavnom obavlja putem narudžbe, na području Grada Zagreba postoji velik broj taksi stajališta na kojima se putnici mogu direktno ukrcati bez prethodne narudžbe. Najviše je taksi stajališta u samom gradskom središtu gdje je ujedno i najveća potražnja za taksi prijevozom</w:t>
      </w:r>
      <w:r>
        <w:rPr>
          <w:rStyle w:val="Referencafusnote"/>
        </w:rPr>
        <w:footnoteReference w:id="58"/>
      </w:r>
      <w:r>
        <w:t>.</w:t>
      </w:r>
      <w:r>
        <w:rPr>
          <w:rFonts w:cs="Calibri"/>
        </w:rPr>
        <w:t xml:space="preserve"> Ukupan broj taxi vozila na području Grada u 2020. iznosio je </w:t>
      </w:r>
      <w:r w:rsidRPr="0093257B">
        <w:rPr>
          <w:rFonts w:cs="Calibri"/>
        </w:rPr>
        <w:t>3597</w:t>
      </w:r>
      <w:r>
        <w:rPr>
          <w:rFonts w:cs="Calibri"/>
        </w:rPr>
        <w:t xml:space="preserve"> registr</w:t>
      </w:r>
      <w:r w:rsidR="005A0E1D">
        <w:rPr>
          <w:rFonts w:cs="Calibri"/>
        </w:rPr>
        <w:t>ira</w:t>
      </w:r>
      <w:r>
        <w:rPr>
          <w:rFonts w:cs="Calibri"/>
        </w:rPr>
        <w:t>nih taksista</w:t>
      </w:r>
      <w:r>
        <w:rPr>
          <w:rStyle w:val="Referencafusnote"/>
          <w:rFonts w:cs="Calibri"/>
        </w:rPr>
        <w:footnoteReference w:id="59"/>
      </w:r>
      <w:r>
        <w:rPr>
          <w:rFonts w:cs="Calibri"/>
        </w:rPr>
        <w:t>.</w:t>
      </w:r>
    </w:p>
    <w:p w14:paraId="28C4239A" w14:textId="77777777" w:rsidR="00DB4AAE" w:rsidRDefault="00DB4AAE" w:rsidP="007A2522">
      <w:pPr>
        <w:pStyle w:val="Opisslike"/>
      </w:pPr>
    </w:p>
    <w:p w14:paraId="1F1DF146" w14:textId="7DB87742" w:rsidR="007A2522" w:rsidRDefault="007A2522" w:rsidP="007A2522">
      <w:pPr>
        <w:pStyle w:val="Opisslike"/>
      </w:pPr>
      <w:r>
        <w:t xml:space="preserve">Slika </w:t>
      </w:r>
      <w:r w:rsidR="00751C19">
        <w:fldChar w:fldCharType="begin"/>
      </w:r>
      <w:r w:rsidR="00751C19">
        <w:instrText xml:space="preserve"> SEQ Slika \* ARABIC </w:instrText>
      </w:r>
      <w:r w:rsidR="00751C19">
        <w:fldChar w:fldCharType="separate"/>
      </w:r>
      <w:r w:rsidR="00ED75AB">
        <w:rPr>
          <w:noProof/>
        </w:rPr>
        <w:t>5</w:t>
      </w:r>
      <w:r w:rsidR="00751C19">
        <w:rPr>
          <w:noProof/>
        </w:rPr>
        <w:fldChar w:fldCharType="end"/>
      </w:r>
      <w:r>
        <w:t xml:space="preserve">. </w:t>
      </w:r>
      <w:r w:rsidRPr="00B000CC">
        <w:t>Taksi stajališta na području Grada Zagreba</w:t>
      </w:r>
    </w:p>
    <w:p w14:paraId="3385AEE6" w14:textId="77777777" w:rsidR="007A2522" w:rsidRPr="007A2522" w:rsidRDefault="007A2522" w:rsidP="007A2522"/>
    <w:p w14:paraId="6026B619" w14:textId="0D375813" w:rsidR="00C5315F" w:rsidRPr="00A33E06" w:rsidRDefault="00C5315F" w:rsidP="00C5315F">
      <w:pPr>
        <w:spacing w:after="0" w:line="240" w:lineRule="auto"/>
        <w:jc w:val="both"/>
        <w:rPr>
          <w:rFonts w:cs="Calibri"/>
        </w:rPr>
      </w:pPr>
      <w:r w:rsidRPr="002171BA">
        <w:rPr>
          <w:rFonts w:cs="Calibri"/>
          <w:noProof/>
        </w:rPr>
        <w:drawing>
          <wp:inline distT="0" distB="0" distL="0" distR="0" wp14:anchorId="14AF7DB6" wp14:editId="464CD940">
            <wp:extent cx="3933825" cy="274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3825" cy="2743200"/>
                    </a:xfrm>
                    <a:prstGeom prst="rect">
                      <a:avLst/>
                    </a:prstGeom>
                    <a:noFill/>
                    <a:ln>
                      <a:noFill/>
                    </a:ln>
                  </pic:spPr>
                </pic:pic>
              </a:graphicData>
            </a:graphic>
          </wp:inline>
        </w:drawing>
      </w:r>
    </w:p>
    <w:p w14:paraId="4824C768" w14:textId="77777777" w:rsidR="00C5315F" w:rsidRPr="00F0150D" w:rsidRDefault="00C5315F" w:rsidP="00C5315F">
      <w:pPr>
        <w:spacing w:after="0"/>
        <w:rPr>
          <w:rFonts w:cs="Calibri"/>
          <w:sz w:val="20"/>
          <w:szCs w:val="20"/>
        </w:rPr>
      </w:pPr>
      <w:r w:rsidRPr="00F0150D">
        <w:rPr>
          <w:rFonts w:cs="Calibri"/>
          <w:sz w:val="20"/>
          <w:szCs w:val="20"/>
        </w:rPr>
        <w:t>Izvor: Master plan prometnog sustava Grada Zagreba, Zagrebačke županije i Krapinsko-zagorske županije, 2020.</w:t>
      </w:r>
    </w:p>
    <w:p w14:paraId="704B681D" w14:textId="4298BFA1" w:rsidR="00C5315F" w:rsidRPr="00A33E06" w:rsidRDefault="00C5315F" w:rsidP="00C45A8C">
      <w:pPr>
        <w:pStyle w:val="Stil2"/>
      </w:pPr>
      <w:bookmarkStart w:id="121" w:name="_Toc97123840"/>
      <w:r>
        <w:t>4</w:t>
      </w:r>
      <w:r w:rsidRPr="00A33E06">
        <w:t>.</w:t>
      </w:r>
      <w:r>
        <w:t>3</w:t>
      </w:r>
      <w:r w:rsidRPr="00A33E06">
        <w:t>.5. Cestovni promet</w:t>
      </w:r>
      <w:bookmarkEnd w:id="121"/>
    </w:p>
    <w:p w14:paraId="17E61AD2" w14:textId="77777777" w:rsidR="00C5315F" w:rsidRDefault="00C5315F" w:rsidP="00C5315F">
      <w:pPr>
        <w:spacing w:line="240" w:lineRule="auto"/>
        <w:jc w:val="both"/>
        <w:rPr>
          <w:rFonts w:cs="Calibri"/>
        </w:rPr>
      </w:pPr>
      <w:r w:rsidRPr="00A33E06">
        <w:rPr>
          <w:rFonts w:cs="Calibri"/>
        </w:rPr>
        <w:t>Međunarodni i regionalni cestovni pravci pokriveni su autocestama. Zagrebačka obilaznica dio je autoceste A3. Na administrativnom području Grada Zagreba</w:t>
      </w:r>
      <w:r>
        <w:rPr>
          <w:rFonts w:cs="Calibri"/>
        </w:rPr>
        <w:t xml:space="preserve"> </w:t>
      </w:r>
      <w:r w:rsidRPr="00A33E06">
        <w:rPr>
          <w:rFonts w:cs="Calibri"/>
        </w:rPr>
        <w:t>ukupna duljina autocesta iznosi 33 km</w:t>
      </w:r>
      <w:r>
        <w:rPr>
          <w:rFonts w:cs="Calibri"/>
        </w:rPr>
        <w:t xml:space="preserve">, a prometno je najopterećenija </w:t>
      </w:r>
      <w:r w:rsidRPr="0025012A">
        <w:rPr>
          <w:rFonts w:cs="Calibri"/>
        </w:rPr>
        <w:t>dionica zagrebačke obilaznice Jankomir – Lučko</w:t>
      </w:r>
      <w:r>
        <w:rPr>
          <w:rFonts w:cs="Calibri"/>
        </w:rPr>
        <w:t>.</w:t>
      </w:r>
      <w:r w:rsidRPr="0025012A">
        <w:rPr>
          <w:rFonts w:cs="Calibri"/>
        </w:rPr>
        <w:t xml:space="preserve"> </w:t>
      </w:r>
    </w:p>
    <w:p w14:paraId="719FAE8C" w14:textId="77777777" w:rsidR="00C5315F" w:rsidRDefault="00C5315F" w:rsidP="00C5315F">
      <w:pPr>
        <w:spacing w:line="240" w:lineRule="auto"/>
        <w:jc w:val="both"/>
      </w:pPr>
      <w:r>
        <w:t xml:space="preserve">Grad Zagreb je točka grananja autoceste A1 (Zagreb-Rijeka), A2 (Zagreb-Krapina-granični prijelaz Macelj), A3 (g.p. Bregana- Zagreb-g.p. Lipovac), A5 (Zagreb-Varaždin, g.p. Goričan) i autoceste A11 (Zagreb-Velika Gorica-Sisak). Unutar gradskog područja, najduži dio autoceste je A3, dio koji pripada zagrebačkoj obilaznici. </w:t>
      </w:r>
    </w:p>
    <w:p w14:paraId="15F81CE9" w14:textId="77777777" w:rsidR="00C5315F" w:rsidRDefault="00C5315F" w:rsidP="00C5315F">
      <w:pPr>
        <w:spacing w:line="240" w:lineRule="auto"/>
        <w:jc w:val="both"/>
      </w:pPr>
      <w:r>
        <w:t xml:space="preserve">Najvažnije gradske ceste su avenije: Slavonska, Jadranska, Dubrovačka, Držićeva, Hrvatske bratske zajednice - Holjevčeva - Velikogorička cesta, a slijede ih ulice: Grada Vukovara, Heinzelova, Savska cesta, Dubrava, Branimirova, Maksimirska, Aleja Bologne, Zvonimirova i Medveščak. Ovu osnovnu prometnu mrežu nadopunjuju i druge gradske ulice koje imaju različite profile i uloge unutar gradskog prometnog sustava. </w:t>
      </w:r>
    </w:p>
    <w:p w14:paraId="27BF2C29" w14:textId="2ECAF344" w:rsidR="00615536" w:rsidRDefault="00C5315F" w:rsidP="001E253A">
      <w:pPr>
        <w:spacing w:line="240" w:lineRule="auto"/>
        <w:jc w:val="both"/>
      </w:pPr>
      <w:r>
        <w:t xml:space="preserve">Istraživanjem prometnog sustava utvrdila se nedovoljna propusna moć i razine usluge cestovne prometne mreže Grada Zagreba za potrebe cestovnog prometa. Odnos između ponude i potražnje na postojećoj cestovnoj mreži pokazuje postojeću situaciju koja rezultira na određenim dijelovima mreže stvaranjem značajnih prometnih zagušenja i nedovoljne razine usluge, osobito u vršnim jutarnjim i popodnevnim satima. Ne postoji implementirano ITS rješenje unutar prometnog sustava koje bi pospješilo protočnost na zelenim valovima, dalo prednost prolaska na semaforima za autobuse i tramvaje, omogućilo usklađivanje rada semafora kako bi se vozila javnog prijevoza i osobna vozila brže kretala te bi se time povećala atraktivnost javnog prijevoza. </w:t>
      </w:r>
      <w:r w:rsidRPr="00A53E52">
        <w:t xml:space="preserve">Kapacitet postojeće cestovne mreže na prostoru grada Zagreba može se analizirati promatranjem kapaciteta na dionicama i raskrižjima. Utvrđeno je da intenzitet prometa zagrebačke obilaznice (koja je dio autoceste A3) iznosi 5.600 vozila po smjeru na sat. Utvrđeno je također da gradske avenije u centru mogu podržati između 1.000 i 3.000 vozila po smjeru na sat. Ostale ceste imaju kapacitet manji od 1.000 vozila po smjeru na sat. </w:t>
      </w:r>
      <w:r>
        <w:t xml:space="preserve">Značajka koju je u ovom kontekstu potrebno istaknuti je da sva raskrižja u središnjim dijelovima Zagreba na glavnim gradskim koridorima prometne mreže imaju ugrađenu svjetlosnu signalizaciju.  </w:t>
      </w:r>
    </w:p>
    <w:p w14:paraId="3AE34F38" w14:textId="77777777" w:rsidR="001E253A" w:rsidRPr="001E253A" w:rsidRDefault="001E253A" w:rsidP="001E253A">
      <w:pPr>
        <w:spacing w:line="240" w:lineRule="auto"/>
        <w:jc w:val="both"/>
      </w:pPr>
    </w:p>
    <w:p w14:paraId="3FE73E26" w14:textId="343FDB4A" w:rsidR="00C5315F" w:rsidRPr="003A53AE" w:rsidRDefault="00682389" w:rsidP="00E2286C">
      <w:pPr>
        <w:pStyle w:val="Opisslike"/>
        <w:rPr>
          <w:rFonts w:cs="Calibri"/>
          <w:color w:val="FF0000"/>
        </w:rPr>
      </w:pPr>
      <w:r>
        <w:t xml:space="preserve">Tablica </w:t>
      </w:r>
      <w:r w:rsidR="00751C19">
        <w:fldChar w:fldCharType="begin"/>
      </w:r>
      <w:r w:rsidR="00751C19">
        <w:instrText xml:space="preserve"> SEQ Tablica \* A</w:instrText>
      </w:r>
      <w:r w:rsidR="00751C19">
        <w:instrText xml:space="preserve">RABIC </w:instrText>
      </w:r>
      <w:r w:rsidR="00751C19">
        <w:fldChar w:fldCharType="separate"/>
      </w:r>
      <w:r w:rsidR="00803E25">
        <w:rPr>
          <w:noProof/>
        </w:rPr>
        <w:t>23</w:t>
      </w:r>
      <w:r w:rsidR="00751C19">
        <w:rPr>
          <w:noProof/>
        </w:rPr>
        <w:fldChar w:fldCharType="end"/>
      </w:r>
      <w:r>
        <w:t xml:space="preserve">. </w:t>
      </w:r>
      <w:r w:rsidRPr="00515438">
        <w:t>Promet u i iz Grada Zagreba na odabranim lokacijama</w:t>
      </w:r>
      <w:r w:rsidR="00C5315F" w:rsidRPr="003A53AE">
        <w:rPr>
          <w:rFonts w:cs="Calibri"/>
          <w:noProof/>
          <w:color w:val="FF0000"/>
        </w:rPr>
        <w:drawing>
          <wp:inline distT="0" distB="0" distL="0" distR="0" wp14:anchorId="4B6B5EE0" wp14:editId="5EA78295">
            <wp:extent cx="5730875" cy="1896110"/>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1896110"/>
                    </a:xfrm>
                    <a:prstGeom prst="rect">
                      <a:avLst/>
                    </a:prstGeom>
                    <a:noFill/>
                  </pic:spPr>
                </pic:pic>
              </a:graphicData>
            </a:graphic>
          </wp:inline>
        </w:drawing>
      </w:r>
    </w:p>
    <w:p w14:paraId="25481EE8" w14:textId="77777777" w:rsidR="00C5315F" w:rsidRPr="00D771AD" w:rsidRDefault="00C5315F" w:rsidP="00C5315F">
      <w:pPr>
        <w:spacing w:after="46" w:line="256" w:lineRule="auto"/>
        <w:rPr>
          <w:rFonts w:cs="Calibri"/>
          <w:bCs/>
          <w:lang w:eastAsia="hr-HR"/>
        </w:rPr>
      </w:pPr>
      <w:r w:rsidRPr="00D771AD">
        <w:rPr>
          <w:rFonts w:cs="Calibri"/>
          <w:bCs/>
          <w:sz w:val="12"/>
          <w:lang w:eastAsia="hr-HR"/>
        </w:rPr>
        <w:t xml:space="preserve">* PGDP umjesto prometa radnim danom. </w:t>
      </w:r>
    </w:p>
    <w:p w14:paraId="1B92E76D" w14:textId="77777777" w:rsidR="00C70FBE" w:rsidRPr="00D771AD" w:rsidRDefault="00C70FBE" w:rsidP="00C70FBE">
      <w:pPr>
        <w:spacing w:after="182" w:line="264" w:lineRule="auto"/>
        <w:ind w:left="19" w:right="164" w:hanging="10"/>
        <w:rPr>
          <w:rFonts w:cs="Calibri"/>
          <w:bCs/>
          <w:lang w:eastAsia="hr-HR"/>
        </w:rPr>
      </w:pPr>
      <w:r>
        <w:rPr>
          <w:rFonts w:cs="Calibri"/>
          <w:bCs/>
          <w:sz w:val="18"/>
          <w:lang w:eastAsia="hr-HR"/>
        </w:rPr>
        <w:t>(</w:t>
      </w:r>
      <w:r w:rsidRPr="00D771AD">
        <w:rPr>
          <w:rFonts w:cs="Calibri"/>
          <w:bCs/>
          <w:sz w:val="18"/>
          <w:lang w:eastAsia="hr-HR"/>
        </w:rPr>
        <w:t>Kategorije vozila uključuju osobne automobile, laka teretna vozila i skupove vozila</w:t>
      </w:r>
      <w:r>
        <w:rPr>
          <w:rFonts w:cs="Calibri"/>
          <w:bCs/>
          <w:sz w:val="18"/>
          <w:lang w:eastAsia="hr-HR"/>
        </w:rPr>
        <w:t>)</w:t>
      </w:r>
      <w:r w:rsidRPr="00D771AD">
        <w:rPr>
          <w:rFonts w:cs="Calibri"/>
          <w:bCs/>
          <w:sz w:val="18"/>
          <w:lang w:eastAsia="hr-HR"/>
        </w:rPr>
        <w:t xml:space="preserve"> </w:t>
      </w:r>
    </w:p>
    <w:p w14:paraId="38C5DD09" w14:textId="25FC5191" w:rsidR="005A0E1D" w:rsidRPr="005A0E1D" w:rsidRDefault="005A0E1D" w:rsidP="005A0E1D">
      <w:pPr>
        <w:spacing w:line="240" w:lineRule="auto"/>
        <w:jc w:val="both"/>
        <w:rPr>
          <w:rFonts w:cs="Calibri"/>
        </w:rPr>
      </w:pPr>
      <w:r w:rsidRPr="005A0E1D">
        <w:t>Ukupan broj registriranih motornih vozila u Gradu Zagrebu u 2020. iznosio je 413 117 motornih vozila, što je 2,0% više nego u 2019. godini. Od ukupno registriranih motornih vozila u 2020., 82,7% (341 825) su osobni automobili.</w:t>
      </w:r>
    </w:p>
    <w:p w14:paraId="6D20EFB6" w14:textId="429E1239" w:rsidR="00C5315F" w:rsidRDefault="00C5315F" w:rsidP="00C5315F">
      <w:pPr>
        <w:spacing w:line="240" w:lineRule="auto"/>
        <w:jc w:val="both"/>
        <w:rPr>
          <w:rFonts w:cs="Calibri"/>
        </w:rPr>
      </w:pPr>
      <w:r w:rsidRPr="00A33E06">
        <w:rPr>
          <w:rFonts w:cs="Calibri"/>
        </w:rPr>
        <w:t>Ulična mreža na području Grada Zagreba ne zadovoljava prometnu potražnju, posebno u vršnim vremenima opterećenja. Prometnice su nedovoljne propusne i neredovito održavane</w:t>
      </w:r>
      <w:r>
        <w:rPr>
          <w:rFonts w:cs="Calibri"/>
        </w:rPr>
        <w:t>,</w:t>
      </w:r>
      <w:r w:rsidRPr="00A33E06">
        <w:rPr>
          <w:rFonts w:cs="Calibri"/>
        </w:rPr>
        <w:t xml:space="preserve"> a u cijeloj mreži nedostaju spojevi (uključivo i mostove preko rijeke Save) koji bi omogućili brži protok vozila. </w:t>
      </w:r>
      <w:r>
        <w:t>Propusna moć obilaznice Grada Zagreba (osobito dionice Jankomir – Lučko) u vrijeme vršnih sezonskih prometnih opterećenja</w:t>
      </w:r>
      <w:r w:rsidRPr="00FB3800">
        <w:t xml:space="preserve"> </w:t>
      </w:r>
      <w:r>
        <w:t xml:space="preserve">je nedovoljna, ali sve više i u ostalim razdobljima kroz godinu. </w:t>
      </w:r>
      <w:r w:rsidRPr="00A33E06">
        <w:rPr>
          <w:rFonts w:cs="Calibri"/>
        </w:rPr>
        <w:t>Ne postoji centralni sustav automatskog upravljanja prometom preko kojeg bi se nadziralo i koordiniralo odvijanje prometa na svim semaforiziranim raskrižjima u gradu.</w:t>
      </w:r>
      <w:r w:rsidR="00ED321D">
        <w:rPr>
          <w:rFonts w:cs="Calibri"/>
        </w:rPr>
        <w:t xml:space="preserve"> </w:t>
      </w:r>
      <w:r w:rsidRPr="00A33E06">
        <w:rPr>
          <w:rFonts w:cs="Calibri"/>
        </w:rPr>
        <w:t>Dostava roba u središnjem dijelu grada regulirana je na način da je zabranjena dostava</w:t>
      </w:r>
      <w:r>
        <w:rPr>
          <w:rFonts w:cs="Calibri"/>
        </w:rPr>
        <w:t xml:space="preserve"> </w:t>
      </w:r>
      <w:r w:rsidRPr="00A33E06">
        <w:rPr>
          <w:rFonts w:cs="Calibri"/>
        </w:rPr>
        <w:t>vozilima čija nosivost prelazi 5 tona i da su propisana vremenska razdoblja kada je dostava dozvoljena. Kamionski teretni kolodvori su u Jankomiru i na Žitnjaku. Željezničko</w:t>
      </w:r>
      <w:r>
        <w:rPr>
          <w:rFonts w:cs="Calibri"/>
        </w:rPr>
        <w:t>-</w:t>
      </w:r>
      <w:r w:rsidRPr="00A33E06">
        <w:rPr>
          <w:rFonts w:cs="Calibri"/>
        </w:rPr>
        <w:t>cestovni kontejnerski terminal nalazi se na neodgovarajućoj lokaciji u Kustošiji.</w:t>
      </w:r>
    </w:p>
    <w:p w14:paraId="239901CB" w14:textId="77777777" w:rsidR="00C5315F" w:rsidRDefault="00C5315F" w:rsidP="00C5315F">
      <w:pPr>
        <w:spacing w:line="240" w:lineRule="auto"/>
        <w:jc w:val="both"/>
      </w:pPr>
      <w:r w:rsidRPr="00041EAE">
        <w:rPr>
          <w:b/>
        </w:rPr>
        <w:t>Električne punionice vozila.</w:t>
      </w:r>
      <w:r>
        <w:t xml:space="preserve"> Proteklih nekoliko godina Fond za zaštitu okoliša i energetsku učinkovitost sufinancirao je javnim pozivom nabavu električnih i hibridnih vozila, čime se znatno doprinijelo povećanju broja električnih vozila. </w:t>
      </w:r>
    </w:p>
    <w:p w14:paraId="3FE69925" w14:textId="77777777" w:rsidR="00C5315F" w:rsidRDefault="00C5315F" w:rsidP="00C5315F">
      <w:pPr>
        <w:spacing w:line="240" w:lineRule="auto"/>
        <w:jc w:val="both"/>
      </w:pPr>
      <w:r>
        <w:t>U nastavku nalazi se</w:t>
      </w:r>
      <w:r w:rsidRPr="00623478">
        <w:t xml:space="preserve"> tablic</w:t>
      </w:r>
      <w:r>
        <w:t>a</w:t>
      </w:r>
      <w:r w:rsidRPr="00623478">
        <w:t xml:space="preserve"> s podacima za električna i plug-in hibridna vozila koja su u 2020. obavila Redovne tehničke preglede odnosno registracije u stanicama za tehnički pregled na području Grada Zagreba kao županijske administrativne jedinice.</w:t>
      </w:r>
    </w:p>
    <w:p w14:paraId="223961D4" w14:textId="77777777" w:rsidR="00365E92" w:rsidRDefault="00365E92" w:rsidP="00C5315F">
      <w:pPr>
        <w:spacing w:after="0" w:line="240" w:lineRule="auto"/>
        <w:jc w:val="both"/>
      </w:pPr>
    </w:p>
    <w:p w14:paraId="0CD79F0E" w14:textId="3E9F58D9" w:rsidR="00682389" w:rsidRDefault="00682389"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24</w:t>
      </w:r>
      <w:r w:rsidR="00751C19">
        <w:rPr>
          <w:noProof/>
        </w:rPr>
        <w:fldChar w:fldCharType="end"/>
      </w:r>
      <w:r>
        <w:t>. E</w:t>
      </w:r>
      <w:r w:rsidRPr="00B853F7">
        <w:t>lektrična i plug-in hibridna vozila</w:t>
      </w:r>
    </w:p>
    <w:p w14:paraId="3D34D46D" w14:textId="0E5FD0BD" w:rsidR="00C5315F" w:rsidRDefault="00C5315F" w:rsidP="00E2286C">
      <w:pPr>
        <w:pStyle w:val="Opisslike"/>
      </w:pPr>
      <w:r w:rsidRPr="00623478">
        <w:rPr>
          <w:noProof/>
        </w:rPr>
        <w:drawing>
          <wp:inline distT="0" distB="0" distL="0" distR="0" wp14:anchorId="7BE72264" wp14:editId="1333699D">
            <wp:extent cx="5753100" cy="383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2EC61EFC" w14:textId="77777777" w:rsidR="00C5315F" w:rsidRDefault="00C5315F" w:rsidP="00C5315F">
      <w:pPr>
        <w:spacing w:after="0" w:line="240" w:lineRule="auto"/>
        <w:jc w:val="both"/>
        <w:rPr>
          <w:sz w:val="20"/>
          <w:szCs w:val="20"/>
        </w:rPr>
      </w:pPr>
      <w:r w:rsidRPr="00470530">
        <w:rPr>
          <w:sz w:val="20"/>
          <w:szCs w:val="20"/>
        </w:rPr>
        <w:t>Izvor: Centar za vozila Hrvatske</w:t>
      </w:r>
    </w:p>
    <w:p w14:paraId="019F64AB" w14:textId="77777777" w:rsidR="00C5315F" w:rsidRPr="00470530" w:rsidRDefault="00C5315F" w:rsidP="00C5315F">
      <w:pPr>
        <w:spacing w:after="0" w:line="240" w:lineRule="auto"/>
        <w:jc w:val="both"/>
        <w:rPr>
          <w:sz w:val="20"/>
          <w:szCs w:val="20"/>
        </w:rPr>
      </w:pPr>
    </w:p>
    <w:p w14:paraId="5AE5B3A9" w14:textId="77777777" w:rsidR="00C5315F" w:rsidRDefault="00C5315F" w:rsidP="00C5315F">
      <w:pPr>
        <w:spacing w:after="0" w:line="240" w:lineRule="auto"/>
        <w:jc w:val="both"/>
      </w:pPr>
      <w:r w:rsidRPr="002D4311">
        <w:t>Razvoj tržišta vozila na struju prati i postavljanje punionica, a u ovom trenutku u Hrvatskoj ih ima 129, ali u idućim godinama njihov broj trebao bi znatno porasti.</w:t>
      </w:r>
      <w:r>
        <w:t xml:space="preserve"> U Gradu Zagrebu se prema podacima iz 2020. godine nalazi 46 punionica za električna vozila.</w:t>
      </w:r>
    </w:p>
    <w:p w14:paraId="392A356F" w14:textId="77777777" w:rsidR="00C5315F" w:rsidRPr="002D4311" w:rsidRDefault="00C5315F" w:rsidP="00C5315F">
      <w:pPr>
        <w:spacing w:line="240" w:lineRule="auto"/>
        <w:jc w:val="both"/>
      </w:pPr>
      <w:r>
        <w:t xml:space="preserve">Najveći ulagači u infrastrukturu za punjenje električnih vozila u Hrvatskoj su Hrvatski Telekom i HEP, a slijede ih gradovi i županije. Grad Zagreb je u sklopu EU projekta </w:t>
      </w:r>
      <w:r w:rsidRPr="002D4311">
        <w:t>Srednjoeuropski zeleni koridori - prekogranična infrastruktura za brzo punjenje električnih vozila, za povezivanje Austrije, Slovačke, Slovenije, Njemačke i Hrvatske</w:t>
      </w:r>
      <w:r>
        <w:t xml:space="preserve"> postavio 3 brze punionice za punjenje električnih vozila na lokacijama Trg Stjepana Radića 1, Park Stara Trešnjevka 2 i Avenija Dubrovnik 15.</w:t>
      </w:r>
      <w:r w:rsidRPr="006741D0">
        <w:t xml:space="preserve"> Kroz projekt URBAN-E u planu je postavljanje mreže 56 punionica na području Grada Zagreba tijekom </w:t>
      </w:r>
      <w:r>
        <w:t>2021.</w:t>
      </w:r>
      <w:r w:rsidRPr="006741D0">
        <w:t xml:space="preserve"> godine.</w:t>
      </w:r>
      <w:r>
        <w:t xml:space="preserve"> Iz navedenog proizlazi prilika za uvođenje ekološki prihvatljivih vozila u sustav javnog prometa (pr. E-bicikli, „car sharing“ sustav, električni automobili i sl.) kako bi se povećala energetska učinkovitost u prometnom sustavu.</w:t>
      </w:r>
    </w:p>
    <w:p w14:paraId="2350BCDE" w14:textId="1DBF99DB" w:rsidR="00C5315F" w:rsidRDefault="00C5315F" w:rsidP="00C5315F">
      <w:pPr>
        <w:spacing w:line="240" w:lineRule="auto"/>
        <w:jc w:val="both"/>
        <w:rPr>
          <w:rFonts w:cs="Calibri"/>
          <w:bCs/>
          <w:iCs/>
        </w:rPr>
      </w:pPr>
      <w:r w:rsidRPr="00A33E06">
        <w:rPr>
          <w:rFonts w:cs="Calibri"/>
          <w:b/>
          <w:bCs/>
          <w:iCs/>
        </w:rPr>
        <w:t xml:space="preserve">Biciklistički promet. </w:t>
      </w:r>
    </w:p>
    <w:p w14:paraId="6D426CD3" w14:textId="0A494710" w:rsidR="00264445" w:rsidRDefault="00264445" w:rsidP="00C5315F">
      <w:pPr>
        <w:spacing w:line="240" w:lineRule="auto"/>
        <w:jc w:val="both"/>
        <w:rPr>
          <w:rFonts w:cs="Calibri"/>
          <w:bCs/>
          <w:iCs/>
        </w:rPr>
      </w:pPr>
      <w:r w:rsidRPr="00264445">
        <w:rPr>
          <w:rFonts w:cs="Calibri"/>
          <w:bCs/>
          <w:iCs/>
        </w:rPr>
        <w:t xml:space="preserve">Jedan od strateških ciljeva budućeg razvoja gradskog i prigradskog prometa na području Grada Zagreba i njegovog šireg okruženja, značajnim dijelom odnosi se na poticanje održivog razvoja kroz uvođenje biciklističkog prometa u prometni sustav. Svake godine bilježi se rast biciklističkog prometa te Grad Zagreb kontinuirano ulaže u izgradnju biciklističke infrastrukture, kao i u edukaciju i promociju upotrebe bicikla u svakodnevnom životu.  </w:t>
      </w:r>
    </w:p>
    <w:p w14:paraId="3837E962" w14:textId="1E1204A1" w:rsidR="00264445" w:rsidRDefault="00264445" w:rsidP="00C5315F">
      <w:pPr>
        <w:spacing w:line="240" w:lineRule="auto"/>
        <w:jc w:val="both"/>
        <w:rPr>
          <w:rFonts w:cs="Calibri"/>
          <w:bCs/>
          <w:iCs/>
        </w:rPr>
      </w:pPr>
      <w:r>
        <w:rPr>
          <w:rFonts w:cs="Calibri"/>
          <w:bCs/>
          <w:iCs/>
        </w:rPr>
        <w:t>D</w:t>
      </w:r>
      <w:r w:rsidRPr="00264445">
        <w:rPr>
          <w:rFonts w:cs="Calibri"/>
          <w:bCs/>
          <w:iCs/>
        </w:rPr>
        <w:t>užina sadašnjih biciklističkih površina predstavlja povećanje od 18.5% u odnosu na 2017. godinu i iznosi</w:t>
      </w:r>
      <w:r>
        <w:rPr>
          <w:rFonts w:cs="Calibri"/>
          <w:bCs/>
          <w:iCs/>
        </w:rPr>
        <w:t xml:space="preserve"> </w:t>
      </w:r>
      <w:r w:rsidRPr="00264445">
        <w:rPr>
          <w:rFonts w:cs="Calibri"/>
          <w:bCs/>
          <w:iCs/>
        </w:rPr>
        <w:t>471 km.</w:t>
      </w:r>
    </w:p>
    <w:p w14:paraId="34484950" w14:textId="1FBE508E" w:rsidR="00264445" w:rsidRDefault="00264445" w:rsidP="00C5315F">
      <w:pPr>
        <w:spacing w:line="240" w:lineRule="auto"/>
        <w:jc w:val="both"/>
        <w:rPr>
          <w:rFonts w:cs="Calibri"/>
          <w:bCs/>
          <w:iCs/>
        </w:rPr>
      </w:pPr>
      <w:r w:rsidRPr="00264445">
        <w:rPr>
          <w:rFonts w:cs="Calibri"/>
          <w:bCs/>
          <w:iCs/>
        </w:rPr>
        <w:t>U prvom kvartalu 2021. uspostavljena je "Aplikacija za snimanje i evidentiranje biciklističkih površina Grada Zagreba</w:t>
      </w:r>
      <w:r>
        <w:rPr>
          <w:rFonts w:cs="Calibri"/>
          <w:bCs/>
          <w:iCs/>
        </w:rPr>
        <w:t>“</w:t>
      </w:r>
      <w:r w:rsidR="00266E63">
        <w:rPr>
          <w:rFonts w:cs="Calibri"/>
          <w:bCs/>
          <w:iCs/>
        </w:rPr>
        <w:t xml:space="preserve"> kojom </w:t>
      </w:r>
      <w:r w:rsidRPr="00264445">
        <w:rPr>
          <w:rFonts w:cs="Calibri"/>
          <w:bCs/>
          <w:iCs/>
        </w:rPr>
        <w:t>se sustavno prati rekonstrukcija i izgradnja biciklističkih površina, a podaci su vidljivi u GIS programskom sustavu te na taj način dostupni svim zainteresiranim subjektima i građanima (Sl.1)</w:t>
      </w:r>
    </w:p>
    <w:p w14:paraId="632526A2" w14:textId="2FE56E11" w:rsidR="007A2522" w:rsidRDefault="007A2522" w:rsidP="007A2522">
      <w:pPr>
        <w:pStyle w:val="Opisslike"/>
        <w:rPr>
          <w:rFonts w:cs="Calibri"/>
          <w:bCs/>
          <w:iCs/>
        </w:rPr>
      </w:pPr>
      <w:r>
        <w:t xml:space="preserve">Slika </w:t>
      </w:r>
      <w:r w:rsidR="00751C19">
        <w:fldChar w:fldCharType="begin"/>
      </w:r>
      <w:r w:rsidR="00751C19">
        <w:instrText xml:space="preserve"> SEQ Slika \* ARABIC </w:instrText>
      </w:r>
      <w:r w:rsidR="00751C19">
        <w:fldChar w:fldCharType="separate"/>
      </w:r>
      <w:r w:rsidR="00ED75AB">
        <w:rPr>
          <w:noProof/>
        </w:rPr>
        <w:t>6</w:t>
      </w:r>
      <w:r w:rsidR="00751C19">
        <w:rPr>
          <w:noProof/>
        </w:rPr>
        <w:fldChar w:fldCharType="end"/>
      </w:r>
      <w:r>
        <w:t xml:space="preserve">. </w:t>
      </w:r>
      <w:r w:rsidRPr="00E21492">
        <w:t>Prikaz biciklističkih prometnica na ZG Geoportalu, 2021.</w:t>
      </w:r>
    </w:p>
    <w:p w14:paraId="4DC30A11" w14:textId="77777777" w:rsidR="007A2522" w:rsidRDefault="007A2522" w:rsidP="00C5315F">
      <w:pPr>
        <w:spacing w:line="240" w:lineRule="auto"/>
        <w:jc w:val="both"/>
        <w:rPr>
          <w:rFonts w:cs="Calibri"/>
          <w:bCs/>
          <w:iCs/>
        </w:rPr>
      </w:pPr>
    </w:p>
    <w:p w14:paraId="5C2C40D4" w14:textId="6EB9E8F0" w:rsidR="00264445" w:rsidRDefault="00264445" w:rsidP="00C5315F">
      <w:pPr>
        <w:spacing w:line="240" w:lineRule="auto"/>
        <w:jc w:val="both"/>
        <w:rPr>
          <w:rFonts w:cs="Calibri"/>
          <w:bCs/>
          <w:iCs/>
        </w:rPr>
      </w:pPr>
      <w:r>
        <w:rPr>
          <w:rFonts w:cs="Calibri"/>
          <w:bCs/>
          <w:iCs/>
          <w:noProof/>
        </w:rPr>
        <w:drawing>
          <wp:inline distT="0" distB="0" distL="0" distR="0" wp14:anchorId="1B488A28" wp14:editId="011A2164">
            <wp:extent cx="5807798" cy="2484000"/>
            <wp:effectExtent l="0" t="0" r="254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7798" cy="2484000"/>
                    </a:xfrm>
                    <a:prstGeom prst="rect">
                      <a:avLst/>
                    </a:prstGeom>
                    <a:noFill/>
                  </pic:spPr>
                </pic:pic>
              </a:graphicData>
            </a:graphic>
          </wp:inline>
        </w:drawing>
      </w:r>
    </w:p>
    <w:p w14:paraId="6D2A41B6" w14:textId="43E78C75" w:rsidR="00264445" w:rsidRDefault="00264445" w:rsidP="00C5315F">
      <w:pPr>
        <w:spacing w:line="240" w:lineRule="auto"/>
        <w:jc w:val="both"/>
        <w:rPr>
          <w:rFonts w:cs="Calibri"/>
          <w:bCs/>
          <w:iCs/>
        </w:rPr>
      </w:pPr>
      <w:r w:rsidRPr="00264445">
        <w:rPr>
          <w:rFonts w:cs="Calibri"/>
          <w:bCs/>
          <w:iCs/>
        </w:rPr>
        <w:t>U tijeku je i provedba projekta „Greenway – državna biciklistička ruta br.2“ kojim će se, gradnjom biciklističke prometnice koja prati tok rijeke Save, od granice s Republikom Slovenijom do Lijevog Dubrovčaka ukupne dužine 132 km, u narednom razdoblju znatno povećati dužina biciklističkih staza.</w:t>
      </w:r>
    </w:p>
    <w:p w14:paraId="25044CBB" w14:textId="55D55C9C" w:rsidR="00264445" w:rsidRDefault="00264445" w:rsidP="00264445">
      <w:pPr>
        <w:spacing w:line="240" w:lineRule="auto"/>
        <w:jc w:val="both"/>
        <w:rPr>
          <w:rFonts w:cs="Calibri"/>
          <w:bCs/>
          <w:iCs/>
        </w:rPr>
      </w:pPr>
      <w:r w:rsidRPr="00264445">
        <w:rPr>
          <w:rFonts w:cs="Calibri"/>
          <w:bCs/>
          <w:iCs/>
        </w:rPr>
        <w:t>Od 2016. uvodi se zajedničko prometovanje bicikala s ostalim vozilima (sharing) na kolniku, a u 2020. ukupna dužina takvih prometnica iznosi 35,42 km.</w:t>
      </w:r>
    </w:p>
    <w:p w14:paraId="754EB618" w14:textId="46DC0996" w:rsidR="00855CE7" w:rsidRDefault="00855CE7" w:rsidP="00264445">
      <w:pPr>
        <w:spacing w:line="240" w:lineRule="auto"/>
        <w:jc w:val="both"/>
        <w:rPr>
          <w:rFonts w:cs="Calibri"/>
          <w:bCs/>
          <w:iCs/>
        </w:rPr>
      </w:pPr>
      <w:r w:rsidRPr="00855CE7">
        <w:rPr>
          <w:rFonts w:cs="Calibri"/>
          <w:bCs/>
          <w:iCs/>
        </w:rPr>
        <w:t>Do kraja 2020. godine, na području Grada Zagreba, postavljeno je 1.407 stalaka na 209 lokacija za bicikle što omogućava parkiranje 2.794 bicikala.</w:t>
      </w:r>
      <w:r w:rsidR="00866EFB">
        <w:rPr>
          <w:rFonts w:cs="Calibri"/>
          <w:bCs/>
          <w:iCs/>
        </w:rPr>
        <w:t xml:space="preserve"> </w:t>
      </w:r>
      <w:r w:rsidR="00866EFB" w:rsidRPr="00866EFB">
        <w:rPr>
          <w:rFonts w:cs="Calibri"/>
          <w:bCs/>
          <w:iCs/>
        </w:rPr>
        <w:t>Na Google maps-u nalazi se popis svih lokacija za parkiranje bicikala</w:t>
      </w:r>
      <w:r w:rsidR="00866EFB">
        <w:rPr>
          <w:rFonts w:cs="Calibri"/>
          <w:bCs/>
          <w:iCs/>
        </w:rPr>
        <w:t xml:space="preserve">, </w:t>
      </w:r>
      <w:r w:rsidR="00866EFB" w:rsidRPr="00866EFB">
        <w:rPr>
          <w:rFonts w:cs="Calibri"/>
          <w:bCs/>
          <w:iCs/>
        </w:rPr>
        <w:t>a od</w:t>
      </w:r>
      <w:r w:rsidR="00866EFB">
        <w:rPr>
          <w:rFonts w:cs="Calibri"/>
          <w:bCs/>
          <w:iCs/>
        </w:rPr>
        <w:t xml:space="preserve"> </w:t>
      </w:r>
      <w:r w:rsidR="00866EFB" w:rsidRPr="00866EFB">
        <w:rPr>
          <w:rFonts w:cs="Calibri"/>
          <w:bCs/>
          <w:iCs/>
        </w:rPr>
        <w:t xml:space="preserve">siječnja 2020. </w:t>
      </w:r>
      <w:r w:rsidR="00866EFB">
        <w:rPr>
          <w:rFonts w:cs="Calibri"/>
          <w:bCs/>
          <w:iCs/>
        </w:rPr>
        <w:t>k</w:t>
      </w:r>
      <w:r w:rsidR="00866EFB" w:rsidRPr="00866EFB">
        <w:rPr>
          <w:rFonts w:cs="Calibri"/>
          <w:bCs/>
          <w:iCs/>
        </w:rPr>
        <w:t>arti se može pristupiti i putem aplikacije za mobilne telefone MOJ ZAGREB</w:t>
      </w:r>
      <w:r w:rsidR="00866EFB">
        <w:rPr>
          <w:rFonts w:cs="Calibri"/>
          <w:bCs/>
          <w:iCs/>
        </w:rPr>
        <w:t>.</w:t>
      </w:r>
    </w:p>
    <w:p w14:paraId="30304EB3" w14:textId="3A4EF86E" w:rsidR="005F4014" w:rsidRDefault="005F4014" w:rsidP="00264445">
      <w:pPr>
        <w:spacing w:line="240" w:lineRule="auto"/>
        <w:jc w:val="both"/>
        <w:rPr>
          <w:rFonts w:cs="Calibri"/>
          <w:bCs/>
          <w:iCs/>
        </w:rPr>
      </w:pPr>
      <w:r w:rsidRPr="005F4014">
        <w:rPr>
          <w:rFonts w:cs="Calibri"/>
          <w:bCs/>
          <w:iCs/>
        </w:rPr>
        <w:t>Za razvoj biciklističkog prometa, osim infrastrukture, gotovo su jednako važne edukacija i promocija upotrebe bicikla u svakodnevnom životu, s ciljem mijenjanja ustajalih navika,  i uvođenja novih načina prometovanja kroz grad i očuvanja okoliša. Grad Zagreb je nositelj sustavnog procesa edukacija i promocija, ali i suorganizator aktivnosti u kojima surađuje s mnogobrojnim institucijama kao što su, MUP, PUZ, Osnovne škole, Dječji vrtići te nevladinim sektorom, udrugama građana i biciklističkim klubovima.</w:t>
      </w:r>
    </w:p>
    <w:p w14:paraId="6B6A4672" w14:textId="1DB6CDEF" w:rsidR="00C5315F" w:rsidRDefault="00376901" w:rsidP="00C5315F">
      <w:pPr>
        <w:spacing w:after="0" w:line="240" w:lineRule="auto"/>
        <w:jc w:val="both"/>
      </w:pPr>
      <w:bookmarkStart w:id="122" w:name="_Hlk97121643"/>
      <w:r w:rsidRPr="00376901">
        <w:rPr>
          <w:rFonts w:cs="Calibri"/>
          <w:b/>
          <w:bCs/>
          <w:iCs/>
        </w:rPr>
        <w:t xml:space="preserve">Sigurnost u prometu. </w:t>
      </w:r>
      <w:bookmarkEnd w:id="122"/>
      <w:r w:rsidRPr="00376901">
        <w:rPr>
          <w:rFonts w:cs="Calibri"/>
          <w:iCs/>
        </w:rPr>
        <w:t>Temeljem Izvješća</w:t>
      </w:r>
      <w:r w:rsidRPr="00A33E06" w:rsidDel="00376901">
        <w:rPr>
          <w:rFonts w:cs="Calibri"/>
          <w:b/>
          <w:bCs/>
          <w:iCs/>
        </w:rPr>
        <w:t xml:space="preserve"> </w:t>
      </w:r>
      <w:r w:rsidR="00C5315F" w:rsidRPr="00207642">
        <w:rPr>
          <w:rFonts w:cs="Calibri"/>
          <w:iCs/>
        </w:rPr>
        <w:t>o stanju i kretanju sigurnosnih pokazatelja u radu</w:t>
      </w:r>
      <w:r w:rsidR="00C5315F">
        <w:rPr>
          <w:rFonts w:cs="Calibri"/>
          <w:iCs/>
        </w:rPr>
        <w:t xml:space="preserve"> </w:t>
      </w:r>
      <w:r w:rsidR="00C5315F" w:rsidRPr="00207642">
        <w:rPr>
          <w:rFonts w:cs="Calibri"/>
          <w:iCs/>
        </w:rPr>
        <w:t xml:space="preserve">Policijske uprave zagrebačke u 2018. godini </w:t>
      </w:r>
      <w:r w:rsidR="00C5315F">
        <w:rPr>
          <w:rFonts w:cs="Calibri"/>
          <w:iCs/>
        </w:rPr>
        <w:t xml:space="preserve"> </w:t>
      </w:r>
      <w:r w:rsidR="00C5315F">
        <w:t xml:space="preserve">na području PU zagrebačke zabilježeno je </w:t>
      </w:r>
      <w:r w:rsidR="00C5315F" w:rsidRPr="00F32590">
        <w:t>7.833 prometne nesreće</w:t>
      </w:r>
      <w:r w:rsidR="00C5315F">
        <w:t xml:space="preserve"> što je 549 nesreća ili 6,5% manje u odnosu na 2017. godinu kada je 8.382 prometne nesreće. Poginulo je 55 osoba u Gradu Zagrebu i u Zagrebačkoj županiji: </w:t>
      </w:r>
    </w:p>
    <w:p w14:paraId="671D6D49" w14:textId="77777777" w:rsidR="00C5315F" w:rsidRDefault="00C5315F" w:rsidP="00165C16">
      <w:pPr>
        <w:numPr>
          <w:ilvl w:val="0"/>
          <w:numId w:val="33"/>
        </w:numPr>
        <w:spacing w:after="0" w:line="240" w:lineRule="auto"/>
        <w:jc w:val="both"/>
      </w:pPr>
      <w:r>
        <w:t>u Gradu Zagrebu poginule su 23 osobe (4 manje u odnosu na 2017.) i</w:t>
      </w:r>
    </w:p>
    <w:p w14:paraId="6EF67CAF" w14:textId="77777777" w:rsidR="00C5315F" w:rsidRDefault="00C5315F" w:rsidP="00165C16">
      <w:pPr>
        <w:numPr>
          <w:ilvl w:val="0"/>
          <w:numId w:val="33"/>
        </w:numPr>
        <w:spacing w:after="0" w:line="240" w:lineRule="auto"/>
        <w:jc w:val="both"/>
      </w:pPr>
      <w:r>
        <w:t>u Zagrebačkoj županiji poginule su 32 osobe (11 više u odnosu na 2017.)</w:t>
      </w:r>
    </w:p>
    <w:p w14:paraId="011A2663" w14:textId="77777777" w:rsidR="00C5315F" w:rsidRDefault="00C5315F" w:rsidP="00C5315F">
      <w:pPr>
        <w:spacing w:after="0" w:line="240" w:lineRule="auto"/>
        <w:jc w:val="both"/>
      </w:pPr>
      <w:r>
        <w:t>Ukupno je ozlijeđeno 2.947 osoba – 294 osoba ili 9,1 posto manje u odnosu na 2017.:</w:t>
      </w:r>
    </w:p>
    <w:p w14:paraId="633F4B27" w14:textId="77777777" w:rsidR="00C5315F" w:rsidRDefault="00C5315F" w:rsidP="00165C16">
      <w:pPr>
        <w:numPr>
          <w:ilvl w:val="0"/>
          <w:numId w:val="34"/>
        </w:numPr>
        <w:spacing w:after="0" w:line="240" w:lineRule="auto"/>
        <w:jc w:val="both"/>
      </w:pPr>
      <w:r>
        <w:t xml:space="preserve">teško je ozlijeđeno 420 osoba – 13 osoba ili 3,0 posto manje u odnosu na 2017. </w:t>
      </w:r>
    </w:p>
    <w:p w14:paraId="0E32F0F0" w14:textId="77777777" w:rsidR="00C5315F" w:rsidRDefault="00C5315F" w:rsidP="00165C16">
      <w:pPr>
        <w:numPr>
          <w:ilvl w:val="0"/>
          <w:numId w:val="34"/>
        </w:numPr>
        <w:spacing w:after="0" w:line="240" w:lineRule="auto"/>
        <w:jc w:val="both"/>
      </w:pPr>
      <w:r>
        <w:t xml:space="preserve">lakše je ozlijeđeno 2.527 osoba – 281 osoba ili 10,0 % manje u odnosu na 2017. </w:t>
      </w:r>
    </w:p>
    <w:p w14:paraId="5351D6FE" w14:textId="77777777" w:rsidR="00C5315F" w:rsidRDefault="00C5315F" w:rsidP="00C5315F">
      <w:pPr>
        <w:spacing w:after="0" w:line="240" w:lineRule="auto"/>
        <w:jc w:val="both"/>
      </w:pPr>
    </w:p>
    <w:p w14:paraId="7732920E" w14:textId="765F3CF3" w:rsidR="00376901" w:rsidRPr="00376901" w:rsidRDefault="00C5315F" w:rsidP="00376901">
      <w:pPr>
        <w:spacing w:after="0" w:line="240" w:lineRule="auto"/>
        <w:jc w:val="both"/>
      </w:pPr>
      <w:r>
        <w:t>Bilježimo dakle ukupno manji broj nesreća, među kojima je manji broj prometnih nesreća s ozlijeđenim osobama ali je veći broj prometnih nesreća s poginulim. Od 7.833 prometne nesreće, 50 nesreća bilo je s poginulim (6,4 posto više nesreća u odnosu na 2017. godinu), a 2.247 nesreća bile su s ozlijeđenim osobama (9,9 posto manje nesreća). Zbog brzine neprimjerene uvjetima i nepropisne brzine dogodilo se 1.438 prometnih nesreća ili 18,4 posto svih nesreća, u kojima su 24 osobe poginule, a 891 je ozlijeđena (2017. godine – 1.482 nesreće, 11 poginulih i 953 ozlijeđene osobe). Najviše nesreća (4.017 ili 51,3 posto svih nesreća) posljedica je međusobnih sudara vozila u pokretu. Najbrojniji su bočni sudari (1.824 ili 23,3 posto svih nesreća).</w:t>
      </w:r>
      <w:r w:rsidR="00376901" w:rsidRPr="00376901">
        <w:t xml:space="preserve"> Vezano uz promjene Zakona o sigurnosti prometa na cestama (NN 67/08, 48/10, 74/11, 80/13, 158/13, 92/14, 64/15, 108/17, 70/19, 42/20), izmjene i dopune istog su u saborskoj proceduri. Svakodnevno svjedočimo činjenici da u prometu na cestama sve više sudjeluju različita vozila koja se pokreću na električni pogon (električni romobili, monocikli i dr.), a koja se ne mogu podvesti pod druge kategorije vozila bez dodatnog normiranja niti su vozači takvih vozila prekršajno odgovorni kada upravljaju istima u prometu na cestama. Zato je važno zakonom urediti sudjelovanje takvih vozila u prometu.</w:t>
      </w:r>
    </w:p>
    <w:p w14:paraId="05B1A3C5" w14:textId="6A1A0DEE" w:rsidR="00C5315F" w:rsidRDefault="00C5315F" w:rsidP="00C5315F">
      <w:pPr>
        <w:spacing w:after="0" w:line="240" w:lineRule="auto"/>
        <w:jc w:val="both"/>
      </w:pPr>
    </w:p>
    <w:p w14:paraId="0AE479B6" w14:textId="77777777" w:rsidR="00C5315F" w:rsidRDefault="00C5315F" w:rsidP="00C5315F">
      <w:pPr>
        <w:spacing w:after="0" w:line="240" w:lineRule="auto"/>
        <w:jc w:val="both"/>
      </w:pPr>
    </w:p>
    <w:p w14:paraId="7A1DF6FB" w14:textId="03230947" w:rsidR="00C5315F" w:rsidRPr="00F32590" w:rsidRDefault="00682389"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25</w:t>
      </w:r>
      <w:r w:rsidR="00751C19">
        <w:rPr>
          <w:noProof/>
        </w:rPr>
        <w:fldChar w:fldCharType="end"/>
      </w:r>
      <w:r>
        <w:t xml:space="preserve">. </w:t>
      </w:r>
      <w:r w:rsidRPr="00823DD4">
        <w:t>Najugroženije prometnice u Gradu Zagrebu</w:t>
      </w:r>
    </w:p>
    <w:tbl>
      <w:tblPr>
        <w:tblW w:w="0" w:type="auto"/>
        <w:tblInd w:w="194" w:type="dxa"/>
        <w:tblLayout w:type="fixed"/>
        <w:tblCellMar>
          <w:left w:w="10" w:type="dxa"/>
          <w:right w:w="10" w:type="dxa"/>
        </w:tblCellMar>
        <w:tblLook w:val="04A0" w:firstRow="1" w:lastRow="0" w:firstColumn="1" w:lastColumn="0" w:noHBand="0" w:noVBand="1"/>
      </w:tblPr>
      <w:tblGrid>
        <w:gridCol w:w="3136"/>
        <w:gridCol w:w="881"/>
        <w:gridCol w:w="877"/>
        <w:gridCol w:w="731"/>
        <w:gridCol w:w="731"/>
        <w:gridCol w:w="877"/>
        <w:gridCol w:w="874"/>
      </w:tblGrid>
      <w:tr w:rsidR="00C5315F" w14:paraId="5CEF5DA6" w14:textId="77777777" w:rsidTr="00072476">
        <w:trPr>
          <w:cantSplit/>
          <w:trHeight w:hRule="exact" w:val="207"/>
        </w:trPr>
        <w:tc>
          <w:tcPr>
            <w:tcW w:w="3136" w:type="dxa"/>
            <w:vMerge w:val="restart"/>
            <w:tcBorders>
              <w:top w:val="single" w:sz="5" w:space="0" w:color="000000"/>
              <w:left w:val="single" w:sz="5" w:space="0" w:color="000000"/>
              <w:right w:val="single" w:sz="11" w:space="0" w:color="000000"/>
            </w:tcBorders>
            <w:shd w:val="clear" w:color="auto" w:fill="F2F2F2"/>
            <w:tcMar>
              <w:top w:w="0" w:type="dxa"/>
              <w:left w:w="0" w:type="dxa"/>
              <w:bottom w:w="0" w:type="dxa"/>
              <w:right w:w="0" w:type="dxa"/>
            </w:tcMar>
          </w:tcPr>
          <w:p w14:paraId="6A990067" w14:textId="77777777" w:rsidR="00C5315F" w:rsidRDefault="00C5315F" w:rsidP="00072476">
            <w:pPr>
              <w:spacing w:before="106" w:after="0" w:line="240" w:lineRule="auto"/>
              <w:ind w:left="153" w:right="-20"/>
              <w:rPr>
                <w:rFonts w:ascii="Times New Roman" w:eastAsia="Times New Roman" w:hAnsi="Times New Roman"/>
                <w:color w:val="000000"/>
                <w:spacing w:val="3"/>
                <w:w w:val="115"/>
                <w:sz w:val="18"/>
                <w:szCs w:val="18"/>
              </w:rPr>
            </w:pPr>
            <w:r>
              <w:rPr>
                <w:rFonts w:ascii="Times New Roman" w:eastAsia="Times New Roman" w:hAnsi="Times New Roman"/>
                <w:color w:val="000000"/>
                <w:spacing w:val="-1"/>
                <w:w w:val="106"/>
                <w:sz w:val="18"/>
                <w:szCs w:val="18"/>
              </w:rPr>
              <w:t>N</w:t>
            </w:r>
            <w:r>
              <w:rPr>
                <w:rFonts w:ascii="Times New Roman" w:eastAsia="Times New Roman" w:hAnsi="Times New Roman"/>
                <w:color w:val="000000"/>
                <w:spacing w:val="1"/>
                <w:w w:val="106"/>
                <w:sz w:val="18"/>
                <w:szCs w:val="18"/>
              </w:rPr>
              <w:t>A</w:t>
            </w:r>
            <w:r>
              <w:rPr>
                <w:rFonts w:ascii="Times New Roman" w:eastAsia="Times New Roman" w:hAnsi="Times New Roman"/>
                <w:color w:val="000000"/>
                <w:sz w:val="18"/>
                <w:szCs w:val="18"/>
              </w:rPr>
              <w:t>J</w:t>
            </w:r>
            <w:r>
              <w:rPr>
                <w:rFonts w:ascii="Times New Roman" w:eastAsia="Times New Roman" w:hAnsi="Times New Roman"/>
                <w:color w:val="000000"/>
                <w:w w:val="106"/>
                <w:sz w:val="18"/>
                <w:szCs w:val="18"/>
              </w:rPr>
              <w:t>U</w:t>
            </w:r>
            <w:r>
              <w:rPr>
                <w:rFonts w:ascii="Times New Roman" w:eastAsia="Times New Roman" w:hAnsi="Times New Roman"/>
                <w:color w:val="000000"/>
                <w:spacing w:val="4"/>
                <w:w w:val="114"/>
                <w:sz w:val="18"/>
                <w:szCs w:val="18"/>
              </w:rPr>
              <w:t>G</w:t>
            </w:r>
            <w:r>
              <w:rPr>
                <w:rFonts w:ascii="Times New Roman" w:eastAsia="Times New Roman" w:hAnsi="Times New Roman"/>
                <w:color w:val="000000"/>
                <w:w w:val="114"/>
                <w:sz w:val="18"/>
                <w:szCs w:val="18"/>
              </w:rPr>
              <w:t>R</w:t>
            </w:r>
            <w:r>
              <w:rPr>
                <w:rFonts w:ascii="Times New Roman" w:eastAsia="Times New Roman" w:hAnsi="Times New Roman"/>
                <w:color w:val="000000"/>
                <w:spacing w:val="4"/>
                <w:w w:val="114"/>
                <w:sz w:val="18"/>
                <w:szCs w:val="18"/>
              </w:rPr>
              <w:t>O</w:t>
            </w:r>
            <w:r>
              <w:rPr>
                <w:rFonts w:ascii="Times New Roman" w:eastAsia="Times New Roman" w:hAnsi="Times New Roman"/>
                <w:color w:val="000000"/>
                <w:spacing w:val="-8"/>
                <w:w w:val="105"/>
                <w:sz w:val="18"/>
                <w:szCs w:val="18"/>
              </w:rPr>
              <w:t>Ž</w:t>
            </w:r>
            <w:r>
              <w:rPr>
                <w:rFonts w:ascii="Times New Roman" w:eastAsia="Times New Roman" w:hAnsi="Times New Roman"/>
                <w:color w:val="000000"/>
                <w:spacing w:val="-6"/>
                <w:w w:val="115"/>
                <w:sz w:val="18"/>
                <w:szCs w:val="18"/>
              </w:rPr>
              <w:t>E</w:t>
            </w:r>
            <w:r>
              <w:rPr>
                <w:rFonts w:ascii="Times New Roman" w:eastAsia="Times New Roman" w:hAnsi="Times New Roman"/>
                <w:color w:val="000000"/>
                <w:spacing w:val="-1"/>
                <w:w w:val="106"/>
                <w:sz w:val="18"/>
                <w:szCs w:val="18"/>
              </w:rPr>
              <w:t>N</w:t>
            </w:r>
            <w:r>
              <w:rPr>
                <w:rFonts w:ascii="Times New Roman" w:eastAsia="Times New Roman" w:hAnsi="Times New Roman"/>
                <w:color w:val="000000"/>
                <w:spacing w:val="12"/>
                <w:w w:val="88"/>
                <w:sz w:val="18"/>
                <w:szCs w:val="18"/>
              </w:rPr>
              <w:t>I</w:t>
            </w:r>
            <w:r>
              <w:rPr>
                <w:rFonts w:ascii="Times New Roman" w:eastAsia="Times New Roman" w:hAnsi="Times New Roman"/>
                <w:color w:val="000000"/>
                <w:spacing w:val="1"/>
                <w:sz w:val="18"/>
                <w:szCs w:val="18"/>
              </w:rPr>
              <w:t>J</w:t>
            </w:r>
            <w:r>
              <w:rPr>
                <w:rFonts w:ascii="Times New Roman" w:eastAsia="Times New Roman" w:hAnsi="Times New Roman"/>
                <w:color w:val="000000"/>
                <w:spacing w:val="5"/>
                <w:w w:val="115"/>
                <w:sz w:val="18"/>
                <w:szCs w:val="18"/>
              </w:rPr>
              <w:t>E</w:t>
            </w:r>
            <w:r>
              <w:rPr>
                <w:rFonts w:ascii="Times New Roman" w:eastAsia="Times New Roman" w:hAnsi="Times New Roman"/>
                <w:color w:val="000000"/>
                <w:spacing w:val="3"/>
                <w:sz w:val="18"/>
                <w:szCs w:val="18"/>
              </w:rPr>
              <w:t xml:space="preserve"> </w:t>
            </w:r>
            <w:r>
              <w:rPr>
                <w:rFonts w:ascii="Times New Roman" w:eastAsia="Times New Roman" w:hAnsi="Times New Roman"/>
                <w:color w:val="000000"/>
                <w:spacing w:val="8"/>
                <w:sz w:val="18"/>
                <w:szCs w:val="18"/>
              </w:rPr>
              <w:t>P</w:t>
            </w:r>
            <w:r>
              <w:rPr>
                <w:rFonts w:ascii="Times New Roman" w:eastAsia="Times New Roman" w:hAnsi="Times New Roman"/>
                <w:color w:val="000000"/>
                <w:w w:val="114"/>
                <w:sz w:val="18"/>
                <w:szCs w:val="18"/>
              </w:rPr>
              <w:t>R</w:t>
            </w:r>
            <w:r>
              <w:rPr>
                <w:rFonts w:ascii="Times New Roman" w:eastAsia="Times New Roman" w:hAnsi="Times New Roman"/>
                <w:color w:val="000000"/>
                <w:spacing w:val="2"/>
                <w:w w:val="114"/>
                <w:sz w:val="18"/>
                <w:szCs w:val="18"/>
              </w:rPr>
              <w:t>O</w:t>
            </w:r>
            <w:r>
              <w:rPr>
                <w:rFonts w:ascii="Times New Roman" w:eastAsia="Times New Roman" w:hAnsi="Times New Roman"/>
                <w:color w:val="000000"/>
                <w:spacing w:val="3"/>
                <w:w w:val="99"/>
                <w:sz w:val="18"/>
                <w:szCs w:val="18"/>
              </w:rPr>
              <w:t>M</w:t>
            </w:r>
            <w:r>
              <w:rPr>
                <w:rFonts w:ascii="Times New Roman" w:eastAsia="Times New Roman" w:hAnsi="Times New Roman"/>
                <w:color w:val="000000"/>
                <w:spacing w:val="-5"/>
                <w:w w:val="115"/>
                <w:sz w:val="18"/>
                <w:szCs w:val="18"/>
              </w:rPr>
              <w:t>E</w:t>
            </w:r>
            <w:r>
              <w:rPr>
                <w:rFonts w:ascii="Times New Roman" w:eastAsia="Times New Roman" w:hAnsi="Times New Roman"/>
                <w:color w:val="000000"/>
                <w:spacing w:val="3"/>
                <w:w w:val="105"/>
                <w:sz w:val="18"/>
                <w:szCs w:val="18"/>
              </w:rPr>
              <w:t>T</w:t>
            </w:r>
            <w:r>
              <w:rPr>
                <w:rFonts w:ascii="Times New Roman" w:eastAsia="Times New Roman" w:hAnsi="Times New Roman"/>
                <w:color w:val="000000"/>
                <w:spacing w:val="-3"/>
                <w:w w:val="106"/>
                <w:sz w:val="18"/>
                <w:szCs w:val="18"/>
              </w:rPr>
              <w:t>N</w:t>
            </w:r>
            <w:r>
              <w:rPr>
                <w:rFonts w:ascii="Times New Roman" w:eastAsia="Times New Roman" w:hAnsi="Times New Roman"/>
                <w:color w:val="000000"/>
                <w:spacing w:val="10"/>
                <w:w w:val="88"/>
                <w:sz w:val="18"/>
                <w:szCs w:val="18"/>
              </w:rPr>
              <w:t>I</w:t>
            </w:r>
            <w:r>
              <w:rPr>
                <w:rFonts w:ascii="Times New Roman" w:eastAsia="Times New Roman" w:hAnsi="Times New Roman"/>
                <w:color w:val="000000"/>
                <w:spacing w:val="-2"/>
                <w:w w:val="114"/>
                <w:sz w:val="18"/>
                <w:szCs w:val="18"/>
              </w:rPr>
              <w:t>C</w:t>
            </w:r>
            <w:r>
              <w:rPr>
                <w:rFonts w:ascii="Times New Roman" w:eastAsia="Times New Roman" w:hAnsi="Times New Roman"/>
                <w:color w:val="000000"/>
                <w:spacing w:val="3"/>
                <w:w w:val="115"/>
                <w:sz w:val="18"/>
                <w:szCs w:val="18"/>
              </w:rPr>
              <w:t>E</w:t>
            </w:r>
          </w:p>
        </w:tc>
        <w:tc>
          <w:tcPr>
            <w:tcW w:w="1758" w:type="dxa"/>
            <w:gridSpan w:val="2"/>
            <w:tcBorders>
              <w:top w:val="single" w:sz="5" w:space="0" w:color="000000"/>
              <w:left w:val="single" w:sz="11" w:space="0" w:color="000000"/>
              <w:bottom w:val="single" w:sz="5" w:space="0" w:color="000000"/>
              <w:right w:val="single" w:sz="5" w:space="0" w:color="000000"/>
            </w:tcBorders>
            <w:shd w:val="clear" w:color="auto" w:fill="F2F2F2"/>
            <w:tcMar>
              <w:top w:w="0" w:type="dxa"/>
              <w:left w:w="0" w:type="dxa"/>
              <w:bottom w:w="0" w:type="dxa"/>
              <w:right w:w="0" w:type="dxa"/>
            </w:tcMar>
          </w:tcPr>
          <w:p w14:paraId="0AB16E20" w14:textId="77777777" w:rsidR="00C5315F" w:rsidRDefault="00C5315F" w:rsidP="00072476">
            <w:pPr>
              <w:spacing w:before="2" w:after="0" w:line="237" w:lineRule="auto"/>
              <w:ind w:left="424" w:right="-20"/>
              <w:rPr>
                <w:rFonts w:ascii="Times New Roman" w:eastAsia="Times New Roman" w:hAnsi="Times New Roman"/>
                <w:color w:val="000000"/>
                <w:spacing w:val="4"/>
                <w:w w:val="115"/>
                <w:sz w:val="18"/>
                <w:szCs w:val="18"/>
              </w:rPr>
            </w:pPr>
            <w:r>
              <w:rPr>
                <w:rFonts w:ascii="Times New Roman" w:eastAsia="Times New Roman" w:hAnsi="Times New Roman"/>
                <w:color w:val="000000"/>
                <w:spacing w:val="-2"/>
                <w:w w:val="106"/>
                <w:sz w:val="18"/>
                <w:szCs w:val="18"/>
              </w:rPr>
              <w:t>N</w:t>
            </w:r>
            <w:r>
              <w:rPr>
                <w:rFonts w:ascii="Times New Roman" w:eastAsia="Times New Roman" w:hAnsi="Times New Roman"/>
                <w:color w:val="000000"/>
                <w:spacing w:val="10"/>
                <w:w w:val="115"/>
                <w:sz w:val="18"/>
                <w:szCs w:val="18"/>
              </w:rPr>
              <w:t>E</w:t>
            </w:r>
            <w:r>
              <w:rPr>
                <w:rFonts w:ascii="Times New Roman" w:eastAsia="Times New Roman" w:hAnsi="Times New Roman"/>
                <w:color w:val="000000"/>
                <w:spacing w:val="7"/>
                <w:sz w:val="18"/>
                <w:szCs w:val="18"/>
              </w:rPr>
              <w:t>S</w:t>
            </w:r>
            <w:r>
              <w:rPr>
                <w:rFonts w:ascii="Times New Roman" w:eastAsia="Times New Roman" w:hAnsi="Times New Roman"/>
                <w:color w:val="000000"/>
                <w:spacing w:val="-1"/>
                <w:w w:val="114"/>
                <w:sz w:val="18"/>
                <w:szCs w:val="18"/>
              </w:rPr>
              <w:t>R</w:t>
            </w:r>
            <w:r>
              <w:rPr>
                <w:rFonts w:ascii="Times New Roman" w:eastAsia="Times New Roman" w:hAnsi="Times New Roman"/>
                <w:color w:val="000000"/>
                <w:spacing w:val="9"/>
                <w:w w:val="115"/>
                <w:sz w:val="18"/>
                <w:szCs w:val="18"/>
              </w:rPr>
              <w:t>E</w:t>
            </w:r>
            <w:r>
              <w:rPr>
                <w:rFonts w:ascii="Times New Roman" w:eastAsia="Times New Roman" w:hAnsi="Times New Roman"/>
                <w:color w:val="000000"/>
                <w:spacing w:val="-1"/>
                <w:w w:val="114"/>
                <w:sz w:val="18"/>
                <w:szCs w:val="18"/>
              </w:rPr>
              <w:t>Ć</w:t>
            </w:r>
            <w:r>
              <w:rPr>
                <w:rFonts w:ascii="Times New Roman" w:eastAsia="Times New Roman" w:hAnsi="Times New Roman"/>
                <w:color w:val="000000"/>
                <w:spacing w:val="4"/>
                <w:w w:val="115"/>
                <w:sz w:val="18"/>
                <w:szCs w:val="18"/>
              </w:rPr>
              <w:t>E</w:t>
            </w:r>
          </w:p>
        </w:tc>
        <w:tc>
          <w:tcPr>
            <w:tcW w:w="1462" w:type="dxa"/>
            <w:gridSpan w:val="2"/>
            <w:tcBorders>
              <w:top w:val="single" w:sz="5" w:space="0" w:color="000000"/>
              <w:left w:val="single" w:sz="5" w:space="0" w:color="000000"/>
              <w:bottom w:val="single" w:sz="5" w:space="0" w:color="000000"/>
              <w:right w:val="single" w:sz="5" w:space="0" w:color="000000"/>
            </w:tcBorders>
            <w:shd w:val="clear" w:color="auto" w:fill="F2F2F2"/>
            <w:tcMar>
              <w:top w:w="0" w:type="dxa"/>
              <w:left w:w="0" w:type="dxa"/>
              <w:bottom w:w="0" w:type="dxa"/>
              <w:right w:w="0" w:type="dxa"/>
            </w:tcMar>
          </w:tcPr>
          <w:p w14:paraId="53DA7B05" w14:textId="77777777" w:rsidR="00C5315F" w:rsidRDefault="00C5315F" w:rsidP="00072476">
            <w:pPr>
              <w:spacing w:before="2" w:after="0" w:line="237" w:lineRule="auto"/>
              <w:ind w:left="245" w:right="-20"/>
              <w:rPr>
                <w:rFonts w:ascii="Times New Roman" w:eastAsia="Times New Roman" w:hAnsi="Times New Roman"/>
                <w:color w:val="000000"/>
                <w:spacing w:val="3"/>
                <w:w w:val="114"/>
                <w:sz w:val="18"/>
                <w:szCs w:val="18"/>
              </w:rPr>
            </w:pPr>
            <w:r>
              <w:rPr>
                <w:rFonts w:ascii="Times New Roman" w:eastAsia="Times New Roman" w:hAnsi="Times New Roman"/>
                <w:color w:val="000000"/>
                <w:spacing w:val="7"/>
                <w:sz w:val="18"/>
                <w:szCs w:val="18"/>
              </w:rPr>
              <w:t>P</w:t>
            </w:r>
            <w:r>
              <w:rPr>
                <w:rFonts w:ascii="Times New Roman" w:eastAsia="Times New Roman" w:hAnsi="Times New Roman"/>
                <w:color w:val="000000"/>
                <w:spacing w:val="2"/>
                <w:w w:val="114"/>
                <w:sz w:val="18"/>
                <w:szCs w:val="18"/>
              </w:rPr>
              <w:t>OG</w:t>
            </w:r>
            <w:r>
              <w:rPr>
                <w:rFonts w:ascii="Times New Roman" w:eastAsia="Times New Roman" w:hAnsi="Times New Roman"/>
                <w:color w:val="000000"/>
                <w:spacing w:val="-6"/>
                <w:w w:val="88"/>
                <w:sz w:val="18"/>
                <w:szCs w:val="18"/>
              </w:rPr>
              <w:t>I</w:t>
            </w:r>
            <w:r>
              <w:rPr>
                <w:rFonts w:ascii="Times New Roman" w:eastAsia="Times New Roman" w:hAnsi="Times New Roman"/>
                <w:color w:val="000000"/>
                <w:spacing w:val="-1"/>
                <w:w w:val="106"/>
                <w:sz w:val="18"/>
                <w:szCs w:val="18"/>
              </w:rPr>
              <w:t>N</w:t>
            </w:r>
            <w:r>
              <w:rPr>
                <w:rFonts w:ascii="Times New Roman" w:eastAsia="Times New Roman" w:hAnsi="Times New Roman"/>
                <w:color w:val="000000"/>
                <w:spacing w:val="-3"/>
                <w:w w:val="106"/>
                <w:sz w:val="18"/>
                <w:szCs w:val="18"/>
              </w:rPr>
              <w:t>U</w:t>
            </w:r>
            <w:r>
              <w:rPr>
                <w:rFonts w:ascii="Times New Roman" w:eastAsia="Times New Roman" w:hAnsi="Times New Roman"/>
                <w:color w:val="000000"/>
                <w:spacing w:val="-2"/>
                <w:w w:val="96"/>
                <w:sz w:val="18"/>
                <w:szCs w:val="18"/>
              </w:rPr>
              <w:t>L</w:t>
            </w:r>
            <w:r>
              <w:rPr>
                <w:rFonts w:ascii="Times New Roman" w:eastAsia="Times New Roman" w:hAnsi="Times New Roman"/>
                <w:color w:val="000000"/>
                <w:spacing w:val="3"/>
                <w:w w:val="114"/>
                <w:sz w:val="18"/>
                <w:szCs w:val="18"/>
              </w:rPr>
              <w:t>O</w:t>
            </w:r>
          </w:p>
        </w:tc>
        <w:tc>
          <w:tcPr>
            <w:tcW w:w="1751" w:type="dxa"/>
            <w:gridSpan w:val="2"/>
            <w:tcBorders>
              <w:top w:val="single" w:sz="5" w:space="0" w:color="000000"/>
              <w:left w:val="single" w:sz="5" w:space="0" w:color="000000"/>
              <w:bottom w:val="single" w:sz="5" w:space="0" w:color="000000"/>
              <w:right w:val="single" w:sz="11" w:space="0" w:color="000000"/>
            </w:tcBorders>
            <w:shd w:val="clear" w:color="auto" w:fill="F2F2F2"/>
            <w:tcMar>
              <w:top w:w="0" w:type="dxa"/>
              <w:left w:w="0" w:type="dxa"/>
              <w:bottom w:w="0" w:type="dxa"/>
              <w:right w:w="0" w:type="dxa"/>
            </w:tcMar>
          </w:tcPr>
          <w:p w14:paraId="7FAE4DE6" w14:textId="77777777" w:rsidR="00C5315F" w:rsidRDefault="00C5315F" w:rsidP="00072476">
            <w:pPr>
              <w:spacing w:before="2" w:after="0" w:line="237" w:lineRule="auto"/>
              <w:ind w:left="304" w:right="-20"/>
              <w:rPr>
                <w:rFonts w:ascii="Times New Roman" w:eastAsia="Times New Roman" w:hAnsi="Times New Roman"/>
                <w:color w:val="000000"/>
                <w:spacing w:val="2"/>
                <w:w w:val="114"/>
                <w:sz w:val="18"/>
                <w:szCs w:val="18"/>
              </w:rPr>
            </w:pPr>
            <w:r>
              <w:rPr>
                <w:rFonts w:ascii="Times New Roman" w:eastAsia="Times New Roman" w:hAnsi="Times New Roman"/>
                <w:color w:val="000000"/>
                <w:spacing w:val="1"/>
                <w:w w:val="114"/>
                <w:sz w:val="18"/>
                <w:szCs w:val="18"/>
              </w:rPr>
              <w:t>O</w:t>
            </w:r>
            <w:r>
              <w:rPr>
                <w:rFonts w:ascii="Times New Roman" w:eastAsia="Times New Roman" w:hAnsi="Times New Roman"/>
                <w:color w:val="000000"/>
                <w:spacing w:val="-13"/>
                <w:w w:val="105"/>
                <w:sz w:val="18"/>
                <w:szCs w:val="18"/>
              </w:rPr>
              <w:t>Z</w:t>
            </w:r>
            <w:r>
              <w:rPr>
                <w:rFonts w:ascii="Times New Roman" w:eastAsia="Times New Roman" w:hAnsi="Times New Roman"/>
                <w:color w:val="000000"/>
                <w:spacing w:val="-1"/>
                <w:w w:val="96"/>
                <w:sz w:val="18"/>
                <w:szCs w:val="18"/>
              </w:rPr>
              <w:t>L</w:t>
            </w:r>
            <w:r>
              <w:rPr>
                <w:rFonts w:ascii="Times New Roman" w:eastAsia="Times New Roman" w:hAnsi="Times New Roman"/>
                <w:color w:val="000000"/>
                <w:spacing w:val="-7"/>
                <w:w w:val="88"/>
                <w:sz w:val="18"/>
                <w:szCs w:val="18"/>
              </w:rPr>
              <w:t>I</w:t>
            </w:r>
            <w:r>
              <w:rPr>
                <w:rFonts w:ascii="Times New Roman" w:eastAsia="Times New Roman" w:hAnsi="Times New Roman"/>
                <w:color w:val="000000"/>
                <w:spacing w:val="-4"/>
                <w:sz w:val="18"/>
                <w:szCs w:val="18"/>
              </w:rPr>
              <w:t>J</w:t>
            </w:r>
            <w:r>
              <w:rPr>
                <w:rFonts w:ascii="Times New Roman" w:eastAsia="Times New Roman" w:hAnsi="Times New Roman"/>
                <w:color w:val="000000"/>
                <w:spacing w:val="7"/>
                <w:w w:val="115"/>
                <w:sz w:val="18"/>
                <w:szCs w:val="18"/>
              </w:rPr>
              <w:t>E</w:t>
            </w:r>
            <w:r>
              <w:rPr>
                <w:rFonts w:ascii="Times New Roman" w:eastAsia="Times New Roman" w:hAnsi="Times New Roman"/>
                <w:color w:val="000000"/>
                <w:spacing w:val="-5"/>
                <w:w w:val="106"/>
                <w:sz w:val="18"/>
                <w:szCs w:val="18"/>
              </w:rPr>
              <w:t>Đ</w:t>
            </w:r>
            <w:r>
              <w:rPr>
                <w:rFonts w:ascii="Times New Roman" w:eastAsia="Times New Roman" w:hAnsi="Times New Roman"/>
                <w:color w:val="000000"/>
                <w:spacing w:val="7"/>
                <w:w w:val="115"/>
                <w:sz w:val="18"/>
                <w:szCs w:val="18"/>
              </w:rPr>
              <w:t>E</w:t>
            </w:r>
            <w:r>
              <w:rPr>
                <w:rFonts w:ascii="Times New Roman" w:eastAsia="Times New Roman" w:hAnsi="Times New Roman"/>
                <w:color w:val="000000"/>
                <w:spacing w:val="-3"/>
                <w:w w:val="106"/>
                <w:sz w:val="18"/>
                <w:szCs w:val="18"/>
              </w:rPr>
              <w:t>N</w:t>
            </w:r>
            <w:r>
              <w:rPr>
                <w:rFonts w:ascii="Times New Roman" w:eastAsia="Times New Roman" w:hAnsi="Times New Roman"/>
                <w:color w:val="000000"/>
                <w:spacing w:val="2"/>
                <w:w w:val="114"/>
                <w:sz w:val="18"/>
                <w:szCs w:val="18"/>
              </w:rPr>
              <w:t>O</w:t>
            </w:r>
          </w:p>
        </w:tc>
      </w:tr>
      <w:tr w:rsidR="00C5315F" w14:paraId="54AD77FC" w14:textId="77777777" w:rsidTr="00072476">
        <w:trPr>
          <w:cantSplit/>
          <w:trHeight w:hRule="exact" w:val="200"/>
        </w:trPr>
        <w:tc>
          <w:tcPr>
            <w:tcW w:w="3136" w:type="dxa"/>
            <w:vMerge/>
            <w:tcBorders>
              <w:left w:val="single" w:sz="5" w:space="0" w:color="000000"/>
              <w:bottom w:val="single" w:sz="11" w:space="0" w:color="000000"/>
              <w:right w:val="single" w:sz="11" w:space="0" w:color="000000"/>
            </w:tcBorders>
            <w:shd w:val="clear" w:color="auto" w:fill="F2F2F2"/>
            <w:tcMar>
              <w:top w:w="0" w:type="dxa"/>
              <w:left w:w="0" w:type="dxa"/>
              <w:bottom w:w="0" w:type="dxa"/>
              <w:right w:w="0" w:type="dxa"/>
            </w:tcMar>
          </w:tcPr>
          <w:p w14:paraId="65E89520" w14:textId="77777777" w:rsidR="00C5315F" w:rsidRDefault="00C5315F" w:rsidP="00072476"/>
        </w:tc>
        <w:tc>
          <w:tcPr>
            <w:tcW w:w="881" w:type="dxa"/>
            <w:tcBorders>
              <w:top w:val="single" w:sz="5" w:space="0" w:color="000000"/>
              <w:left w:val="single" w:sz="11" w:space="0" w:color="000000"/>
              <w:bottom w:val="single" w:sz="11" w:space="0" w:color="000000"/>
              <w:right w:val="single" w:sz="5" w:space="0" w:color="000000"/>
            </w:tcBorders>
            <w:shd w:val="clear" w:color="auto" w:fill="F2F2F2"/>
            <w:tcMar>
              <w:top w:w="0" w:type="dxa"/>
              <w:left w:w="0" w:type="dxa"/>
              <w:bottom w:w="0" w:type="dxa"/>
              <w:right w:w="0" w:type="dxa"/>
            </w:tcMar>
          </w:tcPr>
          <w:p w14:paraId="26ADD514" w14:textId="77777777" w:rsidR="00C5315F" w:rsidRDefault="00C5315F" w:rsidP="00072476">
            <w:pPr>
              <w:spacing w:before="6" w:after="0" w:line="224" w:lineRule="auto"/>
              <w:ind w:left="22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spacing w:val="-3"/>
                <w:w w:val="117"/>
                <w:sz w:val="18"/>
                <w:szCs w:val="18"/>
              </w:rPr>
              <w:t>0</w:t>
            </w:r>
            <w:r>
              <w:rPr>
                <w:rFonts w:ascii="Times New Roman" w:eastAsia="Times New Roman" w:hAnsi="Times New Roman"/>
                <w:color w:val="000000"/>
                <w:spacing w:val="-5"/>
                <w:w w:val="117"/>
                <w:sz w:val="18"/>
                <w:szCs w:val="18"/>
              </w:rPr>
              <w:t>1</w:t>
            </w:r>
            <w:r>
              <w:rPr>
                <w:rFonts w:ascii="Times New Roman" w:eastAsia="Times New Roman" w:hAnsi="Times New Roman"/>
                <w:color w:val="000000"/>
                <w:spacing w:val="-2"/>
                <w:w w:val="117"/>
                <w:sz w:val="18"/>
                <w:szCs w:val="18"/>
              </w:rPr>
              <w:t>7</w:t>
            </w:r>
            <w:r>
              <w:rPr>
                <w:rFonts w:ascii="Times New Roman" w:eastAsia="Times New Roman" w:hAnsi="Times New Roman"/>
                <w:color w:val="000000"/>
                <w:w w:val="117"/>
                <w:sz w:val="18"/>
                <w:szCs w:val="18"/>
              </w:rPr>
              <w:t>.</w:t>
            </w:r>
          </w:p>
        </w:tc>
        <w:tc>
          <w:tcPr>
            <w:tcW w:w="877" w:type="dxa"/>
            <w:tcBorders>
              <w:top w:val="single" w:sz="5"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75D41BAE" w14:textId="77777777" w:rsidR="00C5315F" w:rsidRDefault="00C5315F" w:rsidP="00072476">
            <w:pPr>
              <w:spacing w:before="11" w:after="0" w:line="219" w:lineRule="auto"/>
              <w:ind w:left="215"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spacing w:val="-4"/>
                <w:w w:val="117"/>
                <w:sz w:val="18"/>
                <w:szCs w:val="18"/>
              </w:rPr>
              <w:t>0</w:t>
            </w:r>
            <w:r>
              <w:rPr>
                <w:rFonts w:ascii="Times New Roman" w:eastAsia="Times New Roman" w:hAnsi="Times New Roman"/>
                <w:color w:val="000000"/>
                <w:spacing w:val="-2"/>
                <w:w w:val="117"/>
                <w:sz w:val="18"/>
                <w:szCs w:val="18"/>
              </w:rPr>
              <w:t>1</w:t>
            </w:r>
            <w:r>
              <w:rPr>
                <w:rFonts w:ascii="Times New Roman" w:eastAsia="Times New Roman" w:hAnsi="Times New Roman"/>
                <w:color w:val="000000"/>
                <w:spacing w:val="-3"/>
                <w:w w:val="117"/>
                <w:sz w:val="18"/>
                <w:szCs w:val="18"/>
              </w:rPr>
              <w:t>8</w:t>
            </w:r>
            <w:r>
              <w:rPr>
                <w:rFonts w:ascii="Times New Roman" w:eastAsia="Times New Roman" w:hAnsi="Times New Roman"/>
                <w:color w:val="000000"/>
                <w:w w:val="117"/>
                <w:sz w:val="18"/>
                <w:szCs w:val="18"/>
              </w:rPr>
              <w:t>.</w:t>
            </w:r>
          </w:p>
        </w:tc>
        <w:tc>
          <w:tcPr>
            <w:tcW w:w="731" w:type="dxa"/>
            <w:tcBorders>
              <w:top w:val="single" w:sz="5"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6536E3FC" w14:textId="77777777" w:rsidR="00C5315F" w:rsidRDefault="00C5315F" w:rsidP="00072476">
            <w:pPr>
              <w:spacing w:before="6" w:after="0" w:line="224" w:lineRule="auto"/>
              <w:ind w:left="14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spacing w:val="-1"/>
                <w:w w:val="117"/>
                <w:sz w:val="18"/>
                <w:szCs w:val="18"/>
              </w:rPr>
              <w:t>0</w:t>
            </w:r>
            <w:r>
              <w:rPr>
                <w:rFonts w:ascii="Times New Roman" w:eastAsia="Times New Roman" w:hAnsi="Times New Roman"/>
                <w:color w:val="000000"/>
                <w:spacing w:val="-5"/>
                <w:w w:val="117"/>
                <w:sz w:val="18"/>
                <w:szCs w:val="18"/>
              </w:rPr>
              <w:t>1</w:t>
            </w:r>
            <w:r>
              <w:rPr>
                <w:rFonts w:ascii="Times New Roman" w:eastAsia="Times New Roman" w:hAnsi="Times New Roman"/>
                <w:color w:val="000000"/>
                <w:spacing w:val="-3"/>
                <w:w w:val="117"/>
                <w:sz w:val="18"/>
                <w:szCs w:val="18"/>
              </w:rPr>
              <w:t>7</w:t>
            </w:r>
            <w:r>
              <w:rPr>
                <w:rFonts w:ascii="Times New Roman" w:eastAsia="Times New Roman" w:hAnsi="Times New Roman"/>
                <w:color w:val="000000"/>
                <w:w w:val="117"/>
                <w:sz w:val="18"/>
                <w:szCs w:val="18"/>
              </w:rPr>
              <w:t>.</w:t>
            </w:r>
          </w:p>
        </w:tc>
        <w:tc>
          <w:tcPr>
            <w:tcW w:w="731" w:type="dxa"/>
            <w:tcBorders>
              <w:top w:val="single" w:sz="5"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05D52B78" w14:textId="77777777" w:rsidR="00C5315F" w:rsidRDefault="00C5315F" w:rsidP="00072476">
            <w:pPr>
              <w:spacing w:before="11" w:after="0" w:line="219" w:lineRule="auto"/>
              <w:ind w:left="14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spacing w:val="-4"/>
                <w:w w:val="117"/>
                <w:sz w:val="18"/>
                <w:szCs w:val="18"/>
              </w:rPr>
              <w:t>0</w:t>
            </w:r>
            <w:r>
              <w:rPr>
                <w:rFonts w:ascii="Times New Roman" w:eastAsia="Times New Roman" w:hAnsi="Times New Roman"/>
                <w:color w:val="000000"/>
                <w:spacing w:val="-2"/>
                <w:w w:val="117"/>
                <w:sz w:val="18"/>
                <w:szCs w:val="18"/>
              </w:rPr>
              <w:t>1</w:t>
            </w:r>
            <w:r>
              <w:rPr>
                <w:rFonts w:ascii="Times New Roman" w:eastAsia="Times New Roman" w:hAnsi="Times New Roman"/>
                <w:color w:val="000000"/>
                <w:spacing w:val="-3"/>
                <w:w w:val="117"/>
                <w:sz w:val="18"/>
                <w:szCs w:val="18"/>
              </w:rPr>
              <w:t>8</w:t>
            </w:r>
            <w:r>
              <w:rPr>
                <w:rFonts w:ascii="Times New Roman" w:eastAsia="Times New Roman" w:hAnsi="Times New Roman"/>
                <w:color w:val="000000"/>
                <w:w w:val="117"/>
                <w:sz w:val="18"/>
                <w:szCs w:val="18"/>
              </w:rPr>
              <w:t>.</w:t>
            </w:r>
          </w:p>
        </w:tc>
        <w:tc>
          <w:tcPr>
            <w:tcW w:w="877" w:type="dxa"/>
            <w:tcBorders>
              <w:top w:val="single" w:sz="5"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5DF143CE" w14:textId="77777777" w:rsidR="00C5315F" w:rsidRDefault="00C5315F" w:rsidP="00072476">
            <w:pPr>
              <w:spacing w:before="6" w:after="0" w:line="224" w:lineRule="auto"/>
              <w:ind w:left="215"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spacing w:val="-4"/>
                <w:w w:val="117"/>
                <w:sz w:val="18"/>
                <w:szCs w:val="18"/>
              </w:rPr>
              <w:t>0</w:t>
            </w:r>
            <w:r>
              <w:rPr>
                <w:rFonts w:ascii="Times New Roman" w:eastAsia="Times New Roman" w:hAnsi="Times New Roman"/>
                <w:color w:val="000000"/>
                <w:spacing w:val="-2"/>
                <w:w w:val="117"/>
                <w:sz w:val="18"/>
                <w:szCs w:val="18"/>
              </w:rPr>
              <w:t>1</w:t>
            </w:r>
            <w:r>
              <w:rPr>
                <w:rFonts w:ascii="Times New Roman" w:eastAsia="Times New Roman" w:hAnsi="Times New Roman"/>
                <w:color w:val="000000"/>
                <w:spacing w:val="-3"/>
                <w:w w:val="117"/>
                <w:sz w:val="18"/>
                <w:szCs w:val="18"/>
              </w:rPr>
              <w:t>7</w:t>
            </w:r>
            <w:r>
              <w:rPr>
                <w:rFonts w:ascii="Times New Roman" w:eastAsia="Times New Roman" w:hAnsi="Times New Roman"/>
                <w:color w:val="000000"/>
                <w:w w:val="117"/>
                <w:sz w:val="18"/>
                <w:szCs w:val="18"/>
              </w:rPr>
              <w:t>.</w:t>
            </w:r>
          </w:p>
        </w:tc>
        <w:tc>
          <w:tcPr>
            <w:tcW w:w="874" w:type="dxa"/>
            <w:tcBorders>
              <w:top w:val="single" w:sz="5" w:space="0" w:color="000000"/>
              <w:left w:val="single" w:sz="5" w:space="0" w:color="000000"/>
              <w:bottom w:val="single" w:sz="11" w:space="0" w:color="000000"/>
              <w:right w:val="single" w:sz="11" w:space="0" w:color="000000"/>
            </w:tcBorders>
            <w:shd w:val="clear" w:color="auto" w:fill="F2F2F2"/>
            <w:tcMar>
              <w:top w:w="0" w:type="dxa"/>
              <w:left w:w="0" w:type="dxa"/>
              <w:bottom w:w="0" w:type="dxa"/>
              <w:right w:w="0" w:type="dxa"/>
            </w:tcMar>
          </w:tcPr>
          <w:p w14:paraId="0BC30BEF" w14:textId="77777777" w:rsidR="00C5315F" w:rsidRDefault="00C5315F" w:rsidP="00072476">
            <w:pPr>
              <w:spacing w:before="11" w:after="0" w:line="219" w:lineRule="auto"/>
              <w:ind w:left="216"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spacing w:val="-3"/>
                <w:w w:val="117"/>
                <w:sz w:val="18"/>
                <w:szCs w:val="18"/>
              </w:rPr>
              <w:t>0</w:t>
            </w:r>
            <w:r>
              <w:rPr>
                <w:rFonts w:ascii="Times New Roman" w:eastAsia="Times New Roman" w:hAnsi="Times New Roman"/>
                <w:color w:val="000000"/>
                <w:spacing w:val="-2"/>
                <w:w w:val="117"/>
                <w:sz w:val="18"/>
                <w:szCs w:val="18"/>
              </w:rPr>
              <w:t>1</w:t>
            </w:r>
            <w:r>
              <w:rPr>
                <w:rFonts w:ascii="Times New Roman" w:eastAsia="Times New Roman" w:hAnsi="Times New Roman"/>
                <w:color w:val="000000"/>
                <w:spacing w:val="-5"/>
                <w:w w:val="117"/>
                <w:sz w:val="18"/>
                <w:szCs w:val="18"/>
              </w:rPr>
              <w:t>8</w:t>
            </w:r>
            <w:r>
              <w:rPr>
                <w:rFonts w:ascii="Times New Roman" w:eastAsia="Times New Roman" w:hAnsi="Times New Roman"/>
                <w:color w:val="000000"/>
                <w:w w:val="117"/>
                <w:sz w:val="18"/>
                <w:szCs w:val="18"/>
              </w:rPr>
              <w:t>.</w:t>
            </w:r>
          </w:p>
        </w:tc>
      </w:tr>
      <w:tr w:rsidR="00C5315F" w14:paraId="1E332E45" w14:textId="77777777" w:rsidTr="00072476">
        <w:trPr>
          <w:cantSplit/>
          <w:trHeight w:hRule="exact" w:val="221"/>
        </w:trPr>
        <w:tc>
          <w:tcPr>
            <w:tcW w:w="3136" w:type="dxa"/>
            <w:tcBorders>
              <w:top w:val="single" w:sz="11" w:space="0" w:color="000000"/>
              <w:left w:val="single" w:sz="5" w:space="0" w:color="000000"/>
              <w:bottom w:val="single" w:sz="5" w:space="0" w:color="000000"/>
              <w:right w:val="single" w:sz="11" w:space="0" w:color="000000"/>
            </w:tcBorders>
            <w:tcMar>
              <w:top w:w="0" w:type="dxa"/>
              <w:left w:w="0" w:type="dxa"/>
              <w:bottom w:w="0" w:type="dxa"/>
              <w:right w:w="0" w:type="dxa"/>
            </w:tcMar>
          </w:tcPr>
          <w:p w14:paraId="1DE0E62D" w14:textId="77777777" w:rsidR="00C5315F" w:rsidRDefault="00C5315F" w:rsidP="00072476">
            <w:pPr>
              <w:spacing w:before="17" w:after="0" w:line="236" w:lineRule="auto"/>
              <w:ind w:left="35" w:right="-20"/>
              <w:rPr>
                <w:rFonts w:ascii="Times New Roman" w:eastAsia="Times New Roman" w:hAnsi="Times New Roman"/>
                <w:color w:val="000000"/>
                <w:spacing w:val="11"/>
                <w:sz w:val="18"/>
                <w:szCs w:val="18"/>
              </w:rPr>
            </w:pPr>
            <w:r>
              <w:rPr>
                <w:rFonts w:ascii="Times New Roman" w:eastAsia="Times New Roman" w:hAnsi="Times New Roman"/>
                <w:color w:val="000000"/>
                <w:spacing w:val="15"/>
                <w:sz w:val="18"/>
                <w:szCs w:val="18"/>
              </w:rPr>
              <w:t>S</w:t>
            </w:r>
            <w:r>
              <w:rPr>
                <w:rFonts w:ascii="Times New Roman" w:eastAsia="Times New Roman" w:hAnsi="Times New Roman"/>
                <w:color w:val="000000"/>
                <w:spacing w:val="12"/>
                <w:w w:val="84"/>
                <w:sz w:val="18"/>
                <w:szCs w:val="18"/>
              </w:rPr>
              <w:t>l</w:t>
            </w:r>
            <w:r>
              <w:rPr>
                <w:rFonts w:ascii="Times New Roman" w:eastAsia="Times New Roman" w:hAnsi="Times New Roman"/>
                <w:color w:val="000000"/>
                <w:spacing w:val="9"/>
                <w:sz w:val="18"/>
                <w:szCs w:val="18"/>
              </w:rPr>
              <w:t>a</w:t>
            </w:r>
            <w:r>
              <w:rPr>
                <w:rFonts w:ascii="Times New Roman" w:eastAsia="Times New Roman" w:hAnsi="Times New Roman"/>
                <w:color w:val="000000"/>
                <w:spacing w:val="-7"/>
                <w:w w:val="106"/>
                <w:sz w:val="18"/>
                <w:szCs w:val="18"/>
              </w:rPr>
              <w:t>v</w:t>
            </w:r>
            <w:r>
              <w:rPr>
                <w:rFonts w:ascii="Times New Roman" w:eastAsia="Times New Roman" w:hAnsi="Times New Roman"/>
                <w:color w:val="000000"/>
                <w:spacing w:val="6"/>
                <w:w w:val="117"/>
                <w:sz w:val="18"/>
                <w:szCs w:val="18"/>
              </w:rPr>
              <w:t>o</w:t>
            </w:r>
            <w:r>
              <w:rPr>
                <w:rFonts w:ascii="Times New Roman" w:eastAsia="Times New Roman" w:hAnsi="Times New Roman"/>
                <w:color w:val="000000"/>
                <w:spacing w:val="8"/>
                <w:w w:val="117"/>
                <w:sz w:val="18"/>
                <w:szCs w:val="18"/>
              </w:rPr>
              <w:t>n</w:t>
            </w:r>
            <w:r>
              <w:rPr>
                <w:rFonts w:ascii="Times New Roman" w:eastAsia="Times New Roman" w:hAnsi="Times New Roman"/>
                <w:color w:val="000000"/>
                <w:spacing w:val="16"/>
                <w:sz w:val="18"/>
                <w:szCs w:val="18"/>
              </w:rPr>
              <w:t>s</w:t>
            </w:r>
            <w:r>
              <w:rPr>
                <w:rFonts w:ascii="Times New Roman" w:eastAsia="Times New Roman" w:hAnsi="Times New Roman"/>
                <w:color w:val="000000"/>
                <w:spacing w:val="18"/>
                <w:w w:val="106"/>
                <w:sz w:val="18"/>
                <w:szCs w:val="18"/>
              </w:rPr>
              <w:t>k</w:t>
            </w:r>
            <w:r>
              <w:rPr>
                <w:rFonts w:ascii="Times New Roman" w:eastAsia="Times New Roman" w:hAnsi="Times New Roman"/>
                <w:color w:val="000000"/>
                <w:spacing w:val="11"/>
                <w:sz w:val="18"/>
                <w:szCs w:val="18"/>
              </w:rPr>
              <w:t xml:space="preserve">a </w:t>
            </w:r>
            <w:r>
              <w:rPr>
                <w:rFonts w:ascii="Times New Roman" w:eastAsia="Times New Roman" w:hAnsi="Times New Roman"/>
                <w:color w:val="000000"/>
                <w:spacing w:val="9"/>
                <w:sz w:val="18"/>
                <w:szCs w:val="18"/>
              </w:rPr>
              <w:t>a</w:t>
            </w:r>
            <w:r>
              <w:rPr>
                <w:rFonts w:ascii="Times New Roman" w:eastAsia="Times New Roman" w:hAnsi="Times New Roman"/>
                <w:color w:val="000000"/>
                <w:spacing w:val="-11"/>
                <w:w w:val="106"/>
                <w:sz w:val="18"/>
                <w:szCs w:val="18"/>
              </w:rPr>
              <w:t>v</w:t>
            </w:r>
            <w:r>
              <w:rPr>
                <w:rFonts w:ascii="Times New Roman" w:eastAsia="Times New Roman" w:hAnsi="Times New Roman"/>
                <w:color w:val="000000"/>
                <w:spacing w:val="8"/>
                <w:sz w:val="18"/>
                <w:szCs w:val="18"/>
              </w:rPr>
              <w:t>e</w:t>
            </w:r>
            <w:r>
              <w:rPr>
                <w:rFonts w:ascii="Times New Roman" w:eastAsia="Times New Roman" w:hAnsi="Times New Roman"/>
                <w:color w:val="000000"/>
                <w:spacing w:val="9"/>
                <w:w w:val="117"/>
                <w:sz w:val="18"/>
                <w:szCs w:val="18"/>
              </w:rPr>
              <w:t>n</w:t>
            </w:r>
            <w:r>
              <w:rPr>
                <w:rFonts w:ascii="Times New Roman" w:eastAsia="Times New Roman" w:hAnsi="Times New Roman"/>
                <w:color w:val="000000"/>
                <w:spacing w:val="11"/>
                <w:w w:val="84"/>
                <w:sz w:val="18"/>
                <w:szCs w:val="18"/>
              </w:rPr>
              <w:t>i</w:t>
            </w:r>
            <w:r>
              <w:rPr>
                <w:rFonts w:ascii="Times New Roman" w:eastAsia="Times New Roman" w:hAnsi="Times New Roman"/>
                <w:color w:val="000000"/>
                <w:spacing w:val="13"/>
                <w:w w:val="84"/>
                <w:sz w:val="18"/>
                <w:szCs w:val="18"/>
              </w:rPr>
              <w:t>j</w:t>
            </w:r>
            <w:r>
              <w:rPr>
                <w:rFonts w:ascii="Times New Roman" w:eastAsia="Times New Roman" w:hAnsi="Times New Roman"/>
                <w:color w:val="000000"/>
                <w:spacing w:val="11"/>
                <w:sz w:val="18"/>
                <w:szCs w:val="18"/>
              </w:rPr>
              <w:t>a</w:t>
            </w:r>
          </w:p>
        </w:tc>
        <w:tc>
          <w:tcPr>
            <w:tcW w:w="881" w:type="dxa"/>
            <w:tcBorders>
              <w:top w:val="single" w:sz="11" w:space="0" w:color="000000"/>
              <w:left w:val="single" w:sz="11" w:space="0" w:color="000000"/>
              <w:bottom w:val="single" w:sz="5" w:space="0" w:color="000000"/>
              <w:right w:val="single" w:sz="5" w:space="0" w:color="000000"/>
            </w:tcBorders>
            <w:tcMar>
              <w:top w:w="0" w:type="dxa"/>
              <w:left w:w="0" w:type="dxa"/>
              <w:bottom w:w="0" w:type="dxa"/>
              <w:right w:w="0" w:type="dxa"/>
            </w:tcMar>
          </w:tcPr>
          <w:p w14:paraId="57EB07D7" w14:textId="77777777" w:rsidR="00C5315F" w:rsidRDefault="00C5315F" w:rsidP="00072476">
            <w:pPr>
              <w:spacing w:before="17" w:after="0" w:line="236"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spacing w:val="-4"/>
                <w:w w:val="117"/>
                <w:sz w:val="18"/>
                <w:szCs w:val="18"/>
              </w:rPr>
              <w:t>6</w:t>
            </w:r>
            <w:r>
              <w:rPr>
                <w:rFonts w:ascii="Times New Roman" w:eastAsia="Times New Roman" w:hAnsi="Times New Roman"/>
                <w:color w:val="000000"/>
                <w:w w:val="117"/>
                <w:sz w:val="18"/>
                <w:szCs w:val="18"/>
              </w:rPr>
              <w:t>0</w:t>
            </w:r>
          </w:p>
        </w:tc>
        <w:tc>
          <w:tcPr>
            <w:tcW w:w="877" w:type="dxa"/>
            <w:tcBorders>
              <w:top w:val="single" w:sz="11" w:space="0" w:color="000000"/>
              <w:left w:val="single" w:sz="5" w:space="0" w:color="000000"/>
              <w:bottom w:val="single" w:sz="5" w:space="0" w:color="000000"/>
              <w:right w:val="single" w:sz="5" w:space="0" w:color="000000"/>
            </w:tcBorders>
            <w:tcMar>
              <w:top w:w="0" w:type="dxa"/>
              <w:left w:w="0" w:type="dxa"/>
              <w:bottom w:w="0" w:type="dxa"/>
              <w:right w:w="0" w:type="dxa"/>
            </w:tcMar>
          </w:tcPr>
          <w:p w14:paraId="6E98A57C" w14:textId="77777777" w:rsidR="00C5315F" w:rsidRDefault="00C5315F" w:rsidP="00072476">
            <w:pPr>
              <w:spacing w:before="22" w:after="0" w:line="231"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spacing w:val="-3"/>
                <w:w w:val="117"/>
                <w:sz w:val="18"/>
                <w:szCs w:val="18"/>
              </w:rPr>
              <w:t>2</w:t>
            </w:r>
            <w:r>
              <w:rPr>
                <w:rFonts w:ascii="Times New Roman" w:eastAsia="Times New Roman" w:hAnsi="Times New Roman"/>
                <w:color w:val="000000"/>
                <w:w w:val="117"/>
                <w:sz w:val="18"/>
                <w:szCs w:val="18"/>
              </w:rPr>
              <w:t>4</w:t>
            </w:r>
          </w:p>
        </w:tc>
        <w:tc>
          <w:tcPr>
            <w:tcW w:w="731" w:type="dxa"/>
            <w:tcBorders>
              <w:top w:val="single" w:sz="11" w:space="0" w:color="000000"/>
              <w:left w:val="single" w:sz="5" w:space="0" w:color="000000"/>
              <w:bottom w:val="single" w:sz="5" w:space="0" w:color="000000"/>
              <w:right w:val="single" w:sz="5" w:space="0" w:color="000000"/>
            </w:tcBorders>
            <w:tcMar>
              <w:top w:w="0" w:type="dxa"/>
              <w:left w:w="0" w:type="dxa"/>
              <w:bottom w:w="0" w:type="dxa"/>
              <w:right w:w="0" w:type="dxa"/>
            </w:tcMar>
          </w:tcPr>
          <w:p w14:paraId="711172D7" w14:textId="77777777" w:rsidR="00C5315F" w:rsidRDefault="00C5315F" w:rsidP="00072476">
            <w:pPr>
              <w:spacing w:before="17" w:after="0" w:line="236"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2</w:t>
            </w:r>
          </w:p>
        </w:tc>
        <w:tc>
          <w:tcPr>
            <w:tcW w:w="731" w:type="dxa"/>
            <w:tcBorders>
              <w:top w:val="single" w:sz="11" w:space="0" w:color="000000"/>
              <w:left w:val="single" w:sz="5" w:space="0" w:color="000000"/>
              <w:bottom w:val="single" w:sz="5" w:space="0" w:color="000000"/>
              <w:right w:val="single" w:sz="5" w:space="0" w:color="000000"/>
            </w:tcBorders>
            <w:tcMar>
              <w:top w:w="0" w:type="dxa"/>
              <w:left w:w="0" w:type="dxa"/>
              <w:bottom w:w="0" w:type="dxa"/>
              <w:right w:w="0" w:type="dxa"/>
            </w:tcMar>
          </w:tcPr>
          <w:p w14:paraId="456F986B" w14:textId="77777777" w:rsidR="00C5315F" w:rsidRDefault="00C5315F" w:rsidP="00072476">
            <w:pPr>
              <w:spacing w:before="22" w:after="0" w:line="231"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11" w:space="0" w:color="000000"/>
              <w:left w:val="single" w:sz="5" w:space="0" w:color="000000"/>
              <w:bottom w:val="single" w:sz="5" w:space="0" w:color="000000"/>
              <w:right w:val="single" w:sz="5" w:space="0" w:color="000000"/>
            </w:tcBorders>
            <w:tcMar>
              <w:top w:w="0" w:type="dxa"/>
              <w:left w:w="0" w:type="dxa"/>
              <w:bottom w:w="0" w:type="dxa"/>
              <w:right w:w="0" w:type="dxa"/>
            </w:tcMar>
          </w:tcPr>
          <w:p w14:paraId="65371384" w14:textId="77777777" w:rsidR="00C5315F" w:rsidRDefault="00C5315F" w:rsidP="00072476">
            <w:pPr>
              <w:spacing w:before="17" w:after="0" w:line="236"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spacing w:val="-3"/>
                <w:w w:val="117"/>
                <w:sz w:val="18"/>
                <w:szCs w:val="18"/>
              </w:rPr>
              <w:t>0</w:t>
            </w:r>
            <w:r>
              <w:rPr>
                <w:rFonts w:ascii="Times New Roman" w:eastAsia="Times New Roman" w:hAnsi="Times New Roman"/>
                <w:color w:val="000000"/>
                <w:w w:val="117"/>
                <w:sz w:val="18"/>
                <w:szCs w:val="18"/>
              </w:rPr>
              <w:t>5</w:t>
            </w:r>
          </w:p>
        </w:tc>
        <w:tc>
          <w:tcPr>
            <w:tcW w:w="874" w:type="dxa"/>
            <w:tcBorders>
              <w:top w:val="single" w:sz="11" w:space="0" w:color="000000"/>
              <w:left w:val="single" w:sz="5" w:space="0" w:color="000000"/>
              <w:bottom w:val="single" w:sz="5" w:space="0" w:color="000000"/>
              <w:right w:val="single" w:sz="11" w:space="0" w:color="000000"/>
            </w:tcBorders>
            <w:tcMar>
              <w:top w:w="0" w:type="dxa"/>
              <w:left w:w="0" w:type="dxa"/>
              <w:bottom w:w="0" w:type="dxa"/>
              <w:right w:w="0" w:type="dxa"/>
            </w:tcMar>
          </w:tcPr>
          <w:p w14:paraId="0CF49635" w14:textId="77777777" w:rsidR="00C5315F" w:rsidRDefault="00C5315F" w:rsidP="00072476">
            <w:pPr>
              <w:spacing w:before="22" w:after="0" w:line="231" w:lineRule="auto"/>
              <w:ind w:left="288"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spacing w:val="-4"/>
                <w:w w:val="117"/>
                <w:sz w:val="18"/>
                <w:szCs w:val="18"/>
              </w:rPr>
              <w:t>0</w:t>
            </w:r>
            <w:r>
              <w:rPr>
                <w:rFonts w:ascii="Times New Roman" w:eastAsia="Times New Roman" w:hAnsi="Times New Roman"/>
                <w:color w:val="000000"/>
                <w:w w:val="117"/>
                <w:sz w:val="18"/>
                <w:szCs w:val="18"/>
              </w:rPr>
              <w:t>3</w:t>
            </w:r>
          </w:p>
        </w:tc>
      </w:tr>
      <w:tr w:rsidR="00C5315F" w14:paraId="7166A0E5"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2C82DDB1" w14:textId="77777777" w:rsidR="00C5315F" w:rsidRDefault="00C5315F" w:rsidP="00072476">
            <w:pPr>
              <w:spacing w:before="6" w:after="0" w:line="236" w:lineRule="auto"/>
              <w:ind w:left="35" w:right="-20"/>
              <w:rPr>
                <w:rFonts w:ascii="Times New Roman" w:eastAsia="Times New Roman" w:hAnsi="Times New Roman"/>
                <w:color w:val="000000"/>
                <w:spacing w:val="6"/>
                <w:sz w:val="18"/>
                <w:szCs w:val="18"/>
              </w:rPr>
            </w:pPr>
            <w:r>
              <w:rPr>
                <w:rFonts w:ascii="Times New Roman" w:eastAsia="Times New Roman" w:hAnsi="Times New Roman"/>
                <w:color w:val="000000"/>
                <w:spacing w:val="14"/>
                <w:w w:val="97"/>
                <w:sz w:val="18"/>
                <w:szCs w:val="18"/>
              </w:rPr>
              <w:t>K</w:t>
            </w:r>
            <w:r>
              <w:rPr>
                <w:rFonts w:ascii="Times New Roman" w:eastAsia="Times New Roman" w:hAnsi="Times New Roman"/>
                <w:color w:val="000000"/>
                <w:spacing w:val="10"/>
                <w:w w:val="117"/>
                <w:sz w:val="18"/>
                <w:szCs w:val="18"/>
              </w:rPr>
              <w:t>n</w:t>
            </w:r>
            <w:r>
              <w:rPr>
                <w:rFonts w:ascii="Times New Roman" w:eastAsia="Times New Roman" w:hAnsi="Times New Roman"/>
                <w:color w:val="000000"/>
                <w:spacing w:val="5"/>
                <w:sz w:val="18"/>
                <w:szCs w:val="18"/>
              </w:rPr>
              <w:t>e</w:t>
            </w:r>
            <w:r>
              <w:rPr>
                <w:rFonts w:ascii="Times New Roman" w:eastAsia="Times New Roman" w:hAnsi="Times New Roman"/>
                <w:color w:val="000000"/>
                <w:spacing w:val="17"/>
                <w:w w:val="119"/>
                <w:sz w:val="18"/>
                <w:szCs w:val="18"/>
              </w:rPr>
              <w:t>z</w:t>
            </w:r>
            <w:r>
              <w:rPr>
                <w:rFonts w:ascii="Times New Roman" w:eastAsia="Times New Roman" w:hAnsi="Times New Roman"/>
                <w:color w:val="000000"/>
                <w:spacing w:val="10"/>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11"/>
                <w:w w:val="105"/>
                <w:sz w:val="18"/>
                <w:szCs w:val="18"/>
              </w:rPr>
              <w:t>B</w:t>
            </w:r>
            <w:r>
              <w:rPr>
                <w:rFonts w:ascii="Times New Roman" w:eastAsia="Times New Roman" w:hAnsi="Times New Roman"/>
                <w:color w:val="000000"/>
                <w:w w:val="106"/>
                <w:sz w:val="18"/>
                <w:szCs w:val="18"/>
              </w:rPr>
              <w:t>r</w:t>
            </w:r>
            <w:r>
              <w:rPr>
                <w:rFonts w:ascii="Times New Roman" w:eastAsia="Times New Roman" w:hAnsi="Times New Roman"/>
                <w:color w:val="000000"/>
                <w:spacing w:val="5"/>
                <w:sz w:val="18"/>
                <w:szCs w:val="18"/>
              </w:rPr>
              <w:t>a</w:t>
            </w:r>
            <w:r>
              <w:rPr>
                <w:rFonts w:ascii="Times New Roman" w:eastAsia="Times New Roman" w:hAnsi="Times New Roman"/>
                <w:color w:val="000000"/>
                <w:spacing w:val="4"/>
                <w:w w:val="117"/>
                <w:sz w:val="18"/>
                <w:szCs w:val="18"/>
              </w:rPr>
              <w:t>n</w:t>
            </w:r>
            <w:r>
              <w:rPr>
                <w:rFonts w:ascii="Times New Roman" w:eastAsia="Times New Roman" w:hAnsi="Times New Roman"/>
                <w:color w:val="000000"/>
                <w:spacing w:val="7"/>
                <w:w w:val="84"/>
                <w:sz w:val="18"/>
                <w:szCs w:val="18"/>
              </w:rPr>
              <w:t>i</w:t>
            </w:r>
            <w:r>
              <w:rPr>
                <w:rFonts w:ascii="Times New Roman" w:eastAsia="Times New Roman" w:hAnsi="Times New Roman"/>
                <w:color w:val="000000"/>
                <w:spacing w:val="7"/>
                <w:w w:val="113"/>
                <w:sz w:val="18"/>
                <w:szCs w:val="18"/>
              </w:rPr>
              <w:t>m</w:t>
            </w:r>
            <w:r>
              <w:rPr>
                <w:rFonts w:ascii="Times New Roman" w:eastAsia="Times New Roman" w:hAnsi="Times New Roman"/>
                <w:color w:val="000000"/>
                <w:spacing w:val="7"/>
                <w:w w:val="84"/>
                <w:sz w:val="18"/>
                <w:szCs w:val="18"/>
              </w:rPr>
              <w:t>i</w:t>
            </w:r>
            <w:r>
              <w:rPr>
                <w:rFonts w:ascii="Times New Roman" w:eastAsia="Times New Roman" w:hAnsi="Times New Roman"/>
                <w:color w:val="000000"/>
                <w:spacing w:val="3"/>
                <w:w w:val="106"/>
                <w:sz w:val="18"/>
                <w:szCs w:val="18"/>
              </w:rPr>
              <w:t>r</w:t>
            </w:r>
            <w:r>
              <w:rPr>
                <w:rFonts w:ascii="Times New Roman" w:eastAsia="Times New Roman" w:hAnsi="Times New Roman"/>
                <w:color w:val="000000"/>
                <w:spacing w:val="6"/>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337F93DC" w14:textId="77777777" w:rsidR="00C5315F" w:rsidRDefault="00C5315F" w:rsidP="00072476">
            <w:pPr>
              <w:spacing w:before="6" w:after="0" w:line="236"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spacing w:val="-4"/>
                <w:w w:val="117"/>
                <w:sz w:val="18"/>
                <w:szCs w:val="18"/>
              </w:rPr>
              <w:t>7</w:t>
            </w:r>
            <w:r>
              <w:rPr>
                <w:rFonts w:ascii="Times New Roman" w:eastAsia="Times New Roman" w:hAnsi="Times New Roman"/>
                <w:color w:val="000000"/>
                <w:w w:val="117"/>
                <w:sz w:val="18"/>
                <w:szCs w:val="18"/>
              </w:rPr>
              <w:t>9</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058407B" w14:textId="77777777" w:rsidR="00C5315F" w:rsidRDefault="00C5315F" w:rsidP="00072476">
            <w:pPr>
              <w:spacing w:before="11" w:after="0" w:line="231"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spacing w:val="-3"/>
                <w:w w:val="117"/>
                <w:sz w:val="18"/>
                <w:szCs w:val="18"/>
              </w:rPr>
              <w:t>7</w:t>
            </w:r>
            <w:r>
              <w:rPr>
                <w:rFonts w:ascii="Times New Roman" w:eastAsia="Times New Roman" w:hAnsi="Times New Roman"/>
                <w:color w:val="000000"/>
                <w:w w:val="117"/>
                <w:sz w:val="18"/>
                <w:szCs w:val="18"/>
              </w:rPr>
              <w:t>4</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4AE7532" w14:textId="77777777" w:rsidR="00C5315F" w:rsidRDefault="00C5315F" w:rsidP="00072476">
            <w:pPr>
              <w:spacing w:before="6" w:after="0" w:line="236"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2</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3D2AFB9" w14:textId="77777777" w:rsidR="00C5315F" w:rsidRDefault="00C5315F" w:rsidP="00072476">
            <w:pPr>
              <w:spacing w:before="11" w:after="0" w:line="231"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4ABF44B" w14:textId="77777777" w:rsidR="00C5315F" w:rsidRDefault="00C5315F" w:rsidP="00072476">
            <w:pPr>
              <w:spacing w:before="6"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8</w:t>
            </w:r>
            <w:r>
              <w:rPr>
                <w:rFonts w:ascii="Times New Roman" w:eastAsia="Times New Roman" w:hAnsi="Times New Roman"/>
                <w:color w:val="000000"/>
                <w:w w:val="117"/>
                <w:sz w:val="18"/>
                <w:szCs w:val="18"/>
              </w:rPr>
              <w:t>1</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13C7C1E8" w14:textId="77777777" w:rsidR="00C5315F" w:rsidRDefault="00C5315F" w:rsidP="00072476">
            <w:pPr>
              <w:spacing w:before="11" w:after="0" w:line="231"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8</w:t>
            </w:r>
            <w:r>
              <w:rPr>
                <w:rFonts w:ascii="Times New Roman" w:eastAsia="Times New Roman" w:hAnsi="Times New Roman"/>
                <w:color w:val="000000"/>
                <w:w w:val="117"/>
                <w:sz w:val="18"/>
                <w:szCs w:val="18"/>
              </w:rPr>
              <w:t>0</w:t>
            </w:r>
          </w:p>
        </w:tc>
      </w:tr>
      <w:tr w:rsidR="00C5315F" w14:paraId="7099BDE1"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09375334" w14:textId="77777777" w:rsidR="00C5315F" w:rsidRDefault="00C5315F" w:rsidP="00072476">
            <w:pPr>
              <w:spacing w:before="6" w:after="0" w:line="236" w:lineRule="auto"/>
              <w:ind w:left="35" w:right="-20"/>
              <w:rPr>
                <w:rFonts w:ascii="Times New Roman" w:eastAsia="Times New Roman" w:hAnsi="Times New Roman"/>
                <w:color w:val="000000"/>
                <w:spacing w:val="5"/>
                <w:sz w:val="18"/>
                <w:szCs w:val="18"/>
              </w:rPr>
            </w:pPr>
            <w:r>
              <w:rPr>
                <w:rFonts w:ascii="Times New Roman" w:eastAsia="Times New Roman" w:hAnsi="Times New Roman"/>
                <w:color w:val="000000"/>
                <w:spacing w:val="-2"/>
                <w:w w:val="88"/>
                <w:sz w:val="18"/>
                <w:szCs w:val="18"/>
              </w:rPr>
              <w:t>I</w:t>
            </w:r>
            <w:r>
              <w:rPr>
                <w:rFonts w:ascii="Times New Roman" w:eastAsia="Times New Roman" w:hAnsi="Times New Roman"/>
                <w:color w:val="000000"/>
                <w:spacing w:val="6"/>
                <w:w w:val="84"/>
                <w:sz w:val="18"/>
                <w:szCs w:val="18"/>
              </w:rPr>
              <w:t>l</w:t>
            </w:r>
            <w:r>
              <w:rPr>
                <w:rFonts w:ascii="Times New Roman" w:eastAsia="Times New Roman" w:hAnsi="Times New Roman"/>
                <w:color w:val="000000"/>
                <w:spacing w:val="5"/>
                <w:w w:val="84"/>
                <w:sz w:val="18"/>
                <w:szCs w:val="18"/>
              </w:rPr>
              <w:t>i</w:t>
            </w:r>
            <w:r>
              <w:rPr>
                <w:rFonts w:ascii="Times New Roman" w:eastAsia="Times New Roman" w:hAnsi="Times New Roman"/>
                <w:color w:val="000000"/>
                <w:spacing w:val="14"/>
                <w:w w:val="119"/>
                <w:sz w:val="18"/>
                <w:szCs w:val="18"/>
              </w:rPr>
              <w:t>c</w:t>
            </w:r>
            <w:r>
              <w:rPr>
                <w:rFonts w:ascii="Times New Roman" w:eastAsia="Times New Roman" w:hAnsi="Times New Roman"/>
                <w:color w:val="000000"/>
                <w:spacing w:val="5"/>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2A7F957C" w14:textId="77777777" w:rsidR="00C5315F" w:rsidRDefault="00C5315F" w:rsidP="00072476">
            <w:pPr>
              <w:spacing w:before="6" w:after="0" w:line="236"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spacing w:val="-4"/>
                <w:w w:val="117"/>
                <w:sz w:val="18"/>
                <w:szCs w:val="18"/>
              </w:rPr>
              <w:t>7</w:t>
            </w: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96743C" w14:textId="77777777" w:rsidR="00C5315F" w:rsidRDefault="00C5315F" w:rsidP="00072476">
            <w:pPr>
              <w:spacing w:before="11" w:after="0" w:line="231"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spacing w:val="-3"/>
                <w:w w:val="117"/>
                <w:sz w:val="18"/>
                <w:szCs w:val="18"/>
              </w:rPr>
              <w:t>4</w:t>
            </w:r>
            <w:r>
              <w:rPr>
                <w:rFonts w:ascii="Times New Roman" w:eastAsia="Times New Roman" w:hAnsi="Times New Roman"/>
                <w:color w:val="000000"/>
                <w:w w:val="117"/>
                <w:sz w:val="18"/>
                <w:szCs w:val="18"/>
              </w:rPr>
              <w:t>0</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F618DB" w14:textId="77777777" w:rsidR="00C5315F" w:rsidRDefault="00C5315F" w:rsidP="00072476">
            <w:pPr>
              <w:spacing w:before="6" w:after="0" w:line="236"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D247B86" w14:textId="77777777" w:rsidR="00C5315F" w:rsidRDefault="00C5315F" w:rsidP="00072476">
            <w:pPr>
              <w:spacing w:before="11" w:after="0" w:line="231"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2</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BA3A815" w14:textId="77777777" w:rsidR="00C5315F" w:rsidRDefault="00C5315F" w:rsidP="00072476">
            <w:pPr>
              <w:spacing w:before="6"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7</w:t>
            </w:r>
            <w:r>
              <w:rPr>
                <w:rFonts w:ascii="Times New Roman" w:eastAsia="Times New Roman" w:hAnsi="Times New Roman"/>
                <w:color w:val="000000"/>
                <w:w w:val="117"/>
                <w:sz w:val="18"/>
                <w:szCs w:val="18"/>
              </w:rPr>
              <w:t>6</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307416C1" w14:textId="77777777" w:rsidR="00C5315F" w:rsidRDefault="00C5315F" w:rsidP="00072476">
            <w:pPr>
              <w:spacing w:before="11" w:after="0" w:line="231"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7</w:t>
            </w:r>
            <w:r>
              <w:rPr>
                <w:rFonts w:ascii="Times New Roman" w:eastAsia="Times New Roman" w:hAnsi="Times New Roman"/>
                <w:color w:val="000000"/>
                <w:w w:val="117"/>
                <w:sz w:val="18"/>
                <w:szCs w:val="18"/>
              </w:rPr>
              <w:t>4</w:t>
            </w:r>
          </w:p>
        </w:tc>
      </w:tr>
      <w:tr w:rsidR="00C5315F" w14:paraId="6D98EB68"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551663C9" w14:textId="77777777" w:rsidR="00C5315F" w:rsidRDefault="00C5315F" w:rsidP="00072476">
            <w:pPr>
              <w:spacing w:before="6" w:after="0" w:line="236" w:lineRule="auto"/>
              <w:ind w:left="35" w:right="-20"/>
              <w:rPr>
                <w:rFonts w:ascii="Times New Roman" w:eastAsia="Times New Roman" w:hAnsi="Times New Roman"/>
                <w:color w:val="000000"/>
                <w:spacing w:val="6"/>
                <w:sz w:val="18"/>
                <w:szCs w:val="18"/>
              </w:rPr>
            </w:pPr>
            <w:r>
              <w:rPr>
                <w:rFonts w:ascii="Times New Roman" w:eastAsia="Times New Roman" w:hAnsi="Times New Roman"/>
                <w:color w:val="000000"/>
                <w:spacing w:val="-6"/>
                <w:w w:val="106"/>
                <w:sz w:val="18"/>
                <w:szCs w:val="18"/>
              </w:rPr>
              <w:t>U</w:t>
            </w:r>
            <w:r>
              <w:rPr>
                <w:rFonts w:ascii="Times New Roman" w:eastAsia="Times New Roman" w:hAnsi="Times New Roman"/>
                <w:color w:val="000000"/>
                <w:spacing w:val="1"/>
                <w:w w:val="84"/>
                <w:sz w:val="18"/>
                <w:szCs w:val="18"/>
              </w:rPr>
              <w:t>l</w:t>
            </w:r>
            <w:r>
              <w:rPr>
                <w:rFonts w:ascii="Times New Roman" w:eastAsia="Times New Roman" w:hAnsi="Times New Roman"/>
                <w:color w:val="000000"/>
                <w:w w:val="117"/>
                <w:sz w:val="18"/>
                <w:szCs w:val="18"/>
              </w:rPr>
              <w:t>.</w:t>
            </w:r>
            <w:r>
              <w:rPr>
                <w:rFonts w:ascii="Times New Roman" w:eastAsia="Times New Roman" w:hAnsi="Times New Roman"/>
                <w:color w:val="000000"/>
                <w:spacing w:val="20"/>
                <w:sz w:val="18"/>
                <w:szCs w:val="18"/>
              </w:rPr>
              <w:t xml:space="preserve"> </w:t>
            </w:r>
            <w:r>
              <w:rPr>
                <w:rFonts w:ascii="Times New Roman" w:eastAsia="Times New Roman" w:hAnsi="Times New Roman"/>
                <w:color w:val="000000"/>
                <w:spacing w:val="10"/>
                <w:w w:val="114"/>
                <w:sz w:val="18"/>
                <w:szCs w:val="18"/>
              </w:rPr>
              <w:t>G</w:t>
            </w:r>
            <w:r>
              <w:rPr>
                <w:rFonts w:ascii="Times New Roman" w:eastAsia="Times New Roman" w:hAnsi="Times New Roman"/>
                <w:color w:val="000000"/>
                <w:spacing w:val="4"/>
                <w:w w:val="106"/>
                <w:sz w:val="18"/>
                <w:szCs w:val="18"/>
              </w:rPr>
              <w:t>r</w:t>
            </w:r>
            <w:r>
              <w:rPr>
                <w:rFonts w:ascii="Times New Roman" w:eastAsia="Times New Roman" w:hAnsi="Times New Roman"/>
                <w:color w:val="000000"/>
                <w:spacing w:val="8"/>
                <w:sz w:val="18"/>
                <w:szCs w:val="18"/>
              </w:rPr>
              <w:t>a</w:t>
            </w:r>
            <w:r>
              <w:rPr>
                <w:rFonts w:ascii="Times New Roman" w:eastAsia="Times New Roman" w:hAnsi="Times New Roman"/>
                <w:color w:val="000000"/>
                <w:spacing w:val="8"/>
                <w:w w:val="117"/>
                <w:sz w:val="18"/>
                <w:szCs w:val="18"/>
              </w:rPr>
              <w:t>d</w:t>
            </w:r>
            <w:r>
              <w:rPr>
                <w:rFonts w:ascii="Times New Roman" w:eastAsia="Times New Roman" w:hAnsi="Times New Roman"/>
                <w:color w:val="000000"/>
                <w:spacing w:val="10"/>
                <w:sz w:val="18"/>
                <w:szCs w:val="18"/>
              </w:rPr>
              <w:t>a</w:t>
            </w:r>
            <w:r>
              <w:rPr>
                <w:rFonts w:ascii="Times New Roman" w:eastAsia="Times New Roman" w:hAnsi="Times New Roman"/>
                <w:color w:val="000000"/>
                <w:spacing w:val="9"/>
                <w:sz w:val="18"/>
                <w:szCs w:val="18"/>
              </w:rPr>
              <w:t xml:space="preserve"> </w:t>
            </w:r>
            <w:r>
              <w:rPr>
                <w:rFonts w:ascii="Times New Roman" w:eastAsia="Times New Roman" w:hAnsi="Times New Roman"/>
                <w:color w:val="000000"/>
                <w:spacing w:val="12"/>
                <w:w w:val="97"/>
                <w:sz w:val="18"/>
                <w:szCs w:val="18"/>
              </w:rPr>
              <w:t>V</w:t>
            </w:r>
            <w:r>
              <w:rPr>
                <w:rFonts w:ascii="Times New Roman" w:eastAsia="Times New Roman" w:hAnsi="Times New Roman"/>
                <w:color w:val="000000"/>
                <w:spacing w:val="2"/>
                <w:w w:val="117"/>
                <w:sz w:val="18"/>
                <w:szCs w:val="18"/>
              </w:rPr>
              <w:t>u</w:t>
            </w:r>
            <w:r>
              <w:rPr>
                <w:rFonts w:ascii="Times New Roman" w:eastAsia="Times New Roman" w:hAnsi="Times New Roman"/>
                <w:color w:val="000000"/>
                <w:spacing w:val="13"/>
                <w:w w:val="106"/>
                <w:sz w:val="18"/>
                <w:szCs w:val="18"/>
              </w:rPr>
              <w:t>k</w:t>
            </w:r>
            <w:r>
              <w:rPr>
                <w:rFonts w:ascii="Times New Roman" w:eastAsia="Times New Roman" w:hAnsi="Times New Roman"/>
                <w:color w:val="000000"/>
                <w:spacing w:val="4"/>
                <w:w w:val="117"/>
                <w:sz w:val="18"/>
                <w:szCs w:val="18"/>
              </w:rPr>
              <w:t>o</w:t>
            </w:r>
            <w:r>
              <w:rPr>
                <w:rFonts w:ascii="Times New Roman" w:eastAsia="Times New Roman" w:hAnsi="Times New Roman"/>
                <w:color w:val="000000"/>
                <w:spacing w:val="-17"/>
                <w:w w:val="106"/>
                <w:sz w:val="18"/>
                <w:szCs w:val="18"/>
              </w:rPr>
              <w:t>v</w:t>
            </w:r>
            <w:r>
              <w:rPr>
                <w:rFonts w:ascii="Times New Roman" w:eastAsia="Times New Roman" w:hAnsi="Times New Roman"/>
                <w:color w:val="000000"/>
                <w:spacing w:val="5"/>
                <w:sz w:val="18"/>
                <w:szCs w:val="18"/>
              </w:rPr>
              <w:t>a</w:t>
            </w:r>
            <w:r>
              <w:rPr>
                <w:rFonts w:ascii="Times New Roman" w:eastAsia="Times New Roman" w:hAnsi="Times New Roman"/>
                <w:color w:val="000000"/>
                <w:spacing w:val="1"/>
                <w:w w:val="106"/>
                <w:sz w:val="18"/>
                <w:szCs w:val="18"/>
              </w:rPr>
              <w:t>r</w:t>
            </w:r>
            <w:r>
              <w:rPr>
                <w:rFonts w:ascii="Times New Roman" w:eastAsia="Times New Roman" w:hAnsi="Times New Roman"/>
                <w:color w:val="000000"/>
                <w:spacing w:val="6"/>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56FF0A62" w14:textId="77777777" w:rsidR="00C5315F" w:rsidRDefault="00C5315F" w:rsidP="00072476">
            <w:pPr>
              <w:spacing w:before="6" w:after="0" w:line="236"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spacing w:val="-4"/>
                <w:w w:val="117"/>
                <w:sz w:val="18"/>
                <w:szCs w:val="18"/>
              </w:rPr>
              <w:t>7</w:t>
            </w:r>
            <w:r>
              <w:rPr>
                <w:rFonts w:ascii="Times New Roman" w:eastAsia="Times New Roman" w:hAnsi="Times New Roman"/>
                <w:color w:val="000000"/>
                <w:w w:val="117"/>
                <w:sz w:val="18"/>
                <w:szCs w:val="18"/>
              </w:rPr>
              <w:t>0</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3E2ED1" w14:textId="77777777" w:rsidR="00C5315F" w:rsidRDefault="00C5315F" w:rsidP="00072476">
            <w:pPr>
              <w:spacing w:before="11" w:after="0" w:line="231"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4</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996B9E8"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666B2AD" w14:textId="77777777" w:rsidR="00C5315F" w:rsidRDefault="00C5315F" w:rsidP="00072476">
            <w:pPr>
              <w:spacing w:before="11" w:after="0" w:line="231"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CE175EE" w14:textId="77777777" w:rsidR="00C5315F" w:rsidRDefault="00C5315F" w:rsidP="00072476">
            <w:pPr>
              <w:spacing w:before="6"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5</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2076188F" w14:textId="77777777" w:rsidR="00C5315F" w:rsidRDefault="00C5315F" w:rsidP="00072476">
            <w:pPr>
              <w:spacing w:before="11" w:after="0" w:line="231"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5</w:t>
            </w:r>
            <w:r>
              <w:rPr>
                <w:rFonts w:ascii="Times New Roman" w:eastAsia="Times New Roman" w:hAnsi="Times New Roman"/>
                <w:color w:val="000000"/>
                <w:w w:val="117"/>
                <w:sz w:val="18"/>
                <w:szCs w:val="18"/>
              </w:rPr>
              <w:t>4</w:t>
            </w:r>
          </w:p>
        </w:tc>
      </w:tr>
      <w:tr w:rsidR="00C5315F" w14:paraId="7709F85E"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1E8BDD3C" w14:textId="77777777" w:rsidR="00C5315F" w:rsidRDefault="00C5315F" w:rsidP="00072476">
            <w:pPr>
              <w:spacing w:before="7" w:after="0" w:line="236" w:lineRule="auto"/>
              <w:ind w:left="35" w:right="-20"/>
              <w:rPr>
                <w:rFonts w:ascii="Times New Roman" w:eastAsia="Times New Roman" w:hAnsi="Times New Roman"/>
                <w:color w:val="000000"/>
                <w:spacing w:val="7"/>
                <w:sz w:val="18"/>
                <w:szCs w:val="18"/>
              </w:rPr>
            </w:pPr>
            <w:r>
              <w:rPr>
                <w:rFonts w:ascii="Times New Roman" w:eastAsia="Times New Roman" w:hAnsi="Times New Roman"/>
                <w:color w:val="000000"/>
                <w:spacing w:val="1"/>
                <w:w w:val="106"/>
                <w:sz w:val="18"/>
                <w:szCs w:val="18"/>
              </w:rPr>
              <w:t>D</w:t>
            </w:r>
            <w:r>
              <w:rPr>
                <w:rFonts w:ascii="Times New Roman" w:eastAsia="Times New Roman" w:hAnsi="Times New Roman"/>
                <w:color w:val="000000"/>
                <w:spacing w:val="6"/>
                <w:w w:val="117"/>
                <w:sz w:val="18"/>
                <w:szCs w:val="18"/>
              </w:rPr>
              <w:t>u</w:t>
            </w:r>
            <w:r>
              <w:rPr>
                <w:rFonts w:ascii="Times New Roman" w:eastAsia="Times New Roman" w:hAnsi="Times New Roman"/>
                <w:color w:val="000000"/>
                <w:spacing w:val="2"/>
                <w:w w:val="117"/>
                <w:sz w:val="18"/>
                <w:szCs w:val="18"/>
              </w:rPr>
              <w:t>b</w:t>
            </w:r>
            <w:r>
              <w:rPr>
                <w:rFonts w:ascii="Times New Roman" w:eastAsia="Times New Roman" w:hAnsi="Times New Roman"/>
                <w:color w:val="000000"/>
                <w:spacing w:val="3"/>
                <w:w w:val="106"/>
                <w:sz w:val="18"/>
                <w:szCs w:val="18"/>
              </w:rPr>
              <w:t>r</w:t>
            </w:r>
            <w:r>
              <w:rPr>
                <w:rFonts w:ascii="Times New Roman" w:eastAsia="Times New Roman" w:hAnsi="Times New Roman"/>
                <w:color w:val="000000"/>
                <w:spacing w:val="2"/>
                <w:sz w:val="18"/>
                <w:szCs w:val="18"/>
              </w:rPr>
              <w:t>a</w:t>
            </w:r>
            <w:r>
              <w:rPr>
                <w:rFonts w:ascii="Times New Roman" w:eastAsia="Times New Roman" w:hAnsi="Times New Roman"/>
                <w:color w:val="000000"/>
                <w:spacing w:val="-13"/>
                <w:w w:val="106"/>
                <w:sz w:val="18"/>
                <w:szCs w:val="18"/>
              </w:rPr>
              <w:t>v</w:t>
            </w:r>
            <w:r>
              <w:rPr>
                <w:rFonts w:ascii="Times New Roman" w:eastAsia="Times New Roman" w:hAnsi="Times New Roman"/>
                <w:color w:val="000000"/>
                <w:spacing w:val="7"/>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76B3025D" w14:textId="77777777" w:rsidR="00C5315F" w:rsidRDefault="00C5315F" w:rsidP="00072476">
            <w:pPr>
              <w:spacing w:before="7" w:after="0" w:line="236"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spacing w:val="-4"/>
                <w:w w:val="117"/>
                <w:sz w:val="18"/>
                <w:szCs w:val="18"/>
              </w:rPr>
              <w:t>0</w:t>
            </w: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C6E9322" w14:textId="77777777" w:rsidR="00C5315F" w:rsidRDefault="00C5315F" w:rsidP="00072476">
            <w:pPr>
              <w:spacing w:before="11" w:after="0" w:line="230"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spacing w:val="-3"/>
                <w:w w:val="117"/>
                <w:sz w:val="18"/>
                <w:szCs w:val="18"/>
              </w:rPr>
              <w:t>0</w:t>
            </w:r>
            <w:r>
              <w:rPr>
                <w:rFonts w:ascii="Times New Roman" w:eastAsia="Times New Roman" w:hAnsi="Times New Roman"/>
                <w:color w:val="000000"/>
                <w:w w:val="117"/>
                <w:sz w:val="18"/>
                <w:szCs w:val="18"/>
              </w:rPr>
              <w:t>5</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90F682D" w14:textId="77777777" w:rsidR="00C5315F" w:rsidRDefault="00C5315F" w:rsidP="00072476">
            <w:pPr>
              <w:spacing w:before="7" w:after="0" w:line="236"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1C649B" w14:textId="77777777" w:rsidR="00C5315F" w:rsidRDefault="00C5315F" w:rsidP="00072476">
            <w:pPr>
              <w:spacing w:before="11" w:after="0" w:line="230"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F4C7B7B" w14:textId="77777777" w:rsidR="00C5315F" w:rsidRDefault="00C5315F" w:rsidP="00072476">
            <w:pPr>
              <w:spacing w:before="7"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1</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2429EA30" w14:textId="77777777" w:rsidR="00C5315F" w:rsidRDefault="00C5315F" w:rsidP="00072476">
            <w:pPr>
              <w:spacing w:before="11" w:after="0" w:line="230"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5</w:t>
            </w:r>
            <w:r>
              <w:rPr>
                <w:rFonts w:ascii="Times New Roman" w:eastAsia="Times New Roman" w:hAnsi="Times New Roman"/>
                <w:color w:val="000000"/>
                <w:w w:val="117"/>
                <w:sz w:val="18"/>
                <w:szCs w:val="18"/>
              </w:rPr>
              <w:t>1</w:t>
            </w:r>
          </w:p>
        </w:tc>
      </w:tr>
      <w:tr w:rsidR="00C5315F" w14:paraId="6B1654A2"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548A328C" w14:textId="77777777" w:rsidR="00C5315F" w:rsidRDefault="00C5315F" w:rsidP="00072476">
            <w:pPr>
              <w:spacing w:before="7" w:after="0" w:line="236" w:lineRule="auto"/>
              <w:ind w:left="35" w:right="-20"/>
              <w:rPr>
                <w:rFonts w:ascii="Times New Roman" w:eastAsia="Times New Roman" w:hAnsi="Times New Roman"/>
                <w:color w:val="000000"/>
                <w:spacing w:val="11"/>
                <w:sz w:val="18"/>
                <w:szCs w:val="18"/>
              </w:rPr>
            </w:pPr>
            <w:r>
              <w:rPr>
                <w:rFonts w:ascii="Times New Roman" w:eastAsia="Times New Roman" w:hAnsi="Times New Roman"/>
                <w:color w:val="000000"/>
                <w:spacing w:val="-3"/>
                <w:w w:val="105"/>
                <w:sz w:val="18"/>
                <w:szCs w:val="18"/>
              </w:rPr>
              <w:t>Z</w:t>
            </w:r>
            <w:r>
              <w:rPr>
                <w:rFonts w:ascii="Times New Roman" w:eastAsia="Times New Roman" w:hAnsi="Times New Roman"/>
                <w:color w:val="000000"/>
                <w:spacing w:val="9"/>
                <w:sz w:val="18"/>
                <w:szCs w:val="18"/>
              </w:rPr>
              <w:t>a</w:t>
            </w:r>
            <w:r>
              <w:rPr>
                <w:rFonts w:ascii="Times New Roman" w:eastAsia="Times New Roman" w:hAnsi="Times New Roman"/>
                <w:color w:val="000000"/>
                <w:spacing w:val="6"/>
                <w:w w:val="117"/>
                <w:sz w:val="18"/>
                <w:szCs w:val="18"/>
              </w:rPr>
              <w:t>g</w:t>
            </w:r>
            <w:r>
              <w:rPr>
                <w:rFonts w:ascii="Times New Roman" w:eastAsia="Times New Roman" w:hAnsi="Times New Roman"/>
                <w:color w:val="000000"/>
                <w:spacing w:val="6"/>
                <w:w w:val="106"/>
                <w:sz w:val="18"/>
                <w:szCs w:val="18"/>
              </w:rPr>
              <w:t>r</w:t>
            </w:r>
            <w:r>
              <w:rPr>
                <w:rFonts w:ascii="Times New Roman" w:eastAsia="Times New Roman" w:hAnsi="Times New Roman"/>
                <w:color w:val="000000"/>
                <w:spacing w:val="5"/>
                <w:sz w:val="18"/>
                <w:szCs w:val="18"/>
              </w:rPr>
              <w:t>e</w:t>
            </w:r>
            <w:r>
              <w:rPr>
                <w:rFonts w:ascii="Times New Roman" w:eastAsia="Times New Roman" w:hAnsi="Times New Roman"/>
                <w:color w:val="000000"/>
                <w:spacing w:val="8"/>
                <w:w w:val="117"/>
                <w:sz w:val="18"/>
                <w:szCs w:val="18"/>
              </w:rPr>
              <w:t>b</w:t>
            </w:r>
            <w:r>
              <w:rPr>
                <w:rFonts w:ascii="Times New Roman" w:eastAsia="Times New Roman" w:hAnsi="Times New Roman"/>
                <w:color w:val="000000"/>
                <w:spacing w:val="9"/>
                <w:sz w:val="18"/>
                <w:szCs w:val="18"/>
              </w:rPr>
              <w:t>a</w:t>
            </w:r>
            <w:r>
              <w:rPr>
                <w:rFonts w:ascii="Times New Roman" w:eastAsia="Times New Roman" w:hAnsi="Times New Roman"/>
                <w:color w:val="000000"/>
                <w:spacing w:val="16"/>
                <w:w w:val="119"/>
                <w:sz w:val="18"/>
                <w:szCs w:val="18"/>
              </w:rPr>
              <w:t>č</w:t>
            </w:r>
            <w:r>
              <w:rPr>
                <w:rFonts w:ascii="Times New Roman" w:eastAsia="Times New Roman" w:hAnsi="Times New Roman"/>
                <w:color w:val="000000"/>
                <w:spacing w:val="17"/>
                <w:w w:val="106"/>
                <w:sz w:val="18"/>
                <w:szCs w:val="18"/>
              </w:rPr>
              <w:t>k</w:t>
            </w:r>
            <w:r>
              <w:rPr>
                <w:rFonts w:ascii="Times New Roman" w:eastAsia="Times New Roman" w:hAnsi="Times New Roman"/>
                <w:color w:val="000000"/>
                <w:spacing w:val="10"/>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9"/>
                <w:sz w:val="18"/>
                <w:szCs w:val="18"/>
              </w:rPr>
              <w:t>a</w:t>
            </w:r>
            <w:r>
              <w:rPr>
                <w:rFonts w:ascii="Times New Roman" w:eastAsia="Times New Roman" w:hAnsi="Times New Roman"/>
                <w:color w:val="000000"/>
                <w:spacing w:val="-11"/>
                <w:w w:val="106"/>
                <w:sz w:val="18"/>
                <w:szCs w:val="18"/>
              </w:rPr>
              <w:t>v</w:t>
            </w:r>
            <w:r>
              <w:rPr>
                <w:rFonts w:ascii="Times New Roman" w:eastAsia="Times New Roman" w:hAnsi="Times New Roman"/>
                <w:color w:val="000000"/>
                <w:spacing w:val="8"/>
                <w:sz w:val="18"/>
                <w:szCs w:val="18"/>
              </w:rPr>
              <w:t>e</w:t>
            </w:r>
            <w:r>
              <w:rPr>
                <w:rFonts w:ascii="Times New Roman" w:eastAsia="Times New Roman" w:hAnsi="Times New Roman"/>
                <w:color w:val="000000"/>
                <w:spacing w:val="7"/>
                <w:w w:val="117"/>
                <w:sz w:val="18"/>
                <w:szCs w:val="18"/>
              </w:rPr>
              <w:t>n</w:t>
            </w:r>
            <w:r>
              <w:rPr>
                <w:rFonts w:ascii="Times New Roman" w:eastAsia="Times New Roman" w:hAnsi="Times New Roman"/>
                <w:color w:val="000000"/>
                <w:spacing w:val="13"/>
                <w:w w:val="84"/>
                <w:sz w:val="18"/>
                <w:szCs w:val="18"/>
              </w:rPr>
              <w:t>ij</w:t>
            </w:r>
            <w:r>
              <w:rPr>
                <w:rFonts w:ascii="Times New Roman" w:eastAsia="Times New Roman" w:hAnsi="Times New Roman"/>
                <w:color w:val="000000"/>
                <w:spacing w:val="11"/>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54C1FD33" w14:textId="77777777" w:rsidR="00C5315F" w:rsidRDefault="00C5315F" w:rsidP="00072476">
            <w:pPr>
              <w:spacing w:before="7" w:after="0" w:line="236"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spacing w:val="-4"/>
                <w:w w:val="117"/>
                <w:sz w:val="18"/>
                <w:szCs w:val="18"/>
              </w:rPr>
              <w:t>1</w:t>
            </w:r>
            <w:r>
              <w:rPr>
                <w:rFonts w:ascii="Times New Roman" w:eastAsia="Times New Roman" w:hAnsi="Times New Roman"/>
                <w:color w:val="000000"/>
                <w:w w:val="117"/>
                <w:sz w:val="18"/>
                <w:szCs w:val="18"/>
              </w:rPr>
              <w:t>7</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11B6D49" w14:textId="77777777" w:rsidR="00C5315F" w:rsidRDefault="00C5315F" w:rsidP="00072476">
            <w:pPr>
              <w:spacing w:before="12" w:after="0" w:line="230"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9</w:t>
            </w:r>
            <w:r>
              <w:rPr>
                <w:rFonts w:ascii="Times New Roman" w:eastAsia="Times New Roman" w:hAnsi="Times New Roman"/>
                <w:color w:val="000000"/>
                <w:w w:val="117"/>
                <w:sz w:val="18"/>
                <w:szCs w:val="18"/>
              </w:rPr>
              <w:t>4</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43C689C" w14:textId="77777777" w:rsidR="00C5315F" w:rsidRDefault="00C5315F" w:rsidP="00072476">
            <w:pPr>
              <w:spacing w:before="7" w:after="0" w:line="236"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C85C90B" w14:textId="77777777" w:rsidR="00C5315F" w:rsidRDefault="00C5315F" w:rsidP="00072476">
            <w:pPr>
              <w:spacing w:before="12" w:after="0" w:line="230"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7E7074" w14:textId="77777777" w:rsidR="00C5315F" w:rsidRDefault="00C5315F" w:rsidP="00072476">
            <w:pPr>
              <w:spacing w:before="7"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4</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34ACFA97" w14:textId="77777777" w:rsidR="00C5315F" w:rsidRDefault="00C5315F" w:rsidP="00072476">
            <w:pPr>
              <w:spacing w:before="12" w:after="0" w:line="230"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4</w:t>
            </w:r>
            <w:r>
              <w:rPr>
                <w:rFonts w:ascii="Times New Roman" w:eastAsia="Times New Roman" w:hAnsi="Times New Roman"/>
                <w:color w:val="000000"/>
                <w:w w:val="117"/>
                <w:sz w:val="18"/>
                <w:szCs w:val="18"/>
              </w:rPr>
              <w:t>5</w:t>
            </w:r>
          </w:p>
        </w:tc>
      </w:tr>
      <w:tr w:rsidR="00C5315F" w14:paraId="662056F0"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52B9CCA0" w14:textId="77777777" w:rsidR="00C5315F" w:rsidRDefault="00C5315F" w:rsidP="00072476">
            <w:pPr>
              <w:spacing w:before="7" w:after="0" w:line="236" w:lineRule="auto"/>
              <w:ind w:left="35" w:right="-20"/>
              <w:rPr>
                <w:rFonts w:ascii="Times New Roman" w:eastAsia="Times New Roman" w:hAnsi="Times New Roman"/>
                <w:color w:val="000000"/>
                <w:spacing w:val="9"/>
                <w:sz w:val="18"/>
                <w:szCs w:val="18"/>
              </w:rPr>
            </w:pPr>
            <w:r>
              <w:rPr>
                <w:rFonts w:ascii="Times New Roman" w:eastAsia="Times New Roman" w:hAnsi="Times New Roman"/>
                <w:color w:val="000000"/>
                <w:spacing w:val="12"/>
                <w:w w:val="99"/>
                <w:sz w:val="18"/>
                <w:szCs w:val="18"/>
              </w:rPr>
              <w:t>M</w:t>
            </w:r>
            <w:r>
              <w:rPr>
                <w:rFonts w:ascii="Times New Roman" w:eastAsia="Times New Roman" w:hAnsi="Times New Roman"/>
                <w:color w:val="000000"/>
                <w:spacing w:val="7"/>
                <w:sz w:val="18"/>
                <w:szCs w:val="18"/>
              </w:rPr>
              <w:t>a</w:t>
            </w:r>
            <w:r>
              <w:rPr>
                <w:rFonts w:ascii="Times New Roman" w:eastAsia="Times New Roman" w:hAnsi="Times New Roman"/>
                <w:color w:val="000000"/>
                <w:spacing w:val="16"/>
                <w:w w:val="106"/>
                <w:sz w:val="18"/>
                <w:szCs w:val="18"/>
              </w:rPr>
              <w:t>k</w:t>
            </w:r>
            <w:r>
              <w:rPr>
                <w:rFonts w:ascii="Times New Roman" w:eastAsia="Times New Roman" w:hAnsi="Times New Roman"/>
                <w:color w:val="000000"/>
                <w:spacing w:val="15"/>
                <w:sz w:val="18"/>
                <w:szCs w:val="18"/>
              </w:rPr>
              <w:t>s</w:t>
            </w:r>
            <w:r>
              <w:rPr>
                <w:rFonts w:ascii="Times New Roman" w:eastAsia="Times New Roman" w:hAnsi="Times New Roman"/>
                <w:color w:val="000000"/>
                <w:spacing w:val="12"/>
                <w:w w:val="84"/>
                <w:sz w:val="18"/>
                <w:szCs w:val="18"/>
              </w:rPr>
              <w:t>i</w:t>
            </w:r>
            <w:r>
              <w:rPr>
                <w:rFonts w:ascii="Times New Roman" w:eastAsia="Times New Roman" w:hAnsi="Times New Roman"/>
                <w:color w:val="000000"/>
                <w:spacing w:val="12"/>
                <w:w w:val="113"/>
                <w:sz w:val="18"/>
                <w:szCs w:val="18"/>
              </w:rPr>
              <w:t>m</w:t>
            </w:r>
            <w:r>
              <w:rPr>
                <w:rFonts w:ascii="Times New Roman" w:eastAsia="Times New Roman" w:hAnsi="Times New Roman"/>
                <w:color w:val="000000"/>
                <w:spacing w:val="9"/>
                <w:w w:val="84"/>
                <w:sz w:val="18"/>
                <w:szCs w:val="18"/>
              </w:rPr>
              <w:t>i</w:t>
            </w:r>
            <w:r>
              <w:rPr>
                <w:rFonts w:ascii="Times New Roman" w:eastAsia="Times New Roman" w:hAnsi="Times New Roman"/>
                <w:color w:val="000000"/>
                <w:spacing w:val="6"/>
                <w:w w:val="106"/>
                <w:sz w:val="18"/>
                <w:szCs w:val="18"/>
              </w:rPr>
              <w:t>r</w:t>
            </w:r>
            <w:r>
              <w:rPr>
                <w:rFonts w:ascii="Times New Roman" w:eastAsia="Times New Roman" w:hAnsi="Times New Roman"/>
                <w:color w:val="000000"/>
                <w:spacing w:val="15"/>
                <w:sz w:val="18"/>
                <w:szCs w:val="18"/>
              </w:rPr>
              <w:t>s</w:t>
            </w:r>
            <w:r>
              <w:rPr>
                <w:rFonts w:ascii="Times New Roman" w:eastAsia="Times New Roman" w:hAnsi="Times New Roman"/>
                <w:color w:val="000000"/>
                <w:spacing w:val="17"/>
                <w:w w:val="106"/>
                <w:sz w:val="18"/>
                <w:szCs w:val="18"/>
              </w:rPr>
              <w:t>k</w:t>
            </w:r>
            <w:r>
              <w:rPr>
                <w:rFonts w:ascii="Times New Roman" w:eastAsia="Times New Roman" w:hAnsi="Times New Roman"/>
                <w:color w:val="000000"/>
                <w:spacing w:val="9"/>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3CEC070B" w14:textId="77777777" w:rsidR="00C5315F" w:rsidRDefault="00C5315F" w:rsidP="00072476">
            <w:pPr>
              <w:spacing w:before="7" w:after="0" w:line="236"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8</w:t>
            </w:r>
            <w:r>
              <w:rPr>
                <w:rFonts w:ascii="Times New Roman" w:eastAsia="Times New Roman" w:hAnsi="Times New Roman"/>
                <w:color w:val="000000"/>
                <w:w w:val="117"/>
                <w:sz w:val="18"/>
                <w:szCs w:val="18"/>
              </w:rPr>
              <w:t>5</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D70092" w14:textId="77777777" w:rsidR="00C5315F" w:rsidRDefault="00C5315F" w:rsidP="00072476">
            <w:pPr>
              <w:spacing w:before="12" w:after="0" w:line="230"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8</w:t>
            </w:r>
            <w:r>
              <w:rPr>
                <w:rFonts w:ascii="Times New Roman" w:eastAsia="Times New Roman" w:hAnsi="Times New Roman"/>
                <w:color w:val="000000"/>
                <w:w w:val="117"/>
                <w:sz w:val="18"/>
                <w:szCs w:val="18"/>
              </w:rPr>
              <w:t>0</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43DB721"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A761E1" w14:textId="77777777" w:rsidR="00C5315F" w:rsidRDefault="00C5315F" w:rsidP="00072476"/>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662B600" w14:textId="77777777" w:rsidR="00C5315F" w:rsidRDefault="00C5315F" w:rsidP="00072476">
            <w:pPr>
              <w:spacing w:before="7"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0</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73ECFFDA" w14:textId="77777777" w:rsidR="00C5315F" w:rsidRDefault="00C5315F" w:rsidP="00072476">
            <w:pPr>
              <w:spacing w:before="12" w:after="0" w:line="230"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5</w:t>
            </w:r>
            <w:r>
              <w:rPr>
                <w:rFonts w:ascii="Times New Roman" w:eastAsia="Times New Roman" w:hAnsi="Times New Roman"/>
                <w:color w:val="000000"/>
                <w:w w:val="117"/>
                <w:sz w:val="18"/>
                <w:szCs w:val="18"/>
              </w:rPr>
              <w:t>5</w:t>
            </w:r>
          </w:p>
        </w:tc>
      </w:tr>
      <w:tr w:rsidR="00C5315F" w14:paraId="1D486ABB" w14:textId="77777777" w:rsidTr="00072476">
        <w:trPr>
          <w:cantSplit/>
          <w:trHeight w:hRule="exact" w:val="211"/>
        </w:trPr>
        <w:tc>
          <w:tcPr>
            <w:tcW w:w="3136" w:type="dxa"/>
            <w:tcBorders>
              <w:top w:val="single" w:sz="5" w:space="0" w:color="000000"/>
              <w:left w:val="single" w:sz="5" w:space="0" w:color="000000"/>
              <w:bottom w:val="single" w:sz="4" w:space="0" w:color="000000"/>
              <w:right w:val="single" w:sz="11" w:space="0" w:color="000000"/>
            </w:tcBorders>
            <w:tcMar>
              <w:top w:w="0" w:type="dxa"/>
              <w:left w:w="0" w:type="dxa"/>
              <w:bottom w:w="0" w:type="dxa"/>
              <w:right w:w="0" w:type="dxa"/>
            </w:tcMar>
          </w:tcPr>
          <w:p w14:paraId="01B42210" w14:textId="77777777" w:rsidR="00C5315F" w:rsidRDefault="00C5315F" w:rsidP="00072476">
            <w:pPr>
              <w:spacing w:before="7" w:after="0" w:line="236" w:lineRule="auto"/>
              <w:ind w:left="35" w:right="-20"/>
              <w:rPr>
                <w:rFonts w:ascii="Times New Roman" w:eastAsia="Times New Roman" w:hAnsi="Times New Roman"/>
                <w:color w:val="000000"/>
                <w:w w:val="106"/>
                <w:sz w:val="18"/>
                <w:szCs w:val="18"/>
              </w:rPr>
            </w:pPr>
            <w:r>
              <w:rPr>
                <w:rFonts w:ascii="Times New Roman" w:eastAsia="Times New Roman" w:hAnsi="Times New Roman"/>
                <w:color w:val="000000"/>
                <w:spacing w:val="11"/>
                <w:w w:val="97"/>
                <w:sz w:val="18"/>
                <w:szCs w:val="18"/>
              </w:rPr>
              <w:t>A</w:t>
            </w:r>
            <w:r>
              <w:rPr>
                <w:rFonts w:ascii="Times New Roman" w:eastAsia="Times New Roman" w:hAnsi="Times New Roman"/>
                <w:color w:val="000000"/>
                <w:spacing w:val="-11"/>
                <w:w w:val="106"/>
                <w:sz w:val="18"/>
                <w:szCs w:val="18"/>
              </w:rPr>
              <w:t>v</w:t>
            </w:r>
            <w:r>
              <w:rPr>
                <w:rFonts w:ascii="Times New Roman" w:eastAsia="Times New Roman" w:hAnsi="Times New Roman"/>
                <w:color w:val="000000"/>
                <w:spacing w:val="2"/>
                <w:sz w:val="18"/>
                <w:szCs w:val="18"/>
              </w:rPr>
              <w:t>e</w:t>
            </w:r>
            <w:r>
              <w:rPr>
                <w:rFonts w:ascii="Times New Roman" w:eastAsia="Times New Roman" w:hAnsi="Times New Roman"/>
                <w:color w:val="000000"/>
                <w:spacing w:val="5"/>
                <w:w w:val="117"/>
                <w:sz w:val="18"/>
                <w:szCs w:val="18"/>
              </w:rPr>
              <w:t>n</w:t>
            </w:r>
            <w:r>
              <w:rPr>
                <w:rFonts w:ascii="Times New Roman" w:eastAsia="Times New Roman" w:hAnsi="Times New Roman"/>
                <w:color w:val="000000"/>
                <w:spacing w:val="7"/>
                <w:w w:val="84"/>
                <w:sz w:val="18"/>
                <w:szCs w:val="18"/>
              </w:rPr>
              <w:t>ij</w:t>
            </w:r>
            <w:r>
              <w:rPr>
                <w:rFonts w:ascii="Times New Roman" w:eastAsia="Times New Roman" w:hAnsi="Times New Roman"/>
                <w:color w:val="000000"/>
                <w:spacing w:val="7"/>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5"/>
                <w:w w:val="106"/>
                <w:sz w:val="18"/>
                <w:szCs w:val="18"/>
              </w:rPr>
              <w:t>D</w:t>
            </w:r>
            <w:r>
              <w:rPr>
                <w:rFonts w:ascii="Times New Roman" w:eastAsia="Times New Roman" w:hAnsi="Times New Roman"/>
                <w:color w:val="000000"/>
                <w:spacing w:val="-2"/>
                <w:w w:val="117"/>
                <w:sz w:val="18"/>
                <w:szCs w:val="18"/>
              </w:rPr>
              <w:t>u</w:t>
            </w:r>
            <w:r>
              <w:rPr>
                <w:rFonts w:ascii="Times New Roman" w:eastAsia="Times New Roman" w:hAnsi="Times New Roman"/>
                <w:color w:val="000000"/>
                <w:spacing w:val="-3"/>
                <w:w w:val="117"/>
                <w:sz w:val="18"/>
                <w:szCs w:val="18"/>
              </w:rPr>
              <w:t>b</w:t>
            </w:r>
            <w:r>
              <w:rPr>
                <w:rFonts w:ascii="Times New Roman" w:eastAsia="Times New Roman" w:hAnsi="Times New Roman"/>
                <w:color w:val="000000"/>
                <w:spacing w:val="-6"/>
                <w:w w:val="106"/>
                <w:sz w:val="18"/>
                <w:szCs w:val="18"/>
              </w:rPr>
              <w:t>r</w:t>
            </w:r>
            <w:r>
              <w:rPr>
                <w:rFonts w:ascii="Times New Roman" w:eastAsia="Times New Roman" w:hAnsi="Times New Roman"/>
                <w:color w:val="000000"/>
                <w:spacing w:val="-3"/>
                <w:w w:val="117"/>
                <w:sz w:val="18"/>
                <w:szCs w:val="18"/>
              </w:rPr>
              <w:t>o</w:t>
            </w:r>
            <w:r>
              <w:rPr>
                <w:rFonts w:ascii="Times New Roman" w:eastAsia="Times New Roman" w:hAnsi="Times New Roman"/>
                <w:color w:val="000000"/>
                <w:spacing w:val="-23"/>
                <w:w w:val="106"/>
                <w:sz w:val="18"/>
                <w:szCs w:val="18"/>
              </w:rPr>
              <w:t>v</w:t>
            </w:r>
            <w:r>
              <w:rPr>
                <w:rFonts w:ascii="Times New Roman" w:eastAsia="Times New Roman" w:hAnsi="Times New Roman"/>
                <w:color w:val="000000"/>
                <w:spacing w:val="-1"/>
                <w:w w:val="117"/>
                <w:sz w:val="18"/>
                <w:szCs w:val="18"/>
              </w:rPr>
              <w:t>n</w:t>
            </w:r>
            <w:r>
              <w:rPr>
                <w:rFonts w:ascii="Times New Roman" w:eastAsia="Times New Roman" w:hAnsi="Times New Roman"/>
                <w:color w:val="000000"/>
                <w:w w:val="84"/>
                <w:sz w:val="18"/>
                <w:szCs w:val="18"/>
              </w:rPr>
              <w:t>i</w:t>
            </w:r>
            <w:r>
              <w:rPr>
                <w:rFonts w:ascii="Times New Roman" w:eastAsia="Times New Roman" w:hAnsi="Times New Roman"/>
                <w:color w:val="000000"/>
                <w:w w:val="106"/>
                <w:sz w:val="18"/>
                <w:szCs w:val="18"/>
              </w:rPr>
              <w:t>k</w:t>
            </w:r>
          </w:p>
        </w:tc>
        <w:tc>
          <w:tcPr>
            <w:tcW w:w="881" w:type="dxa"/>
            <w:tcBorders>
              <w:top w:val="single" w:sz="5" w:space="0" w:color="000000"/>
              <w:left w:val="single" w:sz="11" w:space="0" w:color="000000"/>
              <w:bottom w:val="single" w:sz="4" w:space="0" w:color="000000"/>
              <w:right w:val="single" w:sz="5" w:space="0" w:color="000000"/>
            </w:tcBorders>
            <w:tcMar>
              <w:top w:w="0" w:type="dxa"/>
              <w:left w:w="0" w:type="dxa"/>
              <w:bottom w:w="0" w:type="dxa"/>
              <w:right w:w="0" w:type="dxa"/>
            </w:tcMar>
          </w:tcPr>
          <w:p w14:paraId="768B705D" w14:textId="77777777" w:rsidR="00C5315F" w:rsidRDefault="00C5315F" w:rsidP="00072476">
            <w:pPr>
              <w:spacing w:before="7" w:after="0" w:line="236"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14:paraId="5E629499" w14:textId="77777777" w:rsidR="00C5315F" w:rsidRDefault="00C5315F" w:rsidP="00072476">
            <w:pPr>
              <w:spacing w:before="12" w:after="0" w:line="230"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7</w:t>
            </w:r>
            <w:r>
              <w:rPr>
                <w:rFonts w:ascii="Times New Roman" w:eastAsia="Times New Roman" w:hAnsi="Times New Roman"/>
                <w:color w:val="000000"/>
                <w:w w:val="117"/>
                <w:sz w:val="18"/>
                <w:szCs w:val="18"/>
              </w:rPr>
              <w:t>2</w:t>
            </w:r>
          </w:p>
        </w:tc>
        <w:tc>
          <w:tcPr>
            <w:tcW w:w="731"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14:paraId="06EBA93F" w14:textId="77777777" w:rsidR="00C5315F" w:rsidRDefault="00C5315F" w:rsidP="00072476">
            <w:pPr>
              <w:spacing w:before="7" w:after="0" w:line="236"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731"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14:paraId="19C88C70" w14:textId="77777777" w:rsidR="00C5315F" w:rsidRDefault="00C5315F" w:rsidP="00072476">
            <w:pPr>
              <w:spacing w:before="12" w:after="0" w:line="230"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2</w:t>
            </w:r>
          </w:p>
        </w:tc>
        <w:tc>
          <w:tcPr>
            <w:tcW w:w="877" w:type="dxa"/>
            <w:tcBorders>
              <w:top w:val="single" w:sz="5" w:space="0" w:color="000000"/>
              <w:left w:val="single" w:sz="5" w:space="0" w:color="000000"/>
              <w:bottom w:val="single" w:sz="4" w:space="0" w:color="000000"/>
              <w:right w:val="single" w:sz="5" w:space="0" w:color="000000"/>
            </w:tcBorders>
            <w:tcMar>
              <w:top w:w="0" w:type="dxa"/>
              <w:left w:w="0" w:type="dxa"/>
              <w:bottom w:w="0" w:type="dxa"/>
              <w:right w:w="0" w:type="dxa"/>
            </w:tcMar>
          </w:tcPr>
          <w:p w14:paraId="3DC06128" w14:textId="77777777" w:rsidR="00C5315F" w:rsidRDefault="00C5315F" w:rsidP="00072476">
            <w:pPr>
              <w:spacing w:before="7"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6</w:t>
            </w:r>
          </w:p>
        </w:tc>
        <w:tc>
          <w:tcPr>
            <w:tcW w:w="874" w:type="dxa"/>
            <w:tcBorders>
              <w:top w:val="single" w:sz="5" w:space="0" w:color="000000"/>
              <w:left w:val="single" w:sz="5" w:space="0" w:color="000000"/>
              <w:bottom w:val="single" w:sz="4" w:space="0" w:color="000000"/>
              <w:right w:val="single" w:sz="11" w:space="0" w:color="000000"/>
            </w:tcBorders>
            <w:tcMar>
              <w:top w:w="0" w:type="dxa"/>
              <w:left w:w="0" w:type="dxa"/>
              <w:bottom w:w="0" w:type="dxa"/>
              <w:right w:w="0" w:type="dxa"/>
            </w:tcMar>
          </w:tcPr>
          <w:p w14:paraId="185C056A" w14:textId="77777777" w:rsidR="00C5315F" w:rsidRDefault="00C5315F" w:rsidP="00072476">
            <w:pPr>
              <w:spacing w:before="12" w:after="0" w:line="230"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5</w:t>
            </w:r>
          </w:p>
        </w:tc>
      </w:tr>
      <w:tr w:rsidR="00C5315F" w14:paraId="39E5B799" w14:textId="77777777" w:rsidTr="00072476">
        <w:trPr>
          <w:cantSplit/>
          <w:trHeight w:hRule="exact" w:val="211"/>
        </w:trPr>
        <w:tc>
          <w:tcPr>
            <w:tcW w:w="3136" w:type="dxa"/>
            <w:tcBorders>
              <w:top w:val="single" w:sz="4" w:space="0" w:color="000000"/>
              <w:left w:val="single" w:sz="5" w:space="0" w:color="000000"/>
              <w:bottom w:val="single" w:sz="4" w:space="0" w:color="000000"/>
              <w:right w:val="single" w:sz="11" w:space="0" w:color="000000"/>
            </w:tcBorders>
            <w:tcMar>
              <w:top w:w="0" w:type="dxa"/>
              <w:left w:w="0" w:type="dxa"/>
              <w:bottom w:w="0" w:type="dxa"/>
              <w:right w:w="0" w:type="dxa"/>
            </w:tcMar>
          </w:tcPr>
          <w:p w14:paraId="7E335CC0" w14:textId="77777777" w:rsidR="00C5315F" w:rsidRDefault="00C5315F" w:rsidP="00072476">
            <w:pPr>
              <w:spacing w:before="7" w:after="0" w:line="236" w:lineRule="auto"/>
              <w:ind w:left="35" w:right="-20"/>
              <w:rPr>
                <w:rFonts w:ascii="Times New Roman" w:eastAsia="Times New Roman" w:hAnsi="Times New Roman"/>
                <w:color w:val="000000"/>
                <w:spacing w:val="4"/>
                <w:sz w:val="18"/>
                <w:szCs w:val="18"/>
              </w:rPr>
            </w:pPr>
            <w:r>
              <w:rPr>
                <w:rFonts w:ascii="Times New Roman" w:eastAsia="Times New Roman" w:hAnsi="Times New Roman"/>
                <w:color w:val="000000"/>
                <w:spacing w:val="4"/>
                <w:w w:val="97"/>
                <w:sz w:val="18"/>
                <w:szCs w:val="18"/>
              </w:rPr>
              <w:t>A</w:t>
            </w:r>
            <w:r>
              <w:rPr>
                <w:rFonts w:ascii="Times New Roman" w:eastAsia="Times New Roman" w:hAnsi="Times New Roman"/>
                <w:color w:val="000000"/>
                <w:spacing w:val="-18"/>
                <w:w w:val="106"/>
                <w:sz w:val="18"/>
                <w:szCs w:val="18"/>
              </w:rPr>
              <w:t>v</w:t>
            </w:r>
            <w:r>
              <w:rPr>
                <w:rFonts w:ascii="Times New Roman" w:eastAsia="Times New Roman" w:hAnsi="Times New Roman"/>
                <w:color w:val="000000"/>
                <w:w w:val="117"/>
                <w:sz w:val="18"/>
                <w:szCs w:val="18"/>
              </w:rPr>
              <w:t>.</w:t>
            </w:r>
            <w:r>
              <w:rPr>
                <w:rFonts w:ascii="Times New Roman" w:eastAsia="Times New Roman" w:hAnsi="Times New Roman"/>
                <w:color w:val="000000"/>
                <w:spacing w:val="15"/>
                <w:sz w:val="18"/>
                <w:szCs w:val="18"/>
              </w:rPr>
              <w:t xml:space="preserve"> </w:t>
            </w:r>
            <w:r>
              <w:rPr>
                <w:rFonts w:ascii="Times New Roman" w:eastAsia="Times New Roman" w:hAnsi="Times New Roman"/>
                <w:color w:val="000000"/>
                <w:spacing w:val="12"/>
                <w:w w:val="99"/>
                <w:sz w:val="18"/>
                <w:szCs w:val="18"/>
              </w:rPr>
              <w:t>M</w:t>
            </w:r>
            <w:r>
              <w:rPr>
                <w:rFonts w:ascii="Times New Roman" w:eastAsia="Times New Roman" w:hAnsi="Times New Roman"/>
                <w:color w:val="000000"/>
                <w:spacing w:val="6"/>
                <w:sz w:val="18"/>
                <w:szCs w:val="18"/>
              </w:rPr>
              <w:t>a</w:t>
            </w:r>
            <w:r>
              <w:rPr>
                <w:rFonts w:ascii="Times New Roman" w:eastAsia="Times New Roman" w:hAnsi="Times New Roman"/>
                <w:color w:val="000000"/>
                <w:spacing w:val="3"/>
                <w:w w:val="106"/>
                <w:sz w:val="18"/>
                <w:szCs w:val="18"/>
              </w:rPr>
              <w:t>r</w:t>
            </w:r>
            <w:r>
              <w:rPr>
                <w:rFonts w:ascii="Times New Roman" w:eastAsia="Times New Roman" w:hAnsi="Times New Roman"/>
                <w:color w:val="000000"/>
                <w:spacing w:val="11"/>
                <w:w w:val="84"/>
                <w:sz w:val="18"/>
                <w:szCs w:val="18"/>
              </w:rPr>
              <w:t>i</w:t>
            </w:r>
            <w:r>
              <w:rPr>
                <w:rFonts w:ascii="Times New Roman" w:eastAsia="Times New Roman" w:hAnsi="Times New Roman"/>
                <w:color w:val="000000"/>
                <w:spacing w:val="4"/>
                <w:w w:val="117"/>
                <w:sz w:val="18"/>
                <w:szCs w:val="18"/>
              </w:rPr>
              <w:t>n</w:t>
            </w:r>
            <w:r>
              <w:rPr>
                <w:rFonts w:ascii="Times New Roman" w:eastAsia="Times New Roman" w:hAnsi="Times New Roman"/>
                <w:color w:val="000000"/>
                <w:spacing w:val="8"/>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1"/>
                <w:w w:val="106"/>
                <w:sz w:val="18"/>
                <w:szCs w:val="18"/>
              </w:rPr>
              <w:t>D</w:t>
            </w:r>
            <w:r>
              <w:rPr>
                <w:rFonts w:ascii="Times New Roman" w:eastAsia="Times New Roman" w:hAnsi="Times New Roman"/>
                <w:color w:val="000000"/>
                <w:spacing w:val="2"/>
                <w:w w:val="106"/>
                <w:sz w:val="18"/>
                <w:szCs w:val="18"/>
              </w:rPr>
              <w:t>r</w:t>
            </w:r>
            <w:r>
              <w:rPr>
                <w:rFonts w:ascii="Times New Roman" w:eastAsia="Times New Roman" w:hAnsi="Times New Roman"/>
                <w:color w:val="000000"/>
                <w:spacing w:val="9"/>
                <w:w w:val="119"/>
                <w:sz w:val="18"/>
                <w:szCs w:val="18"/>
              </w:rPr>
              <w:t>ž</w:t>
            </w:r>
            <w:r>
              <w:rPr>
                <w:rFonts w:ascii="Times New Roman" w:eastAsia="Times New Roman" w:hAnsi="Times New Roman"/>
                <w:color w:val="000000"/>
                <w:spacing w:val="7"/>
                <w:w w:val="84"/>
                <w:sz w:val="18"/>
                <w:szCs w:val="18"/>
              </w:rPr>
              <w:t>i</w:t>
            </w:r>
            <w:r>
              <w:rPr>
                <w:rFonts w:ascii="Times New Roman" w:eastAsia="Times New Roman" w:hAnsi="Times New Roman"/>
                <w:color w:val="000000"/>
                <w:spacing w:val="10"/>
                <w:w w:val="119"/>
                <w:sz w:val="18"/>
                <w:szCs w:val="18"/>
              </w:rPr>
              <w:t>ć</w:t>
            </w:r>
            <w:r>
              <w:rPr>
                <w:rFonts w:ascii="Times New Roman" w:eastAsia="Times New Roman" w:hAnsi="Times New Roman"/>
                <w:color w:val="000000"/>
                <w:spacing w:val="4"/>
                <w:sz w:val="18"/>
                <w:szCs w:val="18"/>
              </w:rPr>
              <w:t>a</w:t>
            </w:r>
          </w:p>
        </w:tc>
        <w:tc>
          <w:tcPr>
            <w:tcW w:w="881" w:type="dxa"/>
            <w:tcBorders>
              <w:top w:val="single" w:sz="4" w:space="0" w:color="000000"/>
              <w:left w:val="single" w:sz="11" w:space="0" w:color="000000"/>
              <w:bottom w:val="single" w:sz="4" w:space="0" w:color="000000"/>
              <w:right w:val="single" w:sz="5" w:space="0" w:color="000000"/>
            </w:tcBorders>
            <w:tcMar>
              <w:top w:w="0" w:type="dxa"/>
              <w:left w:w="0" w:type="dxa"/>
              <w:bottom w:w="0" w:type="dxa"/>
              <w:right w:w="0" w:type="dxa"/>
            </w:tcMar>
          </w:tcPr>
          <w:p w14:paraId="137A2345" w14:textId="77777777" w:rsidR="00C5315F" w:rsidRDefault="00C5315F" w:rsidP="00072476">
            <w:pPr>
              <w:spacing w:before="7" w:after="0" w:line="236"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6</w:t>
            </w:r>
            <w:r>
              <w:rPr>
                <w:rFonts w:ascii="Times New Roman" w:eastAsia="Times New Roman" w:hAnsi="Times New Roman"/>
                <w:color w:val="000000"/>
                <w:w w:val="117"/>
                <w:sz w:val="18"/>
                <w:szCs w:val="18"/>
              </w:rPr>
              <w:t>0</w:t>
            </w:r>
          </w:p>
        </w:tc>
        <w:tc>
          <w:tcPr>
            <w:tcW w:w="877"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4FA7C8BC" w14:textId="77777777" w:rsidR="00C5315F" w:rsidRDefault="00C5315F" w:rsidP="00072476">
            <w:pPr>
              <w:spacing w:before="12" w:after="0" w:line="230"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6</w:t>
            </w:r>
            <w:r>
              <w:rPr>
                <w:rFonts w:ascii="Times New Roman" w:eastAsia="Times New Roman" w:hAnsi="Times New Roman"/>
                <w:color w:val="000000"/>
                <w:w w:val="117"/>
                <w:sz w:val="18"/>
                <w:szCs w:val="18"/>
              </w:rPr>
              <w:t>1</w:t>
            </w:r>
          </w:p>
        </w:tc>
        <w:tc>
          <w:tcPr>
            <w:tcW w:w="731"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72CCB6C0" w14:textId="77777777" w:rsidR="00C5315F" w:rsidRDefault="00C5315F" w:rsidP="00072476"/>
        </w:tc>
        <w:tc>
          <w:tcPr>
            <w:tcW w:w="731"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328BD784" w14:textId="77777777" w:rsidR="00C5315F" w:rsidRDefault="00C5315F" w:rsidP="00072476">
            <w:pPr>
              <w:spacing w:before="12" w:after="0" w:line="230"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39D7AEDB" w14:textId="77777777" w:rsidR="00C5315F" w:rsidRDefault="00C5315F" w:rsidP="00072476">
            <w:pPr>
              <w:spacing w:before="7" w:after="0" w:line="236"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0</w:t>
            </w:r>
          </w:p>
        </w:tc>
        <w:tc>
          <w:tcPr>
            <w:tcW w:w="874" w:type="dxa"/>
            <w:tcBorders>
              <w:top w:val="single" w:sz="4" w:space="0" w:color="000000"/>
              <w:left w:val="single" w:sz="5" w:space="0" w:color="000000"/>
              <w:bottom w:val="single" w:sz="4" w:space="0" w:color="000000"/>
              <w:right w:val="single" w:sz="11" w:space="0" w:color="000000"/>
            </w:tcBorders>
            <w:tcMar>
              <w:top w:w="0" w:type="dxa"/>
              <w:left w:w="0" w:type="dxa"/>
              <w:bottom w:w="0" w:type="dxa"/>
              <w:right w:w="0" w:type="dxa"/>
            </w:tcMar>
          </w:tcPr>
          <w:p w14:paraId="225BE17A" w14:textId="77777777" w:rsidR="00C5315F" w:rsidRDefault="00C5315F" w:rsidP="00072476">
            <w:pPr>
              <w:spacing w:before="12" w:after="0" w:line="230"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7</w:t>
            </w:r>
          </w:p>
        </w:tc>
      </w:tr>
      <w:tr w:rsidR="00C5315F" w14:paraId="188DBFF5" w14:textId="77777777" w:rsidTr="00072476">
        <w:trPr>
          <w:cantSplit/>
          <w:trHeight w:hRule="exact" w:val="211"/>
        </w:trPr>
        <w:tc>
          <w:tcPr>
            <w:tcW w:w="3136" w:type="dxa"/>
            <w:tcBorders>
              <w:top w:val="single" w:sz="4" w:space="0" w:color="000000"/>
              <w:left w:val="single" w:sz="5" w:space="0" w:color="000000"/>
              <w:bottom w:val="single" w:sz="4" w:space="0" w:color="000000"/>
              <w:right w:val="single" w:sz="11" w:space="0" w:color="000000"/>
            </w:tcBorders>
            <w:tcMar>
              <w:top w:w="0" w:type="dxa"/>
              <w:left w:w="0" w:type="dxa"/>
              <w:bottom w:w="0" w:type="dxa"/>
              <w:right w:w="0" w:type="dxa"/>
            </w:tcMar>
          </w:tcPr>
          <w:p w14:paraId="3CC13DDA" w14:textId="77777777" w:rsidR="00C5315F" w:rsidRDefault="00C5315F" w:rsidP="00072476">
            <w:pPr>
              <w:spacing w:before="7" w:after="0" w:line="235" w:lineRule="auto"/>
              <w:ind w:left="35" w:right="-20"/>
              <w:rPr>
                <w:rFonts w:ascii="Times New Roman" w:eastAsia="Times New Roman" w:hAnsi="Times New Roman"/>
                <w:color w:val="000000"/>
                <w:spacing w:val="6"/>
                <w:sz w:val="18"/>
                <w:szCs w:val="18"/>
              </w:rPr>
            </w:pPr>
            <w:r>
              <w:rPr>
                <w:rFonts w:ascii="Times New Roman" w:eastAsia="Times New Roman" w:hAnsi="Times New Roman"/>
                <w:color w:val="000000"/>
                <w:spacing w:val="4"/>
                <w:w w:val="97"/>
                <w:sz w:val="18"/>
                <w:szCs w:val="18"/>
              </w:rPr>
              <w:t>A</w:t>
            </w:r>
            <w:r>
              <w:rPr>
                <w:rFonts w:ascii="Times New Roman" w:eastAsia="Times New Roman" w:hAnsi="Times New Roman"/>
                <w:color w:val="000000"/>
                <w:spacing w:val="-18"/>
                <w:w w:val="106"/>
                <w:sz w:val="18"/>
                <w:szCs w:val="18"/>
              </w:rPr>
              <w:t>v</w:t>
            </w:r>
            <w:r>
              <w:rPr>
                <w:rFonts w:ascii="Times New Roman" w:eastAsia="Times New Roman" w:hAnsi="Times New Roman"/>
                <w:color w:val="000000"/>
                <w:w w:val="117"/>
                <w:sz w:val="18"/>
                <w:szCs w:val="18"/>
              </w:rPr>
              <w:t>.</w:t>
            </w:r>
            <w:r>
              <w:rPr>
                <w:rFonts w:ascii="Times New Roman" w:eastAsia="Times New Roman" w:hAnsi="Times New Roman"/>
                <w:color w:val="000000"/>
                <w:spacing w:val="15"/>
                <w:sz w:val="18"/>
                <w:szCs w:val="18"/>
              </w:rPr>
              <w:t xml:space="preserve"> </w:t>
            </w:r>
            <w:r>
              <w:rPr>
                <w:rFonts w:ascii="Times New Roman" w:eastAsia="Times New Roman" w:hAnsi="Times New Roman"/>
                <w:color w:val="000000"/>
                <w:w w:val="97"/>
                <w:sz w:val="18"/>
                <w:szCs w:val="18"/>
              </w:rPr>
              <w:t>V</w:t>
            </w:r>
            <w:r>
              <w:rPr>
                <w:rFonts w:ascii="Times New Roman" w:eastAsia="Times New Roman" w:hAnsi="Times New Roman"/>
                <w:color w:val="000000"/>
                <w:spacing w:val="21"/>
                <w:sz w:val="18"/>
                <w:szCs w:val="18"/>
              </w:rPr>
              <w:t xml:space="preserve"> </w:t>
            </w:r>
            <w:r>
              <w:rPr>
                <w:rFonts w:ascii="Times New Roman" w:eastAsia="Times New Roman" w:hAnsi="Times New Roman"/>
                <w:color w:val="000000"/>
                <w:spacing w:val="-1"/>
                <w:w w:val="106"/>
                <w:sz w:val="18"/>
                <w:szCs w:val="18"/>
              </w:rPr>
              <w:t>H</w:t>
            </w:r>
            <w:r>
              <w:rPr>
                <w:rFonts w:ascii="Times New Roman" w:eastAsia="Times New Roman" w:hAnsi="Times New Roman"/>
                <w:color w:val="000000"/>
                <w:spacing w:val="5"/>
                <w:w w:val="117"/>
                <w:sz w:val="18"/>
                <w:szCs w:val="18"/>
              </w:rPr>
              <w:t>o</w:t>
            </w:r>
            <w:r>
              <w:rPr>
                <w:rFonts w:ascii="Times New Roman" w:eastAsia="Times New Roman" w:hAnsi="Times New Roman"/>
                <w:color w:val="000000"/>
                <w:spacing w:val="5"/>
                <w:w w:val="84"/>
                <w:sz w:val="18"/>
                <w:szCs w:val="18"/>
              </w:rPr>
              <w:t>l</w:t>
            </w:r>
            <w:r>
              <w:rPr>
                <w:rFonts w:ascii="Times New Roman" w:eastAsia="Times New Roman" w:hAnsi="Times New Roman"/>
                <w:color w:val="000000"/>
                <w:spacing w:val="9"/>
                <w:w w:val="84"/>
                <w:sz w:val="18"/>
                <w:szCs w:val="18"/>
              </w:rPr>
              <w:t>j</w:t>
            </w:r>
            <w:r>
              <w:rPr>
                <w:rFonts w:ascii="Times New Roman" w:eastAsia="Times New Roman" w:hAnsi="Times New Roman"/>
                <w:color w:val="000000"/>
                <w:spacing w:val="2"/>
                <w:sz w:val="18"/>
                <w:szCs w:val="18"/>
              </w:rPr>
              <w:t>e</w:t>
            </w:r>
            <w:r>
              <w:rPr>
                <w:rFonts w:ascii="Times New Roman" w:eastAsia="Times New Roman" w:hAnsi="Times New Roman"/>
                <w:color w:val="000000"/>
                <w:spacing w:val="-14"/>
                <w:w w:val="106"/>
                <w:sz w:val="18"/>
                <w:szCs w:val="18"/>
              </w:rPr>
              <w:t>v</w:t>
            </w:r>
            <w:r>
              <w:rPr>
                <w:rFonts w:ascii="Times New Roman" w:eastAsia="Times New Roman" w:hAnsi="Times New Roman"/>
                <w:color w:val="000000"/>
                <w:spacing w:val="12"/>
                <w:w w:val="119"/>
                <w:sz w:val="18"/>
                <w:szCs w:val="18"/>
              </w:rPr>
              <w:t>c</w:t>
            </w:r>
            <w:r>
              <w:rPr>
                <w:rFonts w:ascii="Times New Roman" w:eastAsia="Times New Roman" w:hAnsi="Times New Roman"/>
                <w:color w:val="000000"/>
                <w:spacing w:val="6"/>
                <w:sz w:val="18"/>
                <w:szCs w:val="18"/>
              </w:rPr>
              <w:t>a</w:t>
            </w:r>
          </w:p>
        </w:tc>
        <w:tc>
          <w:tcPr>
            <w:tcW w:w="881" w:type="dxa"/>
            <w:tcBorders>
              <w:top w:val="single" w:sz="4" w:space="0" w:color="000000"/>
              <w:left w:val="single" w:sz="11" w:space="0" w:color="000000"/>
              <w:bottom w:val="single" w:sz="4" w:space="0" w:color="000000"/>
              <w:right w:val="single" w:sz="5" w:space="0" w:color="000000"/>
            </w:tcBorders>
            <w:tcMar>
              <w:top w:w="0" w:type="dxa"/>
              <w:left w:w="0" w:type="dxa"/>
              <w:bottom w:w="0" w:type="dxa"/>
              <w:right w:w="0" w:type="dxa"/>
            </w:tcMar>
          </w:tcPr>
          <w:p w14:paraId="5C6EA2CB" w14:textId="77777777" w:rsidR="00C5315F" w:rsidRDefault="00C5315F" w:rsidP="00072476">
            <w:pPr>
              <w:spacing w:before="7" w:after="0" w:line="235"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6</w:t>
            </w:r>
          </w:p>
        </w:tc>
        <w:tc>
          <w:tcPr>
            <w:tcW w:w="877"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1B683458" w14:textId="77777777" w:rsidR="00C5315F" w:rsidRDefault="00C5315F" w:rsidP="00072476">
            <w:pPr>
              <w:spacing w:before="12" w:after="0" w:line="230"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6</w:t>
            </w:r>
          </w:p>
        </w:tc>
        <w:tc>
          <w:tcPr>
            <w:tcW w:w="731"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07ACCB58" w14:textId="77777777" w:rsidR="00C5315F" w:rsidRDefault="00C5315F" w:rsidP="00072476">
            <w:pPr>
              <w:spacing w:before="7" w:after="0" w:line="235"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731"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0B01AB5D" w14:textId="77777777" w:rsidR="00C5315F" w:rsidRDefault="00C5315F" w:rsidP="00072476">
            <w:pPr>
              <w:spacing w:before="12" w:after="0" w:line="230"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4" w:space="0" w:color="000000"/>
              <w:left w:val="single" w:sz="5" w:space="0" w:color="000000"/>
              <w:bottom w:val="single" w:sz="4" w:space="0" w:color="000000"/>
              <w:right w:val="single" w:sz="5" w:space="0" w:color="000000"/>
            </w:tcBorders>
            <w:tcMar>
              <w:top w:w="0" w:type="dxa"/>
              <w:left w:w="0" w:type="dxa"/>
              <w:bottom w:w="0" w:type="dxa"/>
              <w:right w:w="0" w:type="dxa"/>
            </w:tcMar>
          </w:tcPr>
          <w:p w14:paraId="5A17D1B2" w14:textId="77777777" w:rsidR="00C5315F" w:rsidRDefault="00C5315F" w:rsidP="00072476">
            <w:pPr>
              <w:spacing w:before="7" w:after="0" w:line="235"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9</w:t>
            </w:r>
          </w:p>
        </w:tc>
        <w:tc>
          <w:tcPr>
            <w:tcW w:w="874" w:type="dxa"/>
            <w:tcBorders>
              <w:top w:val="single" w:sz="4" w:space="0" w:color="000000"/>
              <w:left w:val="single" w:sz="5" w:space="0" w:color="000000"/>
              <w:bottom w:val="single" w:sz="4" w:space="0" w:color="000000"/>
              <w:right w:val="single" w:sz="11" w:space="0" w:color="000000"/>
            </w:tcBorders>
            <w:tcMar>
              <w:top w:w="0" w:type="dxa"/>
              <w:left w:w="0" w:type="dxa"/>
              <w:bottom w:w="0" w:type="dxa"/>
              <w:right w:w="0" w:type="dxa"/>
            </w:tcMar>
          </w:tcPr>
          <w:p w14:paraId="5ED47B5E" w14:textId="77777777" w:rsidR="00C5315F" w:rsidRDefault="00C5315F" w:rsidP="00072476">
            <w:pPr>
              <w:spacing w:before="12" w:after="0" w:line="230"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4</w:t>
            </w:r>
            <w:r>
              <w:rPr>
                <w:rFonts w:ascii="Times New Roman" w:eastAsia="Times New Roman" w:hAnsi="Times New Roman"/>
                <w:color w:val="000000"/>
                <w:w w:val="117"/>
                <w:sz w:val="18"/>
                <w:szCs w:val="18"/>
              </w:rPr>
              <w:t>2</w:t>
            </w:r>
          </w:p>
        </w:tc>
      </w:tr>
      <w:tr w:rsidR="00C5315F" w14:paraId="25E13096" w14:textId="77777777" w:rsidTr="00072476">
        <w:trPr>
          <w:cantSplit/>
          <w:trHeight w:hRule="exact" w:val="211"/>
        </w:trPr>
        <w:tc>
          <w:tcPr>
            <w:tcW w:w="3136" w:type="dxa"/>
            <w:tcBorders>
              <w:top w:val="single" w:sz="4" w:space="0" w:color="000000"/>
              <w:left w:val="single" w:sz="5" w:space="0" w:color="000000"/>
              <w:bottom w:val="single" w:sz="5" w:space="0" w:color="000000"/>
              <w:right w:val="single" w:sz="11" w:space="0" w:color="000000"/>
            </w:tcBorders>
            <w:tcMar>
              <w:top w:w="0" w:type="dxa"/>
              <w:left w:w="0" w:type="dxa"/>
              <w:bottom w:w="0" w:type="dxa"/>
              <w:right w:w="0" w:type="dxa"/>
            </w:tcMar>
          </w:tcPr>
          <w:p w14:paraId="1109E8AF" w14:textId="77777777" w:rsidR="00C5315F" w:rsidRDefault="00C5315F" w:rsidP="00072476">
            <w:pPr>
              <w:spacing w:before="7" w:after="0" w:line="235" w:lineRule="auto"/>
              <w:ind w:left="35" w:right="-20"/>
              <w:rPr>
                <w:rFonts w:ascii="Times New Roman" w:eastAsia="Times New Roman" w:hAnsi="Times New Roman"/>
                <w:color w:val="000000"/>
                <w:spacing w:val="6"/>
                <w:w w:val="106"/>
                <w:sz w:val="18"/>
                <w:szCs w:val="18"/>
              </w:rPr>
            </w:pPr>
            <w:r>
              <w:rPr>
                <w:rFonts w:ascii="Times New Roman" w:eastAsia="Times New Roman" w:hAnsi="Times New Roman"/>
                <w:color w:val="000000"/>
                <w:spacing w:val="4"/>
                <w:w w:val="97"/>
                <w:sz w:val="18"/>
                <w:szCs w:val="18"/>
              </w:rPr>
              <w:t>K</w:t>
            </w:r>
            <w:r>
              <w:rPr>
                <w:rFonts w:ascii="Times New Roman" w:eastAsia="Times New Roman" w:hAnsi="Times New Roman"/>
                <w:color w:val="000000"/>
                <w:w w:val="117"/>
                <w:sz w:val="18"/>
                <w:szCs w:val="18"/>
              </w:rPr>
              <w:t>.</w:t>
            </w:r>
            <w:r>
              <w:rPr>
                <w:rFonts w:ascii="Times New Roman" w:eastAsia="Times New Roman" w:hAnsi="Times New Roman"/>
                <w:color w:val="000000"/>
                <w:spacing w:val="20"/>
                <w:sz w:val="18"/>
                <w:szCs w:val="18"/>
              </w:rPr>
              <w:t xml:space="preserve"> </w:t>
            </w:r>
            <w:r>
              <w:rPr>
                <w:rFonts w:ascii="Times New Roman" w:eastAsia="Times New Roman" w:hAnsi="Times New Roman"/>
                <w:color w:val="000000"/>
                <w:spacing w:val="5"/>
                <w:w w:val="106"/>
                <w:sz w:val="18"/>
                <w:szCs w:val="18"/>
              </w:rPr>
              <w:t>D</w:t>
            </w:r>
            <w:r>
              <w:rPr>
                <w:rFonts w:ascii="Times New Roman" w:eastAsia="Times New Roman" w:hAnsi="Times New Roman"/>
                <w:color w:val="000000"/>
                <w:spacing w:val="2"/>
                <w:w w:val="106"/>
                <w:sz w:val="18"/>
                <w:szCs w:val="18"/>
              </w:rPr>
              <w:t>r</w:t>
            </w:r>
            <w:r>
              <w:rPr>
                <w:rFonts w:ascii="Times New Roman" w:eastAsia="Times New Roman" w:hAnsi="Times New Roman"/>
                <w:color w:val="000000"/>
                <w:spacing w:val="14"/>
                <w:w w:val="119"/>
                <w:sz w:val="18"/>
                <w:szCs w:val="18"/>
              </w:rPr>
              <w:t>ž</w:t>
            </w:r>
            <w:r>
              <w:rPr>
                <w:rFonts w:ascii="Times New Roman" w:eastAsia="Times New Roman" w:hAnsi="Times New Roman"/>
                <w:color w:val="000000"/>
                <w:spacing w:val="10"/>
                <w:w w:val="84"/>
                <w:sz w:val="18"/>
                <w:szCs w:val="18"/>
              </w:rPr>
              <w:t>i</w:t>
            </w:r>
            <w:r>
              <w:rPr>
                <w:rFonts w:ascii="Times New Roman" w:eastAsia="Times New Roman" w:hAnsi="Times New Roman"/>
                <w:color w:val="000000"/>
                <w:spacing w:val="16"/>
                <w:sz w:val="18"/>
                <w:szCs w:val="18"/>
              </w:rPr>
              <w:t>s</w:t>
            </w:r>
            <w:r>
              <w:rPr>
                <w:rFonts w:ascii="Times New Roman" w:eastAsia="Times New Roman" w:hAnsi="Times New Roman"/>
                <w:color w:val="000000"/>
                <w:spacing w:val="9"/>
                <w:w w:val="84"/>
                <w:sz w:val="18"/>
                <w:szCs w:val="18"/>
              </w:rPr>
              <w:t>l</w:t>
            </w:r>
            <w:r>
              <w:rPr>
                <w:rFonts w:ascii="Times New Roman" w:eastAsia="Times New Roman" w:hAnsi="Times New Roman"/>
                <w:color w:val="000000"/>
                <w:spacing w:val="6"/>
                <w:sz w:val="18"/>
                <w:szCs w:val="18"/>
              </w:rPr>
              <w:t>a</w:t>
            </w:r>
            <w:r>
              <w:rPr>
                <w:rFonts w:ascii="Times New Roman" w:eastAsia="Times New Roman" w:hAnsi="Times New Roman"/>
                <w:color w:val="000000"/>
                <w:spacing w:val="-14"/>
                <w:w w:val="106"/>
                <w:sz w:val="18"/>
                <w:szCs w:val="18"/>
              </w:rPr>
              <w:t>v</w:t>
            </w:r>
            <w:r>
              <w:rPr>
                <w:rFonts w:ascii="Times New Roman" w:eastAsia="Times New Roman" w:hAnsi="Times New Roman"/>
                <w:color w:val="000000"/>
                <w:spacing w:val="8"/>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w w:val="106"/>
                <w:sz w:val="18"/>
                <w:szCs w:val="18"/>
              </w:rPr>
              <w:t>-</w:t>
            </w:r>
            <w:r>
              <w:rPr>
                <w:rFonts w:ascii="Times New Roman" w:eastAsia="Times New Roman" w:hAnsi="Times New Roman"/>
                <w:color w:val="000000"/>
                <w:spacing w:val="9"/>
                <w:sz w:val="18"/>
                <w:szCs w:val="18"/>
              </w:rPr>
              <w:t xml:space="preserve"> </w:t>
            </w:r>
            <w:r>
              <w:rPr>
                <w:rFonts w:ascii="Times New Roman" w:eastAsia="Times New Roman" w:hAnsi="Times New Roman"/>
                <w:color w:val="000000"/>
                <w:spacing w:val="14"/>
                <w:w w:val="97"/>
                <w:sz w:val="18"/>
                <w:szCs w:val="18"/>
              </w:rPr>
              <w:t>K</w:t>
            </w:r>
            <w:r>
              <w:rPr>
                <w:rFonts w:ascii="Times New Roman" w:eastAsia="Times New Roman" w:hAnsi="Times New Roman"/>
                <w:color w:val="000000"/>
                <w:spacing w:val="10"/>
                <w:w w:val="84"/>
                <w:sz w:val="18"/>
                <w:szCs w:val="18"/>
              </w:rPr>
              <w:t>l</w:t>
            </w:r>
            <w:r>
              <w:rPr>
                <w:rFonts w:ascii="Times New Roman" w:eastAsia="Times New Roman" w:hAnsi="Times New Roman"/>
                <w:color w:val="000000"/>
                <w:spacing w:val="7"/>
                <w:sz w:val="18"/>
                <w:szCs w:val="18"/>
              </w:rPr>
              <w:t>a</w:t>
            </w:r>
            <w:r>
              <w:rPr>
                <w:rFonts w:ascii="Times New Roman" w:eastAsia="Times New Roman" w:hAnsi="Times New Roman"/>
                <w:color w:val="000000"/>
                <w:spacing w:val="11"/>
                <w:w w:val="84"/>
                <w:sz w:val="18"/>
                <w:szCs w:val="18"/>
              </w:rPr>
              <w:t>i</w:t>
            </w:r>
            <w:r>
              <w:rPr>
                <w:rFonts w:ascii="Times New Roman" w:eastAsia="Times New Roman" w:hAnsi="Times New Roman"/>
                <w:color w:val="000000"/>
                <w:spacing w:val="16"/>
                <w:w w:val="119"/>
                <w:sz w:val="18"/>
                <w:szCs w:val="18"/>
              </w:rPr>
              <w:t>ć</w:t>
            </w:r>
            <w:r>
              <w:rPr>
                <w:rFonts w:ascii="Times New Roman" w:eastAsia="Times New Roman" w:hAnsi="Times New Roman"/>
                <w:color w:val="000000"/>
                <w:spacing w:val="5"/>
                <w:sz w:val="18"/>
                <w:szCs w:val="18"/>
              </w:rPr>
              <w:t>e</w:t>
            </w:r>
            <w:r>
              <w:rPr>
                <w:rFonts w:ascii="Times New Roman" w:eastAsia="Times New Roman" w:hAnsi="Times New Roman"/>
                <w:color w:val="000000"/>
                <w:spacing w:val="-11"/>
                <w:w w:val="106"/>
                <w:sz w:val="18"/>
                <w:szCs w:val="18"/>
              </w:rPr>
              <w:t>v</w:t>
            </w:r>
            <w:r>
              <w:rPr>
                <w:rFonts w:ascii="Times New Roman" w:eastAsia="Times New Roman" w:hAnsi="Times New Roman"/>
                <w:color w:val="000000"/>
                <w:spacing w:val="9"/>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2"/>
                <w:w w:val="106"/>
                <w:sz w:val="18"/>
                <w:szCs w:val="18"/>
              </w:rPr>
              <w:t>(</w:t>
            </w:r>
            <w:r>
              <w:rPr>
                <w:rFonts w:ascii="Times New Roman" w:eastAsia="Times New Roman" w:hAnsi="Times New Roman"/>
                <w:color w:val="000000"/>
                <w:spacing w:val="13"/>
                <w:w w:val="119"/>
                <w:sz w:val="18"/>
                <w:szCs w:val="18"/>
              </w:rPr>
              <w:t>z</w:t>
            </w:r>
            <w:r>
              <w:rPr>
                <w:rFonts w:ascii="Times New Roman" w:eastAsia="Times New Roman" w:hAnsi="Times New Roman"/>
                <w:color w:val="000000"/>
                <w:spacing w:val="3"/>
                <w:sz w:val="18"/>
                <w:szCs w:val="18"/>
              </w:rPr>
              <w:t>e</w:t>
            </w:r>
            <w:r>
              <w:rPr>
                <w:rFonts w:ascii="Times New Roman" w:eastAsia="Times New Roman" w:hAnsi="Times New Roman"/>
                <w:color w:val="000000"/>
                <w:spacing w:val="11"/>
                <w:w w:val="84"/>
                <w:sz w:val="18"/>
                <w:szCs w:val="18"/>
              </w:rPr>
              <w:t>l</w:t>
            </w:r>
            <w:r>
              <w:rPr>
                <w:rFonts w:ascii="Times New Roman" w:eastAsia="Times New Roman" w:hAnsi="Times New Roman"/>
                <w:color w:val="000000"/>
                <w:spacing w:val="3"/>
                <w:sz w:val="18"/>
                <w:szCs w:val="18"/>
              </w:rPr>
              <w:t>e</w:t>
            </w:r>
            <w:r>
              <w:rPr>
                <w:rFonts w:ascii="Times New Roman" w:eastAsia="Times New Roman" w:hAnsi="Times New Roman"/>
                <w:color w:val="000000"/>
                <w:spacing w:val="7"/>
                <w:w w:val="117"/>
                <w:sz w:val="18"/>
                <w:szCs w:val="18"/>
              </w:rPr>
              <w:t>n</w:t>
            </w:r>
            <w:r>
              <w:rPr>
                <w:rFonts w:ascii="Times New Roman" w:eastAsia="Times New Roman" w:hAnsi="Times New Roman"/>
                <w:color w:val="000000"/>
                <w:spacing w:val="7"/>
                <w:w w:val="84"/>
                <w:sz w:val="18"/>
                <w:szCs w:val="18"/>
              </w:rPr>
              <w:t>i</w:t>
            </w:r>
            <w:r>
              <w:rPr>
                <w:rFonts w:ascii="Times New Roman" w:eastAsia="Times New Roman" w:hAnsi="Times New Roman"/>
                <w:color w:val="000000"/>
                <w:spacing w:val="15"/>
                <w:sz w:val="18"/>
                <w:szCs w:val="18"/>
              </w:rPr>
              <w:t xml:space="preserve"> </w:t>
            </w:r>
            <w:r>
              <w:rPr>
                <w:rFonts w:ascii="Times New Roman" w:eastAsia="Times New Roman" w:hAnsi="Times New Roman"/>
                <w:color w:val="000000"/>
                <w:spacing w:val="-16"/>
                <w:w w:val="106"/>
                <w:sz w:val="18"/>
                <w:szCs w:val="18"/>
              </w:rPr>
              <w:t>v</w:t>
            </w:r>
            <w:r>
              <w:rPr>
                <w:rFonts w:ascii="Times New Roman" w:eastAsia="Times New Roman" w:hAnsi="Times New Roman"/>
                <w:color w:val="000000"/>
                <w:spacing w:val="3"/>
                <w:sz w:val="18"/>
                <w:szCs w:val="18"/>
              </w:rPr>
              <w:t>a</w:t>
            </w:r>
            <w:r>
              <w:rPr>
                <w:rFonts w:ascii="Times New Roman" w:eastAsia="Times New Roman" w:hAnsi="Times New Roman"/>
                <w:color w:val="000000"/>
                <w:spacing w:val="7"/>
                <w:w w:val="84"/>
                <w:sz w:val="18"/>
                <w:szCs w:val="18"/>
              </w:rPr>
              <w:t>l</w:t>
            </w:r>
            <w:r>
              <w:rPr>
                <w:rFonts w:ascii="Times New Roman" w:eastAsia="Times New Roman" w:hAnsi="Times New Roman"/>
                <w:color w:val="000000"/>
                <w:spacing w:val="6"/>
                <w:w w:val="106"/>
                <w:sz w:val="18"/>
                <w:szCs w:val="18"/>
              </w:rPr>
              <w:t>)</w:t>
            </w:r>
          </w:p>
        </w:tc>
        <w:tc>
          <w:tcPr>
            <w:tcW w:w="881" w:type="dxa"/>
            <w:tcBorders>
              <w:top w:val="single" w:sz="4" w:space="0" w:color="000000"/>
              <w:left w:val="single" w:sz="11" w:space="0" w:color="000000"/>
              <w:bottom w:val="single" w:sz="5" w:space="0" w:color="000000"/>
              <w:right w:val="single" w:sz="5" w:space="0" w:color="000000"/>
            </w:tcBorders>
            <w:tcMar>
              <w:top w:w="0" w:type="dxa"/>
              <w:left w:w="0" w:type="dxa"/>
              <w:bottom w:w="0" w:type="dxa"/>
              <w:right w:w="0" w:type="dxa"/>
            </w:tcMar>
          </w:tcPr>
          <w:p w14:paraId="44302A69" w14:textId="77777777" w:rsidR="00C5315F" w:rsidRDefault="00C5315F" w:rsidP="00072476">
            <w:pPr>
              <w:spacing w:before="7" w:after="0" w:line="235"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6</w:t>
            </w:r>
            <w:r>
              <w:rPr>
                <w:rFonts w:ascii="Times New Roman" w:eastAsia="Times New Roman" w:hAnsi="Times New Roman"/>
                <w:color w:val="000000"/>
                <w:w w:val="117"/>
                <w:sz w:val="18"/>
                <w:szCs w:val="18"/>
              </w:rPr>
              <w:t>6</w:t>
            </w:r>
          </w:p>
        </w:tc>
        <w:tc>
          <w:tcPr>
            <w:tcW w:w="877"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14:paraId="06D7D7C3" w14:textId="77777777" w:rsidR="00C5315F" w:rsidRDefault="00C5315F" w:rsidP="00072476">
            <w:pPr>
              <w:spacing w:before="12" w:after="0" w:line="230"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6</w:t>
            </w:r>
          </w:p>
        </w:tc>
        <w:tc>
          <w:tcPr>
            <w:tcW w:w="731"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14:paraId="217D109C" w14:textId="77777777" w:rsidR="00C5315F" w:rsidRDefault="00C5315F" w:rsidP="00072476">
            <w:pPr>
              <w:spacing w:before="7" w:after="0" w:line="235"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731"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14:paraId="55F2F00F" w14:textId="77777777" w:rsidR="00C5315F" w:rsidRDefault="00C5315F" w:rsidP="00072476"/>
        </w:tc>
        <w:tc>
          <w:tcPr>
            <w:tcW w:w="877" w:type="dxa"/>
            <w:tcBorders>
              <w:top w:val="single" w:sz="4" w:space="0" w:color="000000"/>
              <w:left w:val="single" w:sz="5" w:space="0" w:color="000000"/>
              <w:bottom w:val="single" w:sz="5" w:space="0" w:color="000000"/>
              <w:right w:val="single" w:sz="5" w:space="0" w:color="000000"/>
            </w:tcBorders>
            <w:tcMar>
              <w:top w:w="0" w:type="dxa"/>
              <w:left w:w="0" w:type="dxa"/>
              <w:bottom w:w="0" w:type="dxa"/>
              <w:right w:w="0" w:type="dxa"/>
            </w:tcMar>
          </w:tcPr>
          <w:p w14:paraId="63F062E9" w14:textId="77777777" w:rsidR="00C5315F" w:rsidRDefault="00C5315F" w:rsidP="00072476">
            <w:pPr>
              <w:spacing w:before="7" w:after="0" w:line="235"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9</w:t>
            </w:r>
          </w:p>
        </w:tc>
        <w:tc>
          <w:tcPr>
            <w:tcW w:w="874" w:type="dxa"/>
            <w:tcBorders>
              <w:top w:val="single" w:sz="4" w:space="0" w:color="000000"/>
              <w:left w:val="single" w:sz="5" w:space="0" w:color="000000"/>
              <w:bottom w:val="single" w:sz="5" w:space="0" w:color="000000"/>
              <w:right w:val="single" w:sz="11" w:space="0" w:color="000000"/>
            </w:tcBorders>
            <w:tcMar>
              <w:top w:w="0" w:type="dxa"/>
              <w:left w:w="0" w:type="dxa"/>
              <w:bottom w:w="0" w:type="dxa"/>
              <w:right w:w="0" w:type="dxa"/>
            </w:tcMar>
          </w:tcPr>
          <w:p w14:paraId="180F8154" w14:textId="77777777" w:rsidR="00C5315F" w:rsidRDefault="00C5315F" w:rsidP="00072476">
            <w:pPr>
              <w:spacing w:before="12" w:after="0" w:line="230"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5</w:t>
            </w:r>
          </w:p>
        </w:tc>
      </w:tr>
      <w:tr w:rsidR="00C5315F" w14:paraId="384E602A"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4B119F64" w14:textId="77777777" w:rsidR="00C5315F" w:rsidRDefault="00C5315F" w:rsidP="00072476">
            <w:pPr>
              <w:spacing w:before="5" w:after="0" w:line="238" w:lineRule="auto"/>
              <w:ind w:left="35" w:right="-20"/>
              <w:rPr>
                <w:rFonts w:ascii="Times New Roman" w:eastAsia="Times New Roman" w:hAnsi="Times New Roman"/>
                <w:color w:val="000000"/>
                <w:spacing w:val="15"/>
                <w:sz w:val="18"/>
                <w:szCs w:val="18"/>
              </w:rPr>
            </w:pPr>
            <w:r>
              <w:rPr>
                <w:rFonts w:ascii="Times New Roman" w:eastAsia="Times New Roman" w:hAnsi="Times New Roman"/>
                <w:color w:val="000000"/>
                <w:spacing w:val="21"/>
                <w:sz w:val="18"/>
                <w:szCs w:val="18"/>
              </w:rPr>
              <w:t>S</w:t>
            </w:r>
            <w:r>
              <w:rPr>
                <w:rFonts w:ascii="Times New Roman" w:eastAsia="Times New Roman" w:hAnsi="Times New Roman"/>
                <w:color w:val="000000"/>
                <w:spacing w:val="16"/>
                <w:sz w:val="18"/>
                <w:szCs w:val="18"/>
              </w:rPr>
              <w:t>a</w:t>
            </w:r>
            <w:r>
              <w:rPr>
                <w:rFonts w:ascii="Times New Roman" w:eastAsia="Times New Roman" w:hAnsi="Times New Roman"/>
                <w:color w:val="000000"/>
                <w:spacing w:val="-5"/>
                <w:w w:val="106"/>
                <w:sz w:val="18"/>
                <w:szCs w:val="18"/>
              </w:rPr>
              <w:t>v</w:t>
            </w:r>
            <w:r>
              <w:rPr>
                <w:rFonts w:ascii="Times New Roman" w:eastAsia="Times New Roman" w:hAnsi="Times New Roman"/>
                <w:color w:val="000000"/>
                <w:spacing w:val="24"/>
                <w:sz w:val="18"/>
                <w:szCs w:val="18"/>
              </w:rPr>
              <w:t>s</w:t>
            </w:r>
            <w:r>
              <w:rPr>
                <w:rFonts w:ascii="Times New Roman" w:eastAsia="Times New Roman" w:hAnsi="Times New Roman"/>
                <w:color w:val="000000"/>
                <w:spacing w:val="25"/>
                <w:w w:val="106"/>
                <w:sz w:val="18"/>
                <w:szCs w:val="18"/>
              </w:rPr>
              <w:t>k</w:t>
            </w:r>
            <w:r>
              <w:rPr>
                <w:rFonts w:ascii="Times New Roman" w:eastAsia="Times New Roman" w:hAnsi="Times New Roman"/>
                <w:color w:val="000000"/>
                <w:spacing w:val="17"/>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21"/>
                <w:w w:val="119"/>
                <w:sz w:val="18"/>
                <w:szCs w:val="18"/>
              </w:rPr>
              <w:t>c</w:t>
            </w:r>
            <w:r>
              <w:rPr>
                <w:rFonts w:ascii="Times New Roman" w:eastAsia="Times New Roman" w:hAnsi="Times New Roman"/>
                <w:color w:val="000000"/>
                <w:spacing w:val="13"/>
                <w:sz w:val="18"/>
                <w:szCs w:val="18"/>
              </w:rPr>
              <w:t>e</w:t>
            </w:r>
            <w:r>
              <w:rPr>
                <w:rFonts w:ascii="Times New Roman" w:eastAsia="Times New Roman" w:hAnsi="Times New Roman"/>
                <w:color w:val="000000"/>
                <w:spacing w:val="22"/>
                <w:sz w:val="18"/>
                <w:szCs w:val="18"/>
              </w:rPr>
              <w:t>s</w:t>
            </w:r>
            <w:r>
              <w:rPr>
                <w:rFonts w:ascii="Times New Roman" w:eastAsia="Times New Roman" w:hAnsi="Times New Roman"/>
                <w:color w:val="000000"/>
                <w:spacing w:val="22"/>
                <w:w w:val="105"/>
                <w:sz w:val="18"/>
                <w:szCs w:val="18"/>
              </w:rPr>
              <w:t>t</w:t>
            </w:r>
            <w:r>
              <w:rPr>
                <w:rFonts w:ascii="Times New Roman" w:eastAsia="Times New Roman" w:hAnsi="Times New Roman"/>
                <w:color w:val="000000"/>
                <w:spacing w:val="15"/>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7E1CA24E" w14:textId="77777777" w:rsidR="00C5315F" w:rsidRDefault="00C5315F" w:rsidP="00072476">
            <w:pPr>
              <w:spacing w:before="5" w:after="0" w:line="238"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6</w:t>
            </w:r>
            <w:r>
              <w:rPr>
                <w:rFonts w:ascii="Times New Roman" w:eastAsia="Times New Roman" w:hAnsi="Times New Roman"/>
                <w:color w:val="000000"/>
                <w:w w:val="117"/>
                <w:sz w:val="18"/>
                <w:szCs w:val="18"/>
              </w:rPr>
              <w:t>0</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8B8884"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0</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301054C"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9350A2D" w14:textId="77777777" w:rsidR="00C5315F" w:rsidRDefault="00C5315F" w:rsidP="00072476"/>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2D44AD3" w14:textId="77777777" w:rsidR="00C5315F" w:rsidRDefault="00C5315F" w:rsidP="00072476">
            <w:pPr>
              <w:spacing w:before="5" w:after="0" w:line="238"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1</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2547387A" w14:textId="77777777" w:rsidR="00C5315F" w:rsidRDefault="00C5315F" w:rsidP="00072476">
            <w:pPr>
              <w:spacing w:before="10" w:after="0" w:line="232"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7</w:t>
            </w:r>
          </w:p>
        </w:tc>
      </w:tr>
      <w:tr w:rsidR="00C5315F" w14:paraId="7B9A13C1"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31CBEC72" w14:textId="77777777" w:rsidR="00C5315F" w:rsidRDefault="00C5315F" w:rsidP="00072476">
            <w:pPr>
              <w:spacing w:before="5" w:after="0" w:line="238" w:lineRule="auto"/>
              <w:ind w:left="35" w:right="-20"/>
              <w:rPr>
                <w:rFonts w:ascii="Times New Roman" w:eastAsia="Times New Roman" w:hAnsi="Times New Roman"/>
                <w:color w:val="000000"/>
                <w:spacing w:val="6"/>
                <w:w w:val="106"/>
                <w:sz w:val="18"/>
                <w:szCs w:val="18"/>
              </w:rPr>
            </w:pPr>
            <w:r>
              <w:rPr>
                <w:rFonts w:ascii="Times New Roman" w:eastAsia="Times New Roman" w:hAnsi="Times New Roman"/>
                <w:color w:val="000000"/>
                <w:spacing w:val="11"/>
                <w:w w:val="97"/>
                <w:sz w:val="18"/>
                <w:szCs w:val="18"/>
              </w:rPr>
              <w:t>K</w:t>
            </w:r>
            <w:r>
              <w:rPr>
                <w:rFonts w:ascii="Times New Roman" w:eastAsia="Times New Roman" w:hAnsi="Times New Roman"/>
                <w:color w:val="000000"/>
                <w:spacing w:val="4"/>
                <w:w w:val="106"/>
                <w:sz w:val="18"/>
                <w:szCs w:val="18"/>
              </w:rPr>
              <w:t>r</w:t>
            </w:r>
            <w:r>
              <w:rPr>
                <w:rFonts w:ascii="Times New Roman" w:eastAsia="Times New Roman" w:hAnsi="Times New Roman"/>
                <w:color w:val="000000"/>
                <w:spacing w:val="13"/>
                <w:sz w:val="18"/>
                <w:szCs w:val="18"/>
              </w:rPr>
              <w:t>š</w:t>
            </w:r>
            <w:r>
              <w:rPr>
                <w:rFonts w:ascii="Times New Roman" w:eastAsia="Times New Roman" w:hAnsi="Times New Roman"/>
                <w:color w:val="000000"/>
                <w:spacing w:val="5"/>
                <w:w w:val="117"/>
                <w:sz w:val="18"/>
                <w:szCs w:val="18"/>
              </w:rPr>
              <w:t>n</w:t>
            </w:r>
            <w:r>
              <w:rPr>
                <w:rFonts w:ascii="Times New Roman" w:eastAsia="Times New Roman" w:hAnsi="Times New Roman"/>
                <w:color w:val="000000"/>
                <w:spacing w:val="8"/>
                <w:w w:val="84"/>
                <w:sz w:val="18"/>
                <w:szCs w:val="18"/>
              </w:rPr>
              <w:t>j</w:t>
            </w:r>
            <w:r>
              <w:rPr>
                <w:rFonts w:ascii="Times New Roman" w:eastAsia="Times New Roman" w:hAnsi="Times New Roman"/>
                <w:color w:val="000000"/>
                <w:spacing w:val="5"/>
                <w:sz w:val="18"/>
                <w:szCs w:val="18"/>
              </w:rPr>
              <w:t>a</w:t>
            </w:r>
            <w:r>
              <w:rPr>
                <w:rFonts w:ascii="Times New Roman" w:eastAsia="Times New Roman" w:hAnsi="Times New Roman"/>
                <w:color w:val="000000"/>
                <w:spacing w:val="-15"/>
                <w:w w:val="106"/>
                <w:sz w:val="18"/>
                <w:szCs w:val="18"/>
              </w:rPr>
              <w:t>v</w:t>
            </w:r>
            <w:r>
              <w:rPr>
                <w:rFonts w:ascii="Times New Roman" w:eastAsia="Times New Roman" w:hAnsi="Times New Roman"/>
                <w:color w:val="000000"/>
                <w:spacing w:val="4"/>
                <w:w w:val="117"/>
                <w:sz w:val="18"/>
                <w:szCs w:val="18"/>
              </w:rPr>
              <w:t>o</w:t>
            </w:r>
            <w:r>
              <w:rPr>
                <w:rFonts w:ascii="Times New Roman" w:eastAsia="Times New Roman" w:hAnsi="Times New Roman"/>
                <w:color w:val="000000"/>
                <w:spacing w:val="6"/>
                <w:w w:val="117"/>
                <w:sz w:val="18"/>
                <w:szCs w:val="18"/>
              </w:rPr>
              <w:t>g</w:t>
            </w:r>
            <w:r>
              <w:rPr>
                <w:rFonts w:ascii="Times New Roman" w:eastAsia="Times New Roman" w:hAnsi="Times New Roman"/>
                <w:color w:val="000000"/>
                <w:spacing w:val="7"/>
                <w:sz w:val="18"/>
                <w:szCs w:val="18"/>
              </w:rPr>
              <w:t>a</w:t>
            </w:r>
            <w:r>
              <w:rPr>
                <w:rFonts w:ascii="Times New Roman" w:eastAsia="Times New Roman" w:hAnsi="Times New Roman"/>
                <w:color w:val="000000"/>
                <w:spacing w:val="9"/>
                <w:sz w:val="18"/>
                <w:szCs w:val="18"/>
              </w:rPr>
              <w:t xml:space="preserve"> </w:t>
            </w:r>
            <w:r>
              <w:rPr>
                <w:rFonts w:ascii="Times New Roman" w:eastAsia="Times New Roman" w:hAnsi="Times New Roman"/>
                <w:color w:val="000000"/>
                <w:w w:val="106"/>
                <w:sz w:val="18"/>
                <w:szCs w:val="18"/>
              </w:rPr>
              <w:t>-</w:t>
            </w:r>
            <w:r>
              <w:rPr>
                <w:rFonts w:ascii="Times New Roman" w:eastAsia="Times New Roman" w:hAnsi="Times New Roman"/>
                <w:color w:val="000000"/>
                <w:spacing w:val="8"/>
                <w:sz w:val="18"/>
                <w:szCs w:val="18"/>
              </w:rPr>
              <w:t xml:space="preserve"> </w:t>
            </w:r>
            <w:r>
              <w:rPr>
                <w:rFonts w:ascii="Times New Roman" w:eastAsia="Times New Roman" w:hAnsi="Times New Roman"/>
                <w:color w:val="000000"/>
                <w:spacing w:val="5"/>
                <w:w w:val="97"/>
                <w:sz w:val="18"/>
                <w:szCs w:val="18"/>
              </w:rPr>
              <w:t>K</w:t>
            </w:r>
            <w:r>
              <w:rPr>
                <w:rFonts w:ascii="Times New Roman" w:eastAsia="Times New Roman" w:hAnsi="Times New Roman"/>
                <w:color w:val="000000"/>
                <w:w w:val="117"/>
                <w:sz w:val="18"/>
                <w:szCs w:val="18"/>
              </w:rPr>
              <w:t>.</w:t>
            </w:r>
            <w:r>
              <w:rPr>
                <w:rFonts w:ascii="Times New Roman" w:eastAsia="Times New Roman" w:hAnsi="Times New Roman"/>
                <w:color w:val="000000"/>
                <w:spacing w:val="20"/>
                <w:sz w:val="18"/>
                <w:szCs w:val="18"/>
              </w:rPr>
              <w:t xml:space="preserve"> </w:t>
            </w:r>
            <w:r>
              <w:rPr>
                <w:rFonts w:ascii="Times New Roman" w:eastAsia="Times New Roman" w:hAnsi="Times New Roman"/>
                <w:color w:val="000000"/>
                <w:spacing w:val="13"/>
                <w:w w:val="99"/>
                <w:sz w:val="18"/>
                <w:szCs w:val="18"/>
              </w:rPr>
              <w:t>M</w:t>
            </w:r>
            <w:r>
              <w:rPr>
                <w:rFonts w:ascii="Times New Roman" w:eastAsia="Times New Roman" w:hAnsi="Times New Roman"/>
                <w:color w:val="000000"/>
                <w:spacing w:val="12"/>
                <w:w w:val="84"/>
                <w:sz w:val="18"/>
                <w:szCs w:val="18"/>
              </w:rPr>
              <w:t>i</w:t>
            </w:r>
            <w:r>
              <w:rPr>
                <w:rFonts w:ascii="Times New Roman" w:eastAsia="Times New Roman" w:hAnsi="Times New Roman"/>
                <w:color w:val="000000"/>
                <w:spacing w:val="17"/>
                <w:sz w:val="18"/>
                <w:szCs w:val="18"/>
              </w:rPr>
              <w:t>s</w:t>
            </w:r>
            <w:r>
              <w:rPr>
                <w:rFonts w:ascii="Times New Roman" w:eastAsia="Times New Roman" w:hAnsi="Times New Roman"/>
                <w:color w:val="000000"/>
                <w:spacing w:val="12"/>
                <w:w w:val="84"/>
                <w:sz w:val="18"/>
                <w:szCs w:val="18"/>
              </w:rPr>
              <w:t>l</w:t>
            </w:r>
            <w:r>
              <w:rPr>
                <w:rFonts w:ascii="Times New Roman" w:eastAsia="Times New Roman" w:hAnsi="Times New Roman"/>
                <w:color w:val="000000"/>
                <w:spacing w:val="8"/>
                <w:sz w:val="18"/>
                <w:szCs w:val="18"/>
              </w:rPr>
              <w:t>a</w:t>
            </w:r>
            <w:r>
              <w:rPr>
                <w:rFonts w:ascii="Times New Roman" w:eastAsia="Times New Roman" w:hAnsi="Times New Roman"/>
                <w:color w:val="000000"/>
                <w:spacing w:val="-11"/>
                <w:w w:val="106"/>
                <w:sz w:val="18"/>
                <w:szCs w:val="18"/>
              </w:rPr>
              <w:t>v</w:t>
            </w:r>
            <w:r>
              <w:rPr>
                <w:rFonts w:ascii="Times New Roman" w:eastAsia="Times New Roman" w:hAnsi="Times New Roman"/>
                <w:color w:val="000000"/>
                <w:spacing w:val="10"/>
                <w:sz w:val="18"/>
                <w:szCs w:val="18"/>
              </w:rPr>
              <w:t>a</w:t>
            </w:r>
            <w:r>
              <w:rPr>
                <w:rFonts w:ascii="Times New Roman" w:eastAsia="Times New Roman" w:hAnsi="Times New Roman"/>
                <w:color w:val="000000"/>
                <w:spacing w:val="9"/>
                <w:sz w:val="18"/>
                <w:szCs w:val="18"/>
              </w:rPr>
              <w:t xml:space="preserve"> </w:t>
            </w:r>
            <w:r>
              <w:rPr>
                <w:rFonts w:ascii="Times New Roman" w:eastAsia="Times New Roman" w:hAnsi="Times New Roman"/>
                <w:color w:val="000000"/>
                <w:spacing w:val="6"/>
                <w:w w:val="106"/>
                <w:sz w:val="18"/>
                <w:szCs w:val="18"/>
              </w:rPr>
              <w:t>(</w:t>
            </w:r>
            <w:r>
              <w:rPr>
                <w:rFonts w:ascii="Times New Roman" w:eastAsia="Times New Roman" w:hAnsi="Times New Roman"/>
                <w:color w:val="000000"/>
                <w:spacing w:val="12"/>
                <w:w w:val="119"/>
                <w:sz w:val="18"/>
                <w:szCs w:val="18"/>
              </w:rPr>
              <w:t>z</w:t>
            </w:r>
            <w:r>
              <w:rPr>
                <w:rFonts w:ascii="Times New Roman" w:eastAsia="Times New Roman" w:hAnsi="Times New Roman"/>
                <w:color w:val="000000"/>
                <w:spacing w:val="5"/>
                <w:sz w:val="18"/>
                <w:szCs w:val="18"/>
              </w:rPr>
              <w:t>e</w:t>
            </w:r>
            <w:r>
              <w:rPr>
                <w:rFonts w:ascii="Times New Roman" w:eastAsia="Times New Roman" w:hAnsi="Times New Roman"/>
                <w:color w:val="000000"/>
                <w:spacing w:val="9"/>
                <w:w w:val="84"/>
                <w:sz w:val="18"/>
                <w:szCs w:val="18"/>
              </w:rPr>
              <w:t>l</w:t>
            </w:r>
            <w:r>
              <w:rPr>
                <w:rFonts w:ascii="Times New Roman" w:eastAsia="Times New Roman" w:hAnsi="Times New Roman"/>
                <w:color w:val="000000"/>
                <w:spacing w:val="5"/>
                <w:sz w:val="18"/>
                <w:szCs w:val="18"/>
              </w:rPr>
              <w:t>e</w:t>
            </w:r>
            <w:r>
              <w:rPr>
                <w:rFonts w:ascii="Times New Roman" w:eastAsia="Times New Roman" w:hAnsi="Times New Roman"/>
                <w:color w:val="000000"/>
                <w:spacing w:val="5"/>
                <w:w w:val="117"/>
                <w:sz w:val="18"/>
                <w:szCs w:val="18"/>
              </w:rPr>
              <w:t>n</w:t>
            </w:r>
            <w:r>
              <w:rPr>
                <w:rFonts w:ascii="Times New Roman" w:eastAsia="Times New Roman" w:hAnsi="Times New Roman"/>
                <w:color w:val="000000"/>
                <w:spacing w:val="7"/>
                <w:w w:val="84"/>
                <w:sz w:val="18"/>
                <w:szCs w:val="18"/>
              </w:rPr>
              <w:t>i</w:t>
            </w:r>
            <w:r>
              <w:rPr>
                <w:rFonts w:ascii="Times New Roman" w:eastAsia="Times New Roman" w:hAnsi="Times New Roman"/>
                <w:color w:val="000000"/>
                <w:spacing w:val="12"/>
                <w:sz w:val="18"/>
                <w:szCs w:val="18"/>
              </w:rPr>
              <w:t xml:space="preserve"> </w:t>
            </w:r>
            <w:r>
              <w:rPr>
                <w:rFonts w:ascii="Times New Roman" w:eastAsia="Times New Roman" w:hAnsi="Times New Roman"/>
                <w:color w:val="000000"/>
                <w:spacing w:val="-12"/>
                <w:w w:val="106"/>
                <w:sz w:val="18"/>
                <w:szCs w:val="18"/>
              </w:rPr>
              <w:t>v</w:t>
            </w:r>
            <w:r>
              <w:rPr>
                <w:rFonts w:ascii="Times New Roman" w:eastAsia="Times New Roman" w:hAnsi="Times New Roman"/>
                <w:color w:val="000000"/>
                <w:spacing w:val="1"/>
                <w:sz w:val="18"/>
                <w:szCs w:val="18"/>
              </w:rPr>
              <w:t>a</w:t>
            </w:r>
            <w:r>
              <w:rPr>
                <w:rFonts w:ascii="Times New Roman" w:eastAsia="Times New Roman" w:hAnsi="Times New Roman"/>
                <w:color w:val="000000"/>
                <w:spacing w:val="10"/>
                <w:w w:val="84"/>
                <w:sz w:val="18"/>
                <w:szCs w:val="18"/>
              </w:rPr>
              <w:t>l</w:t>
            </w:r>
            <w:r>
              <w:rPr>
                <w:rFonts w:ascii="Times New Roman" w:eastAsia="Times New Roman" w:hAnsi="Times New Roman"/>
                <w:color w:val="000000"/>
                <w:spacing w:val="6"/>
                <w:w w:val="106"/>
                <w:sz w:val="18"/>
                <w:szCs w:val="18"/>
              </w:rPr>
              <w:t>)</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773AAC4D" w14:textId="77777777" w:rsidR="00C5315F" w:rsidRDefault="00C5315F" w:rsidP="00072476">
            <w:pPr>
              <w:spacing w:before="5" w:after="0" w:line="238"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2</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0F0EC7A"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4</w:t>
            </w:r>
            <w:r>
              <w:rPr>
                <w:rFonts w:ascii="Times New Roman" w:eastAsia="Times New Roman" w:hAnsi="Times New Roman"/>
                <w:color w:val="000000"/>
                <w:w w:val="117"/>
                <w:sz w:val="18"/>
                <w:szCs w:val="18"/>
              </w:rPr>
              <w:t>8</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ACCA61"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0DCBEB5" w14:textId="77777777" w:rsidR="00C5315F" w:rsidRDefault="00C5315F" w:rsidP="00072476"/>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F8D0CEF" w14:textId="77777777" w:rsidR="00C5315F" w:rsidRDefault="00C5315F" w:rsidP="00072476">
            <w:pPr>
              <w:spacing w:before="5" w:after="0" w:line="238"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6</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3135E4DF" w14:textId="77777777" w:rsidR="00C5315F" w:rsidRDefault="00C5315F" w:rsidP="00072476">
            <w:pPr>
              <w:spacing w:before="10" w:after="0" w:line="232"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w w:val="117"/>
                <w:sz w:val="18"/>
                <w:szCs w:val="18"/>
              </w:rPr>
              <w:t>4</w:t>
            </w:r>
          </w:p>
        </w:tc>
      </w:tr>
      <w:tr w:rsidR="00C5315F" w14:paraId="397F1BDC"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60F4BDA9" w14:textId="77777777" w:rsidR="00C5315F" w:rsidRDefault="00C5315F" w:rsidP="00072476">
            <w:pPr>
              <w:spacing w:before="5" w:after="0" w:line="238" w:lineRule="auto"/>
              <w:ind w:left="35" w:right="-20"/>
              <w:rPr>
                <w:rFonts w:ascii="Times New Roman" w:eastAsia="Times New Roman" w:hAnsi="Times New Roman"/>
                <w:color w:val="000000"/>
                <w:spacing w:val="15"/>
                <w:sz w:val="18"/>
                <w:szCs w:val="18"/>
              </w:rPr>
            </w:pPr>
            <w:r>
              <w:rPr>
                <w:rFonts w:ascii="Times New Roman" w:eastAsia="Times New Roman" w:hAnsi="Times New Roman"/>
                <w:color w:val="000000"/>
                <w:spacing w:val="21"/>
                <w:sz w:val="18"/>
                <w:szCs w:val="18"/>
              </w:rPr>
              <w:t>S</w:t>
            </w:r>
            <w:r>
              <w:rPr>
                <w:rFonts w:ascii="Times New Roman" w:eastAsia="Times New Roman" w:hAnsi="Times New Roman"/>
                <w:color w:val="000000"/>
                <w:spacing w:val="16"/>
                <w:sz w:val="18"/>
                <w:szCs w:val="18"/>
              </w:rPr>
              <w:t>e</w:t>
            </w:r>
            <w:r>
              <w:rPr>
                <w:rFonts w:ascii="Times New Roman" w:eastAsia="Times New Roman" w:hAnsi="Times New Roman"/>
                <w:color w:val="000000"/>
                <w:spacing w:val="17"/>
                <w:w w:val="84"/>
                <w:sz w:val="18"/>
                <w:szCs w:val="18"/>
              </w:rPr>
              <w:t>l</w:t>
            </w:r>
            <w:r>
              <w:rPr>
                <w:rFonts w:ascii="Times New Roman" w:eastAsia="Times New Roman" w:hAnsi="Times New Roman"/>
                <w:color w:val="000000"/>
                <w:spacing w:val="26"/>
                <w:sz w:val="18"/>
                <w:szCs w:val="18"/>
              </w:rPr>
              <w:t>s</w:t>
            </w:r>
            <w:r>
              <w:rPr>
                <w:rFonts w:ascii="Times New Roman" w:eastAsia="Times New Roman" w:hAnsi="Times New Roman"/>
                <w:color w:val="000000"/>
                <w:spacing w:val="23"/>
                <w:w w:val="106"/>
                <w:sz w:val="18"/>
                <w:szCs w:val="18"/>
              </w:rPr>
              <w:t>k</w:t>
            </w:r>
            <w:r>
              <w:rPr>
                <w:rFonts w:ascii="Times New Roman" w:eastAsia="Times New Roman" w:hAnsi="Times New Roman"/>
                <w:color w:val="000000"/>
                <w:spacing w:val="17"/>
                <w:sz w:val="18"/>
                <w:szCs w:val="18"/>
              </w:rPr>
              <w:t>a</w:t>
            </w:r>
            <w:r>
              <w:rPr>
                <w:rFonts w:ascii="Times New Roman" w:eastAsia="Times New Roman" w:hAnsi="Times New Roman"/>
                <w:color w:val="000000"/>
                <w:spacing w:val="9"/>
                <w:sz w:val="18"/>
                <w:szCs w:val="18"/>
              </w:rPr>
              <w:t xml:space="preserve"> </w:t>
            </w:r>
            <w:r>
              <w:rPr>
                <w:rFonts w:ascii="Times New Roman" w:eastAsia="Times New Roman" w:hAnsi="Times New Roman"/>
                <w:color w:val="000000"/>
                <w:spacing w:val="24"/>
                <w:w w:val="119"/>
                <w:sz w:val="18"/>
                <w:szCs w:val="18"/>
              </w:rPr>
              <w:t>c</w:t>
            </w:r>
            <w:r>
              <w:rPr>
                <w:rFonts w:ascii="Times New Roman" w:eastAsia="Times New Roman" w:hAnsi="Times New Roman"/>
                <w:color w:val="000000"/>
                <w:spacing w:val="13"/>
                <w:sz w:val="18"/>
                <w:szCs w:val="18"/>
              </w:rPr>
              <w:t>e</w:t>
            </w:r>
            <w:r>
              <w:rPr>
                <w:rFonts w:ascii="Times New Roman" w:eastAsia="Times New Roman" w:hAnsi="Times New Roman"/>
                <w:color w:val="000000"/>
                <w:spacing w:val="21"/>
                <w:sz w:val="18"/>
                <w:szCs w:val="18"/>
              </w:rPr>
              <w:t>s</w:t>
            </w:r>
            <w:r>
              <w:rPr>
                <w:rFonts w:ascii="Times New Roman" w:eastAsia="Times New Roman" w:hAnsi="Times New Roman"/>
                <w:color w:val="000000"/>
                <w:spacing w:val="21"/>
                <w:w w:val="105"/>
                <w:sz w:val="18"/>
                <w:szCs w:val="18"/>
              </w:rPr>
              <w:t>t</w:t>
            </w:r>
            <w:r>
              <w:rPr>
                <w:rFonts w:ascii="Times New Roman" w:eastAsia="Times New Roman" w:hAnsi="Times New Roman"/>
                <w:color w:val="000000"/>
                <w:spacing w:val="15"/>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281CE1A0" w14:textId="77777777" w:rsidR="00C5315F" w:rsidRDefault="00C5315F" w:rsidP="00072476">
            <w:pPr>
              <w:spacing w:before="5" w:after="0" w:line="238"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7</w:t>
            </w: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70879CF"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4</w:t>
            </w:r>
            <w:r>
              <w:rPr>
                <w:rFonts w:ascii="Times New Roman" w:eastAsia="Times New Roman" w:hAnsi="Times New Roman"/>
                <w:color w:val="000000"/>
                <w:w w:val="117"/>
                <w:sz w:val="18"/>
                <w:szCs w:val="18"/>
              </w:rPr>
              <w:t>5</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B35ED5E" w14:textId="77777777" w:rsidR="00C5315F" w:rsidRDefault="00C5315F" w:rsidP="00072476">
            <w:pPr>
              <w:spacing w:before="5" w:after="0" w:line="238"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2</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EDFE9AA" w14:textId="77777777" w:rsidR="00C5315F" w:rsidRDefault="00C5315F" w:rsidP="00072476"/>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F1419A3" w14:textId="77777777" w:rsidR="00C5315F" w:rsidRDefault="00C5315F" w:rsidP="00072476">
            <w:pPr>
              <w:spacing w:before="5" w:after="0" w:line="238"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7</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71287E38" w14:textId="77777777" w:rsidR="00C5315F" w:rsidRDefault="00C5315F" w:rsidP="00072476">
            <w:pPr>
              <w:spacing w:before="10" w:after="0" w:line="232"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1</w:t>
            </w:r>
          </w:p>
        </w:tc>
      </w:tr>
      <w:tr w:rsidR="00C5315F" w14:paraId="45866305"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5C5CA7F4" w14:textId="77777777" w:rsidR="00C5315F" w:rsidRDefault="00C5315F" w:rsidP="00072476">
            <w:pPr>
              <w:spacing w:before="5" w:after="0" w:line="238" w:lineRule="auto"/>
              <w:ind w:left="35" w:right="-20"/>
              <w:rPr>
                <w:rFonts w:ascii="Times New Roman" w:eastAsia="Times New Roman" w:hAnsi="Times New Roman"/>
                <w:color w:val="000000"/>
                <w:spacing w:val="6"/>
                <w:sz w:val="18"/>
                <w:szCs w:val="18"/>
              </w:rPr>
            </w:pPr>
            <w:r>
              <w:rPr>
                <w:rFonts w:ascii="Times New Roman" w:eastAsia="Times New Roman" w:hAnsi="Times New Roman"/>
                <w:color w:val="000000"/>
                <w:spacing w:val="-2"/>
                <w:w w:val="114"/>
                <w:sz w:val="18"/>
                <w:szCs w:val="18"/>
              </w:rPr>
              <w:t>R</w:t>
            </w:r>
            <w:r>
              <w:rPr>
                <w:rFonts w:ascii="Times New Roman" w:eastAsia="Times New Roman" w:hAnsi="Times New Roman"/>
                <w:color w:val="000000"/>
                <w:spacing w:val="5"/>
                <w:w w:val="84"/>
                <w:sz w:val="18"/>
                <w:szCs w:val="18"/>
              </w:rPr>
              <w:t>i</w:t>
            </w:r>
            <w:r>
              <w:rPr>
                <w:rFonts w:ascii="Times New Roman" w:eastAsia="Times New Roman" w:hAnsi="Times New Roman"/>
                <w:color w:val="000000"/>
                <w:spacing w:val="2"/>
                <w:w w:val="117"/>
                <w:sz w:val="18"/>
                <w:szCs w:val="18"/>
              </w:rPr>
              <w:t>b</w:t>
            </w:r>
            <w:r>
              <w:rPr>
                <w:rFonts w:ascii="Times New Roman" w:eastAsia="Times New Roman" w:hAnsi="Times New Roman"/>
                <w:color w:val="000000"/>
                <w:spacing w:val="3"/>
                <w:w w:val="117"/>
                <w:sz w:val="18"/>
                <w:szCs w:val="18"/>
              </w:rPr>
              <w:t>n</w:t>
            </w:r>
            <w:r>
              <w:rPr>
                <w:rFonts w:ascii="Times New Roman" w:eastAsia="Times New Roman" w:hAnsi="Times New Roman"/>
                <w:color w:val="000000"/>
                <w:spacing w:val="3"/>
                <w:w w:val="84"/>
                <w:sz w:val="18"/>
                <w:szCs w:val="18"/>
              </w:rPr>
              <w:t>j</w:t>
            </w:r>
            <w:r>
              <w:rPr>
                <w:rFonts w:ascii="Times New Roman" w:eastAsia="Times New Roman" w:hAnsi="Times New Roman"/>
                <w:color w:val="000000"/>
                <w:spacing w:val="3"/>
                <w:sz w:val="18"/>
                <w:szCs w:val="18"/>
              </w:rPr>
              <w:t>a</w:t>
            </w:r>
            <w:r>
              <w:rPr>
                <w:rFonts w:ascii="Times New Roman" w:eastAsia="Times New Roman" w:hAnsi="Times New Roman"/>
                <w:color w:val="000000"/>
                <w:spacing w:val="4"/>
                <w:w w:val="106"/>
                <w:sz w:val="18"/>
                <w:szCs w:val="18"/>
              </w:rPr>
              <w:t>k</w:t>
            </w:r>
            <w:r>
              <w:rPr>
                <w:rFonts w:ascii="Times New Roman" w:eastAsia="Times New Roman" w:hAnsi="Times New Roman"/>
                <w:color w:val="000000"/>
                <w:spacing w:val="20"/>
                <w:sz w:val="18"/>
                <w:szCs w:val="18"/>
              </w:rPr>
              <w:t xml:space="preserve"> </w:t>
            </w:r>
            <w:r>
              <w:rPr>
                <w:rFonts w:ascii="Times New Roman" w:eastAsia="Times New Roman" w:hAnsi="Times New Roman"/>
                <w:color w:val="000000"/>
                <w:w w:val="106"/>
                <w:sz w:val="18"/>
                <w:szCs w:val="18"/>
              </w:rPr>
              <w:t>-</w:t>
            </w:r>
            <w:r>
              <w:rPr>
                <w:rFonts w:ascii="Times New Roman" w:eastAsia="Times New Roman" w:hAnsi="Times New Roman"/>
                <w:color w:val="000000"/>
                <w:spacing w:val="7"/>
                <w:sz w:val="18"/>
                <w:szCs w:val="18"/>
              </w:rPr>
              <w:t xml:space="preserve"> </w:t>
            </w:r>
            <w:r>
              <w:rPr>
                <w:rFonts w:ascii="Times New Roman" w:eastAsia="Times New Roman" w:hAnsi="Times New Roman"/>
                <w:color w:val="000000"/>
                <w:spacing w:val="7"/>
                <w:w w:val="114"/>
                <w:sz w:val="18"/>
                <w:szCs w:val="18"/>
              </w:rPr>
              <w:t>G</w:t>
            </w:r>
            <w:r>
              <w:rPr>
                <w:rFonts w:ascii="Times New Roman" w:eastAsia="Times New Roman" w:hAnsi="Times New Roman"/>
                <w:color w:val="000000"/>
                <w:spacing w:val="4"/>
                <w:w w:val="117"/>
                <w:sz w:val="18"/>
                <w:szCs w:val="18"/>
              </w:rPr>
              <w:t>up</w:t>
            </w:r>
            <w:r>
              <w:rPr>
                <w:rFonts w:ascii="Times New Roman" w:eastAsia="Times New Roman" w:hAnsi="Times New Roman"/>
                <w:color w:val="000000"/>
                <w:spacing w:val="14"/>
                <w:w w:val="119"/>
                <w:sz w:val="18"/>
                <w:szCs w:val="18"/>
              </w:rPr>
              <w:t>č</w:t>
            </w:r>
            <w:r>
              <w:rPr>
                <w:rFonts w:ascii="Times New Roman" w:eastAsia="Times New Roman" w:hAnsi="Times New Roman"/>
                <w:color w:val="000000"/>
                <w:spacing w:val="4"/>
                <w:sz w:val="18"/>
                <w:szCs w:val="18"/>
              </w:rPr>
              <w:t>e</w:t>
            </w:r>
            <w:r>
              <w:rPr>
                <w:rFonts w:ascii="Times New Roman" w:eastAsia="Times New Roman" w:hAnsi="Times New Roman"/>
                <w:color w:val="000000"/>
                <w:spacing w:val="-15"/>
                <w:w w:val="106"/>
                <w:sz w:val="18"/>
                <w:szCs w:val="18"/>
              </w:rPr>
              <w:t>v</w:t>
            </w:r>
            <w:r>
              <w:rPr>
                <w:rFonts w:ascii="Times New Roman" w:eastAsia="Times New Roman" w:hAnsi="Times New Roman"/>
                <w:color w:val="000000"/>
                <w:spacing w:val="7"/>
                <w:sz w:val="18"/>
                <w:szCs w:val="18"/>
              </w:rPr>
              <w:t>a</w:t>
            </w:r>
            <w:r>
              <w:rPr>
                <w:rFonts w:ascii="Times New Roman" w:eastAsia="Times New Roman" w:hAnsi="Times New Roman"/>
                <w:color w:val="000000"/>
                <w:spacing w:val="9"/>
                <w:sz w:val="18"/>
                <w:szCs w:val="18"/>
              </w:rPr>
              <w:t xml:space="preserve"> </w:t>
            </w:r>
            <w:r>
              <w:rPr>
                <w:rFonts w:ascii="Times New Roman" w:eastAsia="Times New Roman" w:hAnsi="Times New Roman"/>
                <w:color w:val="000000"/>
                <w:spacing w:val="16"/>
                <w:w w:val="119"/>
                <w:sz w:val="18"/>
                <w:szCs w:val="18"/>
              </w:rPr>
              <w:t>z</w:t>
            </w:r>
            <w:r>
              <w:rPr>
                <w:rFonts w:ascii="Times New Roman" w:eastAsia="Times New Roman" w:hAnsi="Times New Roman"/>
                <w:color w:val="000000"/>
                <w:spacing w:val="-14"/>
                <w:w w:val="106"/>
                <w:sz w:val="18"/>
                <w:szCs w:val="18"/>
              </w:rPr>
              <w:t>v</w:t>
            </w:r>
            <w:r>
              <w:rPr>
                <w:rFonts w:ascii="Times New Roman" w:eastAsia="Times New Roman" w:hAnsi="Times New Roman"/>
                <w:color w:val="000000"/>
                <w:spacing w:val="6"/>
                <w:w w:val="84"/>
                <w:sz w:val="18"/>
                <w:szCs w:val="18"/>
              </w:rPr>
              <w:t>ij</w:t>
            </w:r>
            <w:r>
              <w:rPr>
                <w:rFonts w:ascii="Times New Roman" w:eastAsia="Times New Roman" w:hAnsi="Times New Roman"/>
                <w:color w:val="000000"/>
                <w:spacing w:val="4"/>
                <w:sz w:val="18"/>
                <w:szCs w:val="18"/>
              </w:rPr>
              <w:t>e</w:t>
            </w:r>
            <w:r>
              <w:rPr>
                <w:rFonts w:ascii="Times New Roman" w:eastAsia="Times New Roman" w:hAnsi="Times New Roman"/>
                <w:color w:val="000000"/>
                <w:spacing w:val="12"/>
                <w:w w:val="119"/>
                <w:sz w:val="18"/>
                <w:szCs w:val="18"/>
              </w:rPr>
              <w:t>z</w:t>
            </w:r>
            <w:r>
              <w:rPr>
                <w:rFonts w:ascii="Times New Roman" w:eastAsia="Times New Roman" w:hAnsi="Times New Roman"/>
                <w:color w:val="000000"/>
                <w:spacing w:val="5"/>
                <w:w w:val="117"/>
                <w:sz w:val="18"/>
                <w:szCs w:val="18"/>
              </w:rPr>
              <w:t>d</w:t>
            </w:r>
            <w:r>
              <w:rPr>
                <w:rFonts w:ascii="Times New Roman" w:eastAsia="Times New Roman" w:hAnsi="Times New Roman"/>
                <w:color w:val="000000"/>
                <w:spacing w:val="6"/>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69A41E18" w14:textId="77777777" w:rsidR="00C5315F" w:rsidRDefault="00C5315F" w:rsidP="00072476">
            <w:pPr>
              <w:spacing w:before="5" w:after="0" w:line="238"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9</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823727B"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4</w:t>
            </w:r>
            <w:r>
              <w:rPr>
                <w:rFonts w:ascii="Times New Roman" w:eastAsia="Times New Roman" w:hAnsi="Times New Roman"/>
                <w:color w:val="000000"/>
                <w:w w:val="117"/>
                <w:sz w:val="18"/>
                <w:szCs w:val="18"/>
              </w:rPr>
              <w:t>2</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2EBCADF"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D2C653" w14:textId="77777777" w:rsidR="00C5315F" w:rsidRDefault="00C5315F" w:rsidP="00072476">
            <w:pPr>
              <w:spacing w:before="10" w:after="0" w:line="232"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0F148D" w14:textId="77777777" w:rsidR="00C5315F" w:rsidRDefault="00C5315F" w:rsidP="00072476">
            <w:pPr>
              <w:spacing w:before="5" w:after="0" w:line="238"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9</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04943A1F" w14:textId="77777777" w:rsidR="00C5315F" w:rsidRDefault="00C5315F" w:rsidP="00072476">
            <w:pPr>
              <w:spacing w:before="10" w:after="0" w:line="232"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w w:val="117"/>
                <w:sz w:val="18"/>
                <w:szCs w:val="18"/>
              </w:rPr>
              <w:t>0</w:t>
            </w:r>
          </w:p>
        </w:tc>
      </w:tr>
      <w:tr w:rsidR="00C5315F" w14:paraId="42F7E81D"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4F9193A7" w14:textId="77777777" w:rsidR="00C5315F" w:rsidRDefault="00C5315F" w:rsidP="00072476">
            <w:pPr>
              <w:spacing w:before="5" w:after="0" w:line="237" w:lineRule="auto"/>
              <w:ind w:left="35" w:right="-20"/>
              <w:rPr>
                <w:rFonts w:ascii="Times New Roman" w:eastAsia="Times New Roman" w:hAnsi="Times New Roman"/>
                <w:color w:val="000000"/>
                <w:spacing w:val="11"/>
                <w:sz w:val="18"/>
                <w:szCs w:val="18"/>
              </w:rPr>
            </w:pPr>
            <w:r>
              <w:rPr>
                <w:rFonts w:ascii="Times New Roman" w:eastAsia="Times New Roman" w:hAnsi="Times New Roman"/>
                <w:color w:val="000000"/>
                <w:spacing w:val="9"/>
                <w:sz w:val="18"/>
                <w:szCs w:val="18"/>
              </w:rPr>
              <w:t>J</w:t>
            </w:r>
            <w:r>
              <w:rPr>
                <w:rFonts w:ascii="Times New Roman" w:eastAsia="Times New Roman" w:hAnsi="Times New Roman"/>
                <w:color w:val="000000"/>
                <w:spacing w:val="10"/>
                <w:sz w:val="18"/>
                <w:szCs w:val="18"/>
              </w:rPr>
              <w:t>a</w:t>
            </w:r>
            <w:r>
              <w:rPr>
                <w:rFonts w:ascii="Times New Roman" w:eastAsia="Times New Roman" w:hAnsi="Times New Roman"/>
                <w:color w:val="000000"/>
                <w:spacing w:val="12"/>
                <w:w w:val="117"/>
                <w:sz w:val="18"/>
                <w:szCs w:val="18"/>
              </w:rPr>
              <w:t>d</w:t>
            </w:r>
            <w:r>
              <w:rPr>
                <w:rFonts w:ascii="Times New Roman" w:eastAsia="Times New Roman" w:hAnsi="Times New Roman"/>
                <w:color w:val="000000"/>
                <w:spacing w:val="11"/>
                <w:w w:val="106"/>
                <w:sz w:val="18"/>
                <w:szCs w:val="18"/>
              </w:rPr>
              <w:t>r</w:t>
            </w:r>
            <w:r>
              <w:rPr>
                <w:rFonts w:ascii="Times New Roman" w:eastAsia="Times New Roman" w:hAnsi="Times New Roman"/>
                <w:color w:val="000000"/>
                <w:spacing w:val="9"/>
                <w:sz w:val="18"/>
                <w:szCs w:val="18"/>
              </w:rPr>
              <w:t>a</w:t>
            </w:r>
            <w:r>
              <w:rPr>
                <w:rFonts w:ascii="Times New Roman" w:eastAsia="Times New Roman" w:hAnsi="Times New Roman"/>
                <w:color w:val="000000"/>
                <w:spacing w:val="12"/>
                <w:w w:val="117"/>
                <w:sz w:val="18"/>
                <w:szCs w:val="18"/>
              </w:rPr>
              <w:t>n</w:t>
            </w:r>
            <w:r>
              <w:rPr>
                <w:rFonts w:ascii="Times New Roman" w:eastAsia="Times New Roman" w:hAnsi="Times New Roman"/>
                <w:color w:val="000000"/>
                <w:spacing w:val="19"/>
                <w:sz w:val="18"/>
                <w:szCs w:val="18"/>
              </w:rPr>
              <w:t>s</w:t>
            </w:r>
            <w:r>
              <w:rPr>
                <w:rFonts w:ascii="Times New Roman" w:eastAsia="Times New Roman" w:hAnsi="Times New Roman"/>
                <w:color w:val="000000"/>
                <w:spacing w:val="21"/>
                <w:w w:val="106"/>
                <w:sz w:val="18"/>
                <w:szCs w:val="18"/>
              </w:rPr>
              <w:t>k</w:t>
            </w:r>
            <w:r>
              <w:rPr>
                <w:rFonts w:ascii="Times New Roman" w:eastAsia="Times New Roman" w:hAnsi="Times New Roman"/>
                <w:color w:val="000000"/>
                <w:spacing w:val="14"/>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9"/>
                <w:sz w:val="18"/>
                <w:szCs w:val="18"/>
              </w:rPr>
              <w:t>a</w:t>
            </w:r>
            <w:r>
              <w:rPr>
                <w:rFonts w:ascii="Times New Roman" w:eastAsia="Times New Roman" w:hAnsi="Times New Roman"/>
                <w:color w:val="000000"/>
                <w:spacing w:val="-11"/>
                <w:w w:val="106"/>
                <w:sz w:val="18"/>
                <w:szCs w:val="18"/>
              </w:rPr>
              <w:t>v</w:t>
            </w:r>
            <w:r>
              <w:rPr>
                <w:rFonts w:ascii="Times New Roman" w:eastAsia="Times New Roman" w:hAnsi="Times New Roman"/>
                <w:color w:val="000000"/>
                <w:spacing w:val="8"/>
                <w:sz w:val="18"/>
                <w:szCs w:val="18"/>
              </w:rPr>
              <w:t>e</w:t>
            </w:r>
            <w:r>
              <w:rPr>
                <w:rFonts w:ascii="Times New Roman" w:eastAsia="Times New Roman" w:hAnsi="Times New Roman"/>
                <w:color w:val="000000"/>
                <w:spacing w:val="9"/>
                <w:w w:val="117"/>
                <w:sz w:val="18"/>
                <w:szCs w:val="18"/>
              </w:rPr>
              <w:t>n</w:t>
            </w:r>
            <w:r>
              <w:rPr>
                <w:rFonts w:ascii="Times New Roman" w:eastAsia="Times New Roman" w:hAnsi="Times New Roman"/>
                <w:color w:val="000000"/>
                <w:spacing w:val="11"/>
                <w:w w:val="84"/>
                <w:sz w:val="18"/>
                <w:szCs w:val="18"/>
              </w:rPr>
              <w:t>i</w:t>
            </w:r>
            <w:r>
              <w:rPr>
                <w:rFonts w:ascii="Times New Roman" w:eastAsia="Times New Roman" w:hAnsi="Times New Roman"/>
                <w:color w:val="000000"/>
                <w:spacing w:val="13"/>
                <w:w w:val="84"/>
                <w:sz w:val="18"/>
                <w:szCs w:val="18"/>
              </w:rPr>
              <w:t>j</w:t>
            </w:r>
            <w:r>
              <w:rPr>
                <w:rFonts w:ascii="Times New Roman" w:eastAsia="Times New Roman" w:hAnsi="Times New Roman"/>
                <w:color w:val="000000"/>
                <w:spacing w:val="11"/>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1EDA4988" w14:textId="77777777" w:rsidR="00C5315F" w:rsidRDefault="00C5315F" w:rsidP="00072476">
            <w:pPr>
              <w:spacing w:before="5" w:after="0" w:line="237"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4</w:t>
            </w:r>
            <w:r>
              <w:rPr>
                <w:rFonts w:ascii="Times New Roman" w:eastAsia="Times New Roman" w:hAnsi="Times New Roman"/>
                <w:color w:val="000000"/>
                <w:w w:val="117"/>
                <w:sz w:val="18"/>
                <w:szCs w:val="18"/>
              </w:rPr>
              <w:t>8</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43B468"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4</w:t>
            </w:r>
            <w:r>
              <w:rPr>
                <w:rFonts w:ascii="Times New Roman" w:eastAsia="Times New Roman" w:hAnsi="Times New Roman"/>
                <w:color w:val="000000"/>
                <w:w w:val="117"/>
                <w:sz w:val="18"/>
                <w:szCs w:val="18"/>
              </w:rPr>
              <w:t>1</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6CD6FE"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980A69D" w14:textId="77777777" w:rsidR="00C5315F" w:rsidRDefault="00C5315F" w:rsidP="00072476"/>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784B4CB" w14:textId="77777777" w:rsidR="00C5315F" w:rsidRDefault="00C5315F" w:rsidP="00072476">
            <w:pPr>
              <w:spacing w:before="5" w:after="0" w:line="237"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5</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7918AED4" w14:textId="77777777" w:rsidR="00C5315F" w:rsidRDefault="00C5315F" w:rsidP="00072476">
            <w:pPr>
              <w:spacing w:before="10" w:after="0" w:line="232"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0</w:t>
            </w:r>
          </w:p>
        </w:tc>
      </w:tr>
      <w:tr w:rsidR="00C5315F" w14:paraId="21E61C33"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3B9065FF" w14:textId="77777777" w:rsidR="00C5315F" w:rsidRDefault="00C5315F" w:rsidP="00072476">
            <w:pPr>
              <w:spacing w:before="5" w:after="0" w:line="237" w:lineRule="auto"/>
              <w:ind w:left="35" w:right="-20"/>
              <w:rPr>
                <w:rFonts w:ascii="Times New Roman" w:eastAsia="Times New Roman" w:hAnsi="Times New Roman"/>
                <w:color w:val="000000"/>
                <w:spacing w:val="15"/>
                <w:sz w:val="18"/>
                <w:szCs w:val="18"/>
              </w:rPr>
            </w:pPr>
            <w:r>
              <w:rPr>
                <w:rFonts w:ascii="Times New Roman" w:eastAsia="Times New Roman" w:hAnsi="Times New Roman"/>
                <w:color w:val="000000"/>
                <w:spacing w:val="-3"/>
                <w:w w:val="105"/>
                <w:sz w:val="18"/>
                <w:szCs w:val="18"/>
              </w:rPr>
              <w:t>Z</w:t>
            </w:r>
            <w:r>
              <w:rPr>
                <w:rFonts w:ascii="Times New Roman" w:eastAsia="Times New Roman" w:hAnsi="Times New Roman"/>
                <w:color w:val="000000"/>
                <w:spacing w:val="9"/>
                <w:sz w:val="18"/>
                <w:szCs w:val="18"/>
              </w:rPr>
              <w:t>a</w:t>
            </w:r>
            <w:r>
              <w:rPr>
                <w:rFonts w:ascii="Times New Roman" w:eastAsia="Times New Roman" w:hAnsi="Times New Roman"/>
                <w:color w:val="000000"/>
                <w:spacing w:val="6"/>
                <w:w w:val="117"/>
                <w:sz w:val="18"/>
                <w:szCs w:val="18"/>
              </w:rPr>
              <w:t>g</w:t>
            </w:r>
            <w:r>
              <w:rPr>
                <w:rFonts w:ascii="Times New Roman" w:eastAsia="Times New Roman" w:hAnsi="Times New Roman"/>
                <w:color w:val="000000"/>
                <w:spacing w:val="6"/>
                <w:w w:val="106"/>
                <w:sz w:val="18"/>
                <w:szCs w:val="18"/>
              </w:rPr>
              <w:t>r</w:t>
            </w:r>
            <w:r>
              <w:rPr>
                <w:rFonts w:ascii="Times New Roman" w:eastAsia="Times New Roman" w:hAnsi="Times New Roman"/>
                <w:color w:val="000000"/>
                <w:spacing w:val="5"/>
                <w:sz w:val="18"/>
                <w:szCs w:val="18"/>
              </w:rPr>
              <w:t>e</w:t>
            </w:r>
            <w:r>
              <w:rPr>
                <w:rFonts w:ascii="Times New Roman" w:eastAsia="Times New Roman" w:hAnsi="Times New Roman"/>
                <w:color w:val="000000"/>
                <w:spacing w:val="8"/>
                <w:w w:val="117"/>
                <w:sz w:val="18"/>
                <w:szCs w:val="18"/>
              </w:rPr>
              <w:t>b</w:t>
            </w:r>
            <w:r>
              <w:rPr>
                <w:rFonts w:ascii="Times New Roman" w:eastAsia="Times New Roman" w:hAnsi="Times New Roman"/>
                <w:color w:val="000000"/>
                <w:spacing w:val="9"/>
                <w:sz w:val="18"/>
                <w:szCs w:val="18"/>
              </w:rPr>
              <w:t>a</w:t>
            </w:r>
            <w:r>
              <w:rPr>
                <w:rFonts w:ascii="Times New Roman" w:eastAsia="Times New Roman" w:hAnsi="Times New Roman"/>
                <w:color w:val="000000"/>
                <w:spacing w:val="16"/>
                <w:w w:val="119"/>
                <w:sz w:val="18"/>
                <w:szCs w:val="18"/>
              </w:rPr>
              <w:t>č</w:t>
            </w:r>
            <w:r>
              <w:rPr>
                <w:rFonts w:ascii="Times New Roman" w:eastAsia="Times New Roman" w:hAnsi="Times New Roman"/>
                <w:color w:val="000000"/>
                <w:spacing w:val="17"/>
                <w:w w:val="106"/>
                <w:sz w:val="18"/>
                <w:szCs w:val="18"/>
              </w:rPr>
              <w:t>k</w:t>
            </w:r>
            <w:r>
              <w:rPr>
                <w:rFonts w:ascii="Times New Roman" w:eastAsia="Times New Roman" w:hAnsi="Times New Roman"/>
                <w:color w:val="000000"/>
                <w:spacing w:val="10"/>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23"/>
                <w:w w:val="119"/>
                <w:sz w:val="18"/>
                <w:szCs w:val="18"/>
              </w:rPr>
              <w:t>c</w:t>
            </w:r>
            <w:r>
              <w:rPr>
                <w:rFonts w:ascii="Times New Roman" w:eastAsia="Times New Roman" w:hAnsi="Times New Roman"/>
                <w:color w:val="000000"/>
                <w:spacing w:val="11"/>
                <w:sz w:val="18"/>
                <w:szCs w:val="18"/>
              </w:rPr>
              <w:t>e</w:t>
            </w:r>
            <w:r>
              <w:rPr>
                <w:rFonts w:ascii="Times New Roman" w:eastAsia="Times New Roman" w:hAnsi="Times New Roman"/>
                <w:color w:val="000000"/>
                <w:spacing w:val="22"/>
                <w:sz w:val="18"/>
                <w:szCs w:val="18"/>
              </w:rPr>
              <w:t>s</w:t>
            </w:r>
            <w:r>
              <w:rPr>
                <w:rFonts w:ascii="Times New Roman" w:eastAsia="Times New Roman" w:hAnsi="Times New Roman"/>
                <w:color w:val="000000"/>
                <w:spacing w:val="21"/>
                <w:w w:val="105"/>
                <w:sz w:val="18"/>
                <w:szCs w:val="18"/>
              </w:rPr>
              <w:t>t</w:t>
            </w:r>
            <w:r>
              <w:rPr>
                <w:rFonts w:ascii="Times New Roman" w:eastAsia="Times New Roman" w:hAnsi="Times New Roman"/>
                <w:color w:val="000000"/>
                <w:spacing w:val="15"/>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2DA5A9BA" w14:textId="77777777" w:rsidR="00C5315F" w:rsidRDefault="00C5315F" w:rsidP="00072476">
            <w:pPr>
              <w:spacing w:before="5" w:after="0" w:line="237"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5</w:t>
            </w:r>
            <w:r>
              <w:rPr>
                <w:rFonts w:ascii="Times New Roman" w:eastAsia="Times New Roman" w:hAnsi="Times New Roman"/>
                <w:color w:val="000000"/>
                <w:w w:val="117"/>
                <w:sz w:val="18"/>
                <w:szCs w:val="18"/>
              </w:rPr>
              <w:t>0</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76CFFFD"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2</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BA56853"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3A002B5" w14:textId="77777777" w:rsidR="00C5315F" w:rsidRDefault="00C5315F" w:rsidP="00072476"/>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3C94A954" w14:textId="77777777" w:rsidR="00C5315F" w:rsidRDefault="00C5315F" w:rsidP="00072476">
            <w:pPr>
              <w:spacing w:before="5" w:after="0" w:line="237"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w w:val="117"/>
                <w:sz w:val="18"/>
                <w:szCs w:val="18"/>
              </w:rPr>
              <w:t>1</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2E30D19C" w14:textId="77777777" w:rsidR="00C5315F" w:rsidRDefault="00C5315F" w:rsidP="00072476">
            <w:pPr>
              <w:spacing w:before="10" w:after="0" w:line="232"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w w:val="117"/>
                <w:sz w:val="18"/>
                <w:szCs w:val="18"/>
              </w:rPr>
              <w:t>8</w:t>
            </w:r>
          </w:p>
        </w:tc>
      </w:tr>
      <w:tr w:rsidR="00C5315F" w14:paraId="1A26043B"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13D491CB" w14:textId="77777777" w:rsidR="00C5315F" w:rsidRDefault="00C5315F" w:rsidP="00072476">
            <w:pPr>
              <w:spacing w:before="6" w:after="0" w:line="237" w:lineRule="auto"/>
              <w:ind w:left="35" w:right="-20"/>
              <w:rPr>
                <w:rFonts w:ascii="Times New Roman" w:eastAsia="Times New Roman" w:hAnsi="Times New Roman"/>
                <w:color w:val="000000"/>
                <w:spacing w:val="9"/>
                <w:sz w:val="18"/>
                <w:szCs w:val="18"/>
              </w:rPr>
            </w:pPr>
            <w:r>
              <w:rPr>
                <w:rFonts w:ascii="Times New Roman" w:eastAsia="Times New Roman" w:hAnsi="Times New Roman"/>
                <w:color w:val="000000"/>
                <w:spacing w:val="3"/>
                <w:w w:val="106"/>
                <w:sz w:val="18"/>
                <w:szCs w:val="18"/>
              </w:rPr>
              <w:t>H</w:t>
            </w:r>
            <w:r>
              <w:rPr>
                <w:rFonts w:ascii="Times New Roman" w:eastAsia="Times New Roman" w:hAnsi="Times New Roman"/>
                <w:color w:val="000000"/>
                <w:spacing w:val="8"/>
                <w:w w:val="117"/>
                <w:sz w:val="18"/>
                <w:szCs w:val="18"/>
              </w:rPr>
              <w:t>o</w:t>
            </w:r>
            <w:r>
              <w:rPr>
                <w:rFonts w:ascii="Times New Roman" w:eastAsia="Times New Roman" w:hAnsi="Times New Roman"/>
                <w:color w:val="000000"/>
                <w:spacing w:val="3"/>
                <w:w w:val="106"/>
                <w:sz w:val="18"/>
                <w:szCs w:val="18"/>
              </w:rPr>
              <w:t>r</w:t>
            </w:r>
            <w:r>
              <w:rPr>
                <w:rFonts w:ascii="Times New Roman" w:eastAsia="Times New Roman" w:hAnsi="Times New Roman"/>
                <w:color w:val="000000"/>
                <w:spacing w:val="-12"/>
                <w:w w:val="106"/>
                <w:sz w:val="18"/>
                <w:szCs w:val="18"/>
              </w:rPr>
              <w:t>v</w:t>
            </w:r>
            <w:r>
              <w:rPr>
                <w:rFonts w:ascii="Times New Roman" w:eastAsia="Times New Roman" w:hAnsi="Times New Roman"/>
                <w:color w:val="000000"/>
                <w:spacing w:val="4"/>
                <w:sz w:val="18"/>
                <w:szCs w:val="18"/>
              </w:rPr>
              <w:t>a</w:t>
            </w:r>
            <w:r>
              <w:rPr>
                <w:rFonts w:ascii="Times New Roman" w:eastAsia="Times New Roman" w:hAnsi="Times New Roman"/>
                <w:color w:val="000000"/>
                <w:spacing w:val="17"/>
                <w:w w:val="119"/>
                <w:sz w:val="18"/>
                <w:szCs w:val="18"/>
              </w:rPr>
              <w:t>ć</w:t>
            </w:r>
            <w:r>
              <w:rPr>
                <w:rFonts w:ascii="Times New Roman" w:eastAsia="Times New Roman" w:hAnsi="Times New Roman"/>
                <w:color w:val="000000"/>
                <w:spacing w:val="8"/>
                <w:sz w:val="18"/>
                <w:szCs w:val="18"/>
              </w:rPr>
              <w:t>a</w:t>
            </w:r>
            <w:r>
              <w:rPr>
                <w:rFonts w:ascii="Times New Roman" w:eastAsia="Times New Roman" w:hAnsi="Times New Roman"/>
                <w:color w:val="000000"/>
                <w:spacing w:val="5"/>
                <w:w w:val="117"/>
                <w:sz w:val="18"/>
                <w:szCs w:val="18"/>
              </w:rPr>
              <w:t>n</w:t>
            </w:r>
            <w:r>
              <w:rPr>
                <w:rFonts w:ascii="Times New Roman" w:eastAsia="Times New Roman" w:hAnsi="Times New Roman"/>
                <w:color w:val="000000"/>
                <w:spacing w:val="16"/>
                <w:sz w:val="18"/>
                <w:szCs w:val="18"/>
              </w:rPr>
              <w:t>s</w:t>
            </w:r>
            <w:r>
              <w:rPr>
                <w:rFonts w:ascii="Times New Roman" w:eastAsia="Times New Roman" w:hAnsi="Times New Roman"/>
                <w:color w:val="000000"/>
                <w:spacing w:val="17"/>
                <w:w w:val="106"/>
                <w:sz w:val="18"/>
                <w:szCs w:val="18"/>
              </w:rPr>
              <w:t>k</w:t>
            </w:r>
            <w:r>
              <w:rPr>
                <w:rFonts w:ascii="Times New Roman" w:eastAsia="Times New Roman" w:hAnsi="Times New Roman"/>
                <w:color w:val="000000"/>
                <w:spacing w:val="9"/>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5CE9D43D" w14:textId="77777777" w:rsidR="00C5315F" w:rsidRDefault="00C5315F" w:rsidP="00072476">
            <w:pPr>
              <w:spacing w:before="6" w:after="0" w:line="237"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2</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1800A8B"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w w:val="117"/>
                <w:sz w:val="18"/>
                <w:szCs w:val="18"/>
              </w:rPr>
              <w:t>7</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8213CED"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E2B4669" w14:textId="77777777" w:rsidR="00C5315F" w:rsidRDefault="00C5315F" w:rsidP="00072476"/>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38FCCA" w14:textId="77777777" w:rsidR="00C5315F" w:rsidRDefault="00C5315F" w:rsidP="00072476">
            <w:pPr>
              <w:spacing w:before="6" w:after="0" w:line="237"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3</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1E46B8A3" w14:textId="77777777" w:rsidR="00C5315F" w:rsidRDefault="00C5315F" w:rsidP="00072476">
            <w:pPr>
              <w:spacing w:before="10" w:after="0" w:line="232"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w w:val="117"/>
                <w:sz w:val="18"/>
                <w:szCs w:val="18"/>
              </w:rPr>
              <w:t>6</w:t>
            </w:r>
          </w:p>
        </w:tc>
      </w:tr>
      <w:tr w:rsidR="00C5315F" w14:paraId="762FA079"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3F7D1C0F" w14:textId="77777777" w:rsidR="00C5315F" w:rsidRDefault="00C5315F" w:rsidP="00072476">
            <w:pPr>
              <w:spacing w:before="6" w:after="0" w:line="237" w:lineRule="auto"/>
              <w:ind w:left="35" w:right="-20"/>
              <w:rPr>
                <w:rFonts w:ascii="Times New Roman" w:eastAsia="Times New Roman" w:hAnsi="Times New Roman"/>
                <w:color w:val="000000"/>
                <w:spacing w:val="8"/>
                <w:sz w:val="18"/>
                <w:szCs w:val="18"/>
              </w:rPr>
            </w:pPr>
            <w:r>
              <w:rPr>
                <w:rFonts w:ascii="Times New Roman" w:eastAsia="Times New Roman" w:hAnsi="Times New Roman"/>
                <w:color w:val="000000"/>
                <w:spacing w:val="3"/>
                <w:w w:val="96"/>
                <w:sz w:val="18"/>
                <w:szCs w:val="18"/>
              </w:rPr>
              <w:t>L</w:t>
            </w:r>
            <w:r>
              <w:rPr>
                <w:rFonts w:ascii="Times New Roman" w:eastAsia="Times New Roman" w:hAnsi="Times New Roman"/>
                <w:color w:val="000000"/>
                <w:spacing w:val="5"/>
                <w:w w:val="117"/>
                <w:sz w:val="18"/>
                <w:szCs w:val="18"/>
              </w:rPr>
              <w:t>u</w:t>
            </w:r>
            <w:r>
              <w:rPr>
                <w:rFonts w:ascii="Times New Roman" w:eastAsia="Times New Roman" w:hAnsi="Times New Roman"/>
                <w:color w:val="000000"/>
                <w:spacing w:val="6"/>
                <w:w w:val="84"/>
                <w:sz w:val="18"/>
                <w:szCs w:val="18"/>
              </w:rPr>
              <w:t>j</w:t>
            </w:r>
            <w:r>
              <w:rPr>
                <w:rFonts w:ascii="Times New Roman" w:eastAsia="Times New Roman" w:hAnsi="Times New Roman"/>
                <w:color w:val="000000"/>
                <w:spacing w:val="6"/>
                <w:sz w:val="18"/>
                <w:szCs w:val="18"/>
              </w:rPr>
              <w:t>e</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3"/>
                <w:w w:val="106"/>
                <w:sz w:val="18"/>
                <w:szCs w:val="18"/>
              </w:rPr>
              <w:t>N</w:t>
            </w:r>
            <w:r>
              <w:rPr>
                <w:rFonts w:ascii="Times New Roman" w:eastAsia="Times New Roman" w:hAnsi="Times New Roman"/>
                <w:color w:val="000000"/>
                <w:spacing w:val="3"/>
                <w:sz w:val="18"/>
                <w:szCs w:val="18"/>
              </w:rPr>
              <w:t>a</w:t>
            </w:r>
            <w:r>
              <w:rPr>
                <w:rFonts w:ascii="Times New Roman" w:eastAsia="Times New Roman" w:hAnsi="Times New Roman"/>
                <w:color w:val="000000"/>
                <w:spacing w:val="12"/>
                <w:w w:val="84"/>
                <w:sz w:val="18"/>
                <w:szCs w:val="18"/>
              </w:rPr>
              <w:t>l</w:t>
            </w:r>
            <w:r>
              <w:rPr>
                <w:rFonts w:ascii="Times New Roman" w:eastAsia="Times New Roman" w:hAnsi="Times New Roman"/>
                <w:color w:val="000000"/>
                <w:spacing w:val="4"/>
                <w:sz w:val="18"/>
                <w:szCs w:val="18"/>
              </w:rPr>
              <w:t>e</w:t>
            </w:r>
            <w:r>
              <w:rPr>
                <w:rFonts w:ascii="Times New Roman" w:eastAsia="Times New Roman" w:hAnsi="Times New Roman"/>
                <w:color w:val="000000"/>
                <w:spacing w:val="16"/>
                <w:w w:val="105"/>
                <w:sz w:val="18"/>
                <w:szCs w:val="18"/>
              </w:rPr>
              <w:t>t</w:t>
            </w:r>
            <w:r>
              <w:rPr>
                <w:rFonts w:ascii="Times New Roman" w:eastAsia="Times New Roman" w:hAnsi="Times New Roman"/>
                <w:color w:val="000000"/>
                <w:spacing w:val="9"/>
                <w:w w:val="84"/>
                <w:sz w:val="18"/>
                <w:szCs w:val="18"/>
              </w:rPr>
              <w:t>i</w:t>
            </w:r>
            <w:r>
              <w:rPr>
                <w:rFonts w:ascii="Times New Roman" w:eastAsia="Times New Roman" w:hAnsi="Times New Roman"/>
                <w:color w:val="000000"/>
                <w:spacing w:val="8"/>
                <w:w w:val="84"/>
                <w:sz w:val="18"/>
                <w:szCs w:val="18"/>
              </w:rPr>
              <w:t>l</w:t>
            </w:r>
            <w:r>
              <w:rPr>
                <w:rFonts w:ascii="Times New Roman" w:eastAsia="Times New Roman" w:hAnsi="Times New Roman"/>
                <w:color w:val="000000"/>
                <w:spacing w:val="11"/>
                <w:w w:val="84"/>
                <w:sz w:val="18"/>
                <w:szCs w:val="18"/>
              </w:rPr>
              <w:t>i</w:t>
            </w:r>
            <w:r>
              <w:rPr>
                <w:rFonts w:ascii="Times New Roman" w:eastAsia="Times New Roman" w:hAnsi="Times New Roman"/>
                <w:color w:val="000000"/>
                <w:spacing w:val="14"/>
                <w:w w:val="119"/>
                <w:sz w:val="18"/>
                <w:szCs w:val="18"/>
              </w:rPr>
              <w:t>ć</w:t>
            </w:r>
            <w:r>
              <w:rPr>
                <w:rFonts w:ascii="Times New Roman" w:eastAsia="Times New Roman" w:hAnsi="Times New Roman"/>
                <w:color w:val="000000"/>
                <w:spacing w:val="8"/>
                <w:sz w:val="18"/>
                <w:szCs w:val="18"/>
              </w:rPr>
              <w:t>a</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3DAA3002" w14:textId="77777777" w:rsidR="00C5315F" w:rsidRDefault="00C5315F" w:rsidP="00072476">
            <w:pPr>
              <w:spacing w:before="6" w:after="0" w:line="237"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5</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5009E49" w14:textId="77777777" w:rsidR="00C5315F" w:rsidRDefault="00C5315F" w:rsidP="00072476">
            <w:pPr>
              <w:spacing w:before="10" w:after="0" w:line="232"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1</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3C51D07"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BF76C75" w14:textId="77777777" w:rsidR="00C5315F" w:rsidRDefault="00C5315F" w:rsidP="00072476">
            <w:pPr>
              <w:spacing w:before="10" w:after="0" w:line="232"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E08B951" w14:textId="77777777" w:rsidR="00C5315F" w:rsidRDefault="00C5315F" w:rsidP="00072476">
            <w:pPr>
              <w:spacing w:before="6" w:after="0" w:line="237" w:lineRule="auto"/>
              <w:ind w:left="391"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9</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0FBA3929" w14:textId="77777777" w:rsidR="00C5315F" w:rsidRDefault="00C5315F" w:rsidP="00072476">
            <w:pPr>
              <w:spacing w:before="10" w:after="0" w:line="232" w:lineRule="auto"/>
              <w:ind w:left="391"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4</w:t>
            </w:r>
          </w:p>
        </w:tc>
      </w:tr>
      <w:tr w:rsidR="00C5315F" w14:paraId="47DF7BC5"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1C2C4635" w14:textId="77777777" w:rsidR="00C5315F" w:rsidRDefault="00C5315F" w:rsidP="00072476">
            <w:pPr>
              <w:spacing w:before="6" w:after="0" w:line="237" w:lineRule="auto"/>
              <w:ind w:left="35"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97"/>
                <w:sz w:val="18"/>
                <w:szCs w:val="18"/>
              </w:rPr>
              <w:t>A</w:t>
            </w:r>
            <w:r>
              <w:rPr>
                <w:rFonts w:ascii="Times New Roman" w:eastAsia="Times New Roman" w:hAnsi="Times New Roman"/>
                <w:color w:val="000000"/>
                <w:w w:val="117"/>
                <w:sz w:val="18"/>
                <w:szCs w:val="18"/>
              </w:rPr>
              <w:t>1</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698E29A8" w14:textId="77777777" w:rsidR="00C5315F" w:rsidRDefault="00C5315F" w:rsidP="00072476">
            <w:pPr>
              <w:spacing w:before="6" w:after="0" w:line="237"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4</w:t>
            </w: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DE0FA09" w14:textId="77777777" w:rsidR="00C5315F" w:rsidRDefault="00C5315F" w:rsidP="00072476">
            <w:pPr>
              <w:spacing w:before="11" w:after="0" w:line="231"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w w:val="117"/>
                <w:sz w:val="18"/>
                <w:szCs w:val="18"/>
              </w:rPr>
              <w:t>9</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AE4E33F"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9EE8F4D" w14:textId="77777777" w:rsidR="00C5315F" w:rsidRDefault="00C5315F" w:rsidP="00072476">
            <w:pPr>
              <w:spacing w:before="11" w:after="0" w:line="231"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4</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1FFC4548" w14:textId="77777777" w:rsidR="00C5315F" w:rsidRDefault="00C5315F" w:rsidP="00072476">
            <w:pPr>
              <w:spacing w:before="6" w:after="0" w:line="237"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1</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2BFA9980" w14:textId="77777777" w:rsidR="00C5315F" w:rsidRDefault="00C5315F" w:rsidP="00072476">
            <w:pPr>
              <w:spacing w:before="11" w:after="0" w:line="231"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w w:val="117"/>
                <w:sz w:val="18"/>
                <w:szCs w:val="18"/>
              </w:rPr>
              <w:t>8</w:t>
            </w:r>
          </w:p>
        </w:tc>
      </w:tr>
      <w:tr w:rsidR="00C5315F" w14:paraId="6B6D0AA7"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639C1E37" w14:textId="77777777" w:rsidR="00C5315F" w:rsidRDefault="00C5315F" w:rsidP="00072476">
            <w:pPr>
              <w:spacing w:before="6" w:after="0" w:line="237" w:lineRule="auto"/>
              <w:ind w:left="35"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97"/>
                <w:sz w:val="18"/>
                <w:szCs w:val="18"/>
              </w:rPr>
              <w:t>A</w:t>
            </w:r>
            <w:r>
              <w:rPr>
                <w:rFonts w:ascii="Times New Roman" w:eastAsia="Times New Roman" w:hAnsi="Times New Roman"/>
                <w:color w:val="000000"/>
                <w:w w:val="117"/>
                <w:sz w:val="18"/>
                <w:szCs w:val="18"/>
              </w:rPr>
              <w:t>2</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7740022A" w14:textId="77777777" w:rsidR="00C5315F" w:rsidRDefault="00C5315F" w:rsidP="00072476">
            <w:pPr>
              <w:spacing w:before="6" w:after="0" w:line="237"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w w:val="117"/>
                <w:sz w:val="18"/>
                <w:szCs w:val="18"/>
              </w:rPr>
              <w:t>3</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6D9FEB75" w14:textId="77777777" w:rsidR="00C5315F" w:rsidRDefault="00C5315F" w:rsidP="00072476">
            <w:pPr>
              <w:spacing w:before="11" w:after="0" w:line="231"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1</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2B18DE6B" w14:textId="77777777" w:rsidR="00C5315F" w:rsidRDefault="00C5315F" w:rsidP="00072476"/>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4196C89" w14:textId="77777777" w:rsidR="00C5315F" w:rsidRDefault="00C5315F" w:rsidP="00072476">
            <w:pPr>
              <w:spacing w:before="11" w:after="0" w:line="231"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2</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E65B06B" w14:textId="77777777" w:rsidR="00C5315F" w:rsidRDefault="00C5315F" w:rsidP="00072476">
            <w:pPr>
              <w:spacing w:before="6" w:after="0" w:line="237"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4</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6E2DBB08" w14:textId="77777777" w:rsidR="00C5315F" w:rsidRDefault="00C5315F" w:rsidP="00072476">
            <w:pPr>
              <w:spacing w:before="11" w:after="0" w:line="231"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w w:val="117"/>
                <w:sz w:val="18"/>
                <w:szCs w:val="18"/>
              </w:rPr>
              <w:t>0</w:t>
            </w:r>
          </w:p>
        </w:tc>
      </w:tr>
      <w:tr w:rsidR="00C5315F" w14:paraId="2A5DFA42" w14:textId="77777777" w:rsidTr="00072476">
        <w:trPr>
          <w:cantSplit/>
          <w:trHeight w:hRule="exact" w:val="211"/>
        </w:trPr>
        <w:tc>
          <w:tcPr>
            <w:tcW w:w="3136"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513EA679" w14:textId="77777777" w:rsidR="00C5315F" w:rsidRDefault="00C5315F" w:rsidP="00072476">
            <w:pPr>
              <w:spacing w:before="6" w:after="0" w:line="237" w:lineRule="auto"/>
              <w:ind w:left="35"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97"/>
                <w:sz w:val="18"/>
                <w:szCs w:val="18"/>
              </w:rPr>
              <w:t>A</w:t>
            </w:r>
            <w:r>
              <w:rPr>
                <w:rFonts w:ascii="Times New Roman" w:eastAsia="Times New Roman" w:hAnsi="Times New Roman"/>
                <w:color w:val="000000"/>
                <w:w w:val="117"/>
                <w:sz w:val="18"/>
                <w:szCs w:val="18"/>
              </w:rPr>
              <w:t>3</w:t>
            </w:r>
          </w:p>
        </w:tc>
        <w:tc>
          <w:tcPr>
            <w:tcW w:w="881" w:type="dxa"/>
            <w:tcBorders>
              <w:top w:val="single" w:sz="5" w:space="0" w:color="000000"/>
              <w:left w:val="single" w:sz="11" w:space="0" w:color="000000"/>
              <w:bottom w:val="single" w:sz="5" w:space="0" w:color="000000"/>
              <w:right w:val="single" w:sz="5" w:space="0" w:color="000000"/>
            </w:tcBorders>
            <w:tcMar>
              <w:top w:w="0" w:type="dxa"/>
              <w:left w:w="0" w:type="dxa"/>
              <w:bottom w:w="0" w:type="dxa"/>
              <w:right w:w="0" w:type="dxa"/>
            </w:tcMar>
          </w:tcPr>
          <w:p w14:paraId="6B8548E5" w14:textId="77777777" w:rsidR="00C5315F" w:rsidRDefault="00C5315F" w:rsidP="00072476">
            <w:pPr>
              <w:spacing w:before="6" w:after="0" w:line="237" w:lineRule="auto"/>
              <w:ind w:left="292"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2</w:t>
            </w:r>
            <w:r>
              <w:rPr>
                <w:rFonts w:ascii="Times New Roman" w:eastAsia="Times New Roman" w:hAnsi="Times New Roman"/>
                <w:color w:val="000000"/>
                <w:spacing w:val="-4"/>
                <w:w w:val="117"/>
                <w:sz w:val="18"/>
                <w:szCs w:val="18"/>
              </w:rPr>
              <w:t>4</w:t>
            </w: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734A6A55" w14:textId="77777777" w:rsidR="00C5315F" w:rsidRDefault="00C5315F" w:rsidP="00072476">
            <w:pPr>
              <w:spacing w:before="11" w:after="0" w:line="231"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2</w:t>
            </w:r>
            <w:r>
              <w:rPr>
                <w:rFonts w:ascii="Times New Roman" w:eastAsia="Times New Roman" w:hAnsi="Times New Roman"/>
                <w:color w:val="000000"/>
                <w:spacing w:val="-3"/>
                <w:w w:val="117"/>
                <w:sz w:val="18"/>
                <w:szCs w:val="18"/>
              </w:rPr>
              <w:t>0</w:t>
            </w:r>
            <w:r>
              <w:rPr>
                <w:rFonts w:ascii="Times New Roman" w:eastAsia="Times New Roman" w:hAnsi="Times New Roman"/>
                <w:color w:val="000000"/>
                <w:w w:val="117"/>
                <w:sz w:val="18"/>
                <w:szCs w:val="18"/>
              </w:rPr>
              <w:t>4</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08DE2383" w14:textId="77777777" w:rsidR="00C5315F" w:rsidRDefault="00C5315F" w:rsidP="00072476">
            <w:pPr>
              <w:spacing w:before="6" w:after="0" w:line="237" w:lineRule="auto"/>
              <w:ind w:left="317"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3</w:t>
            </w:r>
          </w:p>
        </w:tc>
        <w:tc>
          <w:tcPr>
            <w:tcW w:w="731"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4D0509F8" w14:textId="77777777" w:rsidR="00C5315F" w:rsidRDefault="00C5315F" w:rsidP="00072476">
            <w:pPr>
              <w:spacing w:before="11" w:after="0" w:line="231"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6</w:t>
            </w:r>
          </w:p>
        </w:tc>
        <w:tc>
          <w:tcPr>
            <w:tcW w:w="877" w:type="dxa"/>
            <w:tcBorders>
              <w:top w:val="single" w:sz="5" w:space="0" w:color="000000"/>
              <w:left w:val="single" w:sz="5" w:space="0" w:color="000000"/>
              <w:bottom w:val="single" w:sz="5" w:space="0" w:color="000000"/>
              <w:right w:val="single" w:sz="5" w:space="0" w:color="000000"/>
            </w:tcBorders>
            <w:tcMar>
              <w:top w:w="0" w:type="dxa"/>
              <w:left w:w="0" w:type="dxa"/>
              <w:bottom w:w="0" w:type="dxa"/>
              <w:right w:w="0" w:type="dxa"/>
            </w:tcMar>
          </w:tcPr>
          <w:p w14:paraId="555C3D78" w14:textId="77777777" w:rsidR="00C5315F" w:rsidRDefault="00C5315F" w:rsidP="00072476">
            <w:pPr>
              <w:spacing w:before="6" w:after="0" w:line="237" w:lineRule="auto"/>
              <w:ind w:left="290"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1</w:t>
            </w:r>
            <w:r>
              <w:rPr>
                <w:rFonts w:ascii="Times New Roman" w:eastAsia="Times New Roman" w:hAnsi="Times New Roman"/>
                <w:color w:val="000000"/>
                <w:spacing w:val="-3"/>
                <w:w w:val="117"/>
                <w:sz w:val="18"/>
                <w:szCs w:val="18"/>
              </w:rPr>
              <w:t>0</w:t>
            </w:r>
            <w:r>
              <w:rPr>
                <w:rFonts w:ascii="Times New Roman" w:eastAsia="Times New Roman" w:hAnsi="Times New Roman"/>
                <w:color w:val="000000"/>
                <w:w w:val="117"/>
                <w:sz w:val="18"/>
                <w:szCs w:val="18"/>
              </w:rPr>
              <w:t>5</w:t>
            </w:r>
          </w:p>
        </w:tc>
        <w:tc>
          <w:tcPr>
            <w:tcW w:w="874" w:type="dxa"/>
            <w:tcBorders>
              <w:top w:val="single" w:sz="5" w:space="0" w:color="000000"/>
              <w:left w:val="single" w:sz="5" w:space="0" w:color="000000"/>
              <w:bottom w:val="single" w:sz="5" w:space="0" w:color="000000"/>
              <w:right w:val="single" w:sz="11" w:space="0" w:color="000000"/>
            </w:tcBorders>
            <w:tcMar>
              <w:top w:w="0" w:type="dxa"/>
              <w:left w:w="0" w:type="dxa"/>
              <w:bottom w:w="0" w:type="dxa"/>
              <w:right w:w="0" w:type="dxa"/>
            </w:tcMar>
          </w:tcPr>
          <w:p w14:paraId="4EAEFE48" w14:textId="77777777" w:rsidR="00C5315F" w:rsidRDefault="00C5315F" w:rsidP="00072476">
            <w:pPr>
              <w:spacing w:before="11" w:after="0" w:line="231"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8</w:t>
            </w:r>
            <w:r>
              <w:rPr>
                <w:rFonts w:ascii="Times New Roman" w:eastAsia="Times New Roman" w:hAnsi="Times New Roman"/>
                <w:color w:val="000000"/>
                <w:w w:val="117"/>
                <w:sz w:val="18"/>
                <w:szCs w:val="18"/>
              </w:rPr>
              <w:t>3</w:t>
            </w:r>
          </w:p>
        </w:tc>
      </w:tr>
      <w:tr w:rsidR="00C5315F" w14:paraId="495D3D1B" w14:textId="77777777" w:rsidTr="00072476">
        <w:trPr>
          <w:cantSplit/>
          <w:trHeight w:hRule="exact" w:val="200"/>
        </w:trPr>
        <w:tc>
          <w:tcPr>
            <w:tcW w:w="3136" w:type="dxa"/>
            <w:tcBorders>
              <w:top w:val="single" w:sz="5" w:space="0" w:color="000000"/>
              <w:left w:val="single" w:sz="5" w:space="0" w:color="000000"/>
              <w:bottom w:val="single" w:sz="11" w:space="0" w:color="000000"/>
              <w:right w:val="single" w:sz="11" w:space="0" w:color="000000"/>
            </w:tcBorders>
            <w:tcMar>
              <w:top w:w="0" w:type="dxa"/>
              <w:left w:w="0" w:type="dxa"/>
              <w:bottom w:w="0" w:type="dxa"/>
              <w:right w:w="0" w:type="dxa"/>
            </w:tcMar>
          </w:tcPr>
          <w:p w14:paraId="7256713E" w14:textId="77777777" w:rsidR="00C5315F" w:rsidRDefault="00C5315F" w:rsidP="00072476">
            <w:pPr>
              <w:spacing w:before="6" w:after="0" w:line="224" w:lineRule="auto"/>
              <w:ind w:left="35"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97"/>
                <w:sz w:val="18"/>
                <w:szCs w:val="18"/>
              </w:rPr>
              <w:t>A</w:t>
            </w:r>
            <w:r>
              <w:rPr>
                <w:rFonts w:ascii="Times New Roman" w:eastAsia="Times New Roman" w:hAnsi="Times New Roman"/>
                <w:color w:val="000000"/>
                <w:w w:val="117"/>
                <w:sz w:val="18"/>
                <w:szCs w:val="18"/>
              </w:rPr>
              <w:t>4</w:t>
            </w:r>
          </w:p>
        </w:tc>
        <w:tc>
          <w:tcPr>
            <w:tcW w:w="881" w:type="dxa"/>
            <w:tcBorders>
              <w:top w:val="single" w:sz="5" w:space="0" w:color="000000"/>
              <w:left w:val="single" w:sz="11" w:space="0" w:color="000000"/>
              <w:bottom w:val="single" w:sz="11" w:space="0" w:color="000000"/>
              <w:right w:val="single" w:sz="5" w:space="0" w:color="000000"/>
            </w:tcBorders>
            <w:tcMar>
              <w:top w:w="0" w:type="dxa"/>
              <w:left w:w="0" w:type="dxa"/>
              <w:bottom w:w="0" w:type="dxa"/>
              <w:right w:w="0" w:type="dxa"/>
            </w:tcMar>
          </w:tcPr>
          <w:p w14:paraId="79434B5C" w14:textId="77777777" w:rsidR="00C5315F" w:rsidRDefault="00C5315F" w:rsidP="00072476">
            <w:pPr>
              <w:spacing w:before="6" w:after="0" w:line="224"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9</w:t>
            </w:r>
            <w:r>
              <w:rPr>
                <w:rFonts w:ascii="Times New Roman" w:eastAsia="Times New Roman" w:hAnsi="Times New Roman"/>
                <w:color w:val="000000"/>
                <w:w w:val="117"/>
                <w:sz w:val="18"/>
                <w:szCs w:val="18"/>
              </w:rPr>
              <w:t>5</w:t>
            </w:r>
          </w:p>
        </w:tc>
        <w:tc>
          <w:tcPr>
            <w:tcW w:w="877" w:type="dxa"/>
            <w:tcBorders>
              <w:top w:val="single" w:sz="5" w:space="0" w:color="000000"/>
              <w:left w:val="single" w:sz="5" w:space="0" w:color="000000"/>
              <w:bottom w:val="single" w:sz="11" w:space="0" w:color="000000"/>
              <w:right w:val="single" w:sz="5" w:space="0" w:color="000000"/>
            </w:tcBorders>
            <w:tcMar>
              <w:top w:w="0" w:type="dxa"/>
              <w:left w:w="0" w:type="dxa"/>
              <w:bottom w:w="0" w:type="dxa"/>
              <w:right w:w="0" w:type="dxa"/>
            </w:tcMar>
          </w:tcPr>
          <w:p w14:paraId="25AF01BC" w14:textId="77777777" w:rsidR="00C5315F" w:rsidRDefault="00C5315F" w:rsidP="00072476">
            <w:pPr>
              <w:spacing w:before="11" w:after="0" w:line="219"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8</w:t>
            </w:r>
            <w:r>
              <w:rPr>
                <w:rFonts w:ascii="Times New Roman" w:eastAsia="Times New Roman" w:hAnsi="Times New Roman"/>
                <w:color w:val="000000"/>
                <w:w w:val="117"/>
                <w:sz w:val="18"/>
                <w:szCs w:val="18"/>
              </w:rPr>
              <w:t>9</w:t>
            </w:r>
          </w:p>
        </w:tc>
        <w:tc>
          <w:tcPr>
            <w:tcW w:w="731" w:type="dxa"/>
            <w:tcBorders>
              <w:top w:val="single" w:sz="5" w:space="0" w:color="000000"/>
              <w:left w:val="single" w:sz="5" w:space="0" w:color="000000"/>
              <w:bottom w:val="single" w:sz="11" w:space="0" w:color="000000"/>
              <w:right w:val="single" w:sz="5" w:space="0" w:color="000000"/>
            </w:tcBorders>
            <w:tcMar>
              <w:top w:w="0" w:type="dxa"/>
              <w:left w:w="0" w:type="dxa"/>
              <w:bottom w:w="0" w:type="dxa"/>
              <w:right w:w="0" w:type="dxa"/>
            </w:tcMar>
          </w:tcPr>
          <w:p w14:paraId="45E23FC5" w14:textId="77777777" w:rsidR="00C5315F" w:rsidRDefault="00C5315F" w:rsidP="00072476"/>
        </w:tc>
        <w:tc>
          <w:tcPr>
            <w:tcW w:w="731" w:type="dxa"/>
            <w:tcBorders>
              <w:top w:val="single" w:sz="5" w:space="0" w:color="000000"/>
              <w:left w:val="single" w:sz="5" w:space="0" w:color="000000"/>
              <w:bottom w:val="single" w:sz="11" w:space="0" w:color="000000"/>
              <w:right w:val="single" w:sz="5" w:space="0" w:color="000000"/>
            </w:tcBorders>
            <w:tcMar>
              <w:top w:w="0" w:type="dxa"/>
              <w:left w:w="0" w:type="dxa"/>
              <w:bottom w:w="0" w:type="dxa"/>
              <w:right w:w="0" w:type="dxa"/>
            </w:tcMar>
          </w:tcPr>
          <w:p w14:paraId="13B5446E" w14:textId="77777777" w:rsidR="00C5315F" w:rsidRDefault="00C5315F" w:rsidP="00072476">
            <w:pPr>
              <w:spacing w:before="11" w:after="0" w:line="219" w:lineRule="auto"/>
              <w:ind w:left="318"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1</w:t>
            </w:r>
          </w:p>
        </w:tc>
        <w:tc>
          <w:tcPr>
            <w:tcW w:w="877" w:type="dxa"/>
            <w:tcBorders>
              <w:top w:val="single" w:sz="5" w:space="0" w:color="000000"/>
              <w:left w:val="single" w:sz="5" w:space="0" w:color="000000"/>
              <w:bottom w:val="single" w:sz="11" w:space="0" w:color="000000"/>
              <w:right w:val="single" w:sz="5" w:space="0" w:color="000000"/>
            </w:tcBorders>
            <w:tcMar>
              <w:top w:w="0" w:type="dxa"/>
              <w:left w:w="0" w:type="dxa"/>
              <w:bottom w:w="0" w:type="dxa"/>
              <w:right w:w="0" w:type="dxa"/>
            </w:tcMar>
          </w:tcPr>
          <w:p w14:paraId="2C0EFDF6" w14:textId="77777777" w:rsidR="00C5315F" w:rsidRDefault="00C5315F" w:rsidP="00072476">
            <w:pPr>
              <w:spacing w:before="6" w:after="0" w:line="224"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3</w:t>
            </w:r>
            <w:r>
              <w:rPr>
                <w:rFonts w:ascii="Times New Roman" w:eastAsia="Times New Roman" w:hAnsi="Times New Roman"/>
                <w:color w:val="000000"/>
                <w:w w:val="117"/>
                <w:sz w:val="18"/>
                <w:szCs w:val="18"/>
              </w:rPr>
              <w:t>3</w:t>
            </w:r>
          </w:p>
        </w:tc>
        <w:tc>
          <w:tcPr>
            <w:tcW w:w="874" w:type="dxa"/>
            <w:tcBorders>
              <w:top w:val="single" w:sz="5" w:space="0" w:color="000000"/>
              <w:left w:val="single" w:sz="5" w:space="0" w:color="000000"/>
              <w:bottom w:val="single" w:sz="11" w:space="0" w:color="000000"/>
              <w:right w:val="single" w:sz="11" w:space="0" w:color="000000"/>
            </w:tcBorders>
            <w:tcMar>
              <w:top w:w="0" w:type="dxa"/>
              <w:left w:w="0" w:type="dxa"/>
              <w:bottom w:w="0" w:type="dxa"/>
              <w:right w:w="0" w:type="dxa"/>
            </w:tcMar>
          </w:tcPr>
          <w:p w14:paraId="5631A394" w14:textId="77777777" w:rsidR="00C5315F" w:rsidRDefault="00C5315F" w:rsidP="00072476">
            <w:pPr>
              <w:spacing w:before="11" w:after="0" w:line="219" w:lineRule="auto"/>
              <w:ind w:left="348" w:right="-20"/>
              <w:rPr>
                <w:rFonts w:ascii="Times New Roman" w:eastAsia="Times New Roman" w:hAnsi="Times New Roman"/>
                <w:color w:val="000000"/>
                <w:w w:val="117"/>
                <w:sz w:val="18"/>
                <w:szCs w:val="18"/>
              </w:rPr>
            </w:pPr>
            <w:r>
              <w:rPr>
                <w:rFonts w:ascii="Times New Roman" w:eastAsia="Times New Roman" w:hAnsi="Times New Roman"/>
                <w:color w:val="000000"/>
                <w:spacing w:val="-4"/>
                <w:w w:val="117"/>
                <w:sz w:val="18"/>
                <w:szCs w:val="18"/>
              </w:rPr>
              <w:t>3</w:t>
            </w:r>
            <w:r>
              <w:rPr>
                <w:rFonts w:ascii="Times New Roman" w:eastAsia="Times New Roman" w:hAnsi="Times New Roman"/>
                <w:color w:val="000000"/>
                <w:w w:val="117"/>
                <w:sz w:val="18"/>
                <w:szCs w:val="18"/>
              </w:rPr>
              <w:t>5</w:t>
            </w:r>
          </w:p>
        </w:tc>
      </w:tr>
      <w:tr w:rsidR="00C5315F" w14:paraId="60230EF1" w14:textId="77777777" w:rsidTr="00072476">
        <w:trPr>
          <w:cantSplit/>
          <w:trHeight w:hRule="exact" w:val="280"/>
        </w:trPr>
        <w:tc>
          <w:tcPr>
            <w:tcW w:w="3136" w:type="dxa"/>
            <w:tcBorders>
              <w:top w:val="single" w:sz="11" w:space="0" w:color="000000"/>
              <w:left w:val="single" w:sz="5" w:space="0" w:color="000000"/>
              <w:bottom w:val="single" w:sz="11" w:space="0" w:color="000000"/>
              <w:right w:val="single" w:sz="11" w:space="0" w:color="000000"/>
            </w:tcBorders>
            <w:tcMar>
              <w:top w:w="0" w:type="dxa"/>
              <w:left w:w="0" w:type="dxa"/>
              <w:bottom w:w="0" w:type="dxa"/>
              <w:right w:w="0" w:type="dxa"/>
            </w:tcMar>
          </w:tcPr>
          <w:p w14:paraId="18FE1492" w14:textId="77777777" w:rsidR="00C5315F" w:rsidRDefault="00C5315F" w:rsidP="00072476">
            <w:pPr>
              <w:spacing w:before="50" w:after="0" w:line="240" w:lineRule="auto"/>
              <w:ind w:left="242" w:right="-20"/>
              <w:rPr>
                <w:rFonts w:ascii="Times New Roman" w:eastAsia="Times New Roman" w:hAnsi="Times New Roman"/>
                <w:color w:val="000000"/>
                <w:spacing w:val="7"/>
                <w:w w:val="106"/>
                <w:sz w:val="18"/>
                <w:szCs w:val="18"/>
              </w:rPr>
            </w:pPr>
            <w:r>
              <w:rPr>
                <w:rFonts w:ascii="Times New Roman" w:eastAsia="Times New Roman" w:hAnsi="Times New Roman"/>
                <w:color w:val="000000"/>
                <w:spacing w:val="-2"/>
                <w:w w:val="106"/>
                <w:sz w:val="18"/>
                <w:szCs w:val="18"/>
              </w:rPr>
              <w:t>N</w:t>
            </w:r>
            <w:r>
              <w:rPr>
                <w:rFonts w:ascii="Times New Roman" w:eastAsia="Times New Roman" w:hAnsi="Times New Roman"/>
                <w:color w:val="000000"/>
                <w:w w:val="106"/>
                <w:sz w:val="18"/>
                <w:szCs w:val="18"/>
              </w:rPr>
              <w:t>A</w:t>
            </w:r>
            <w:r>
              <w:rPr>
                <w:rFonts w:ascii="Times New Roman" w:eastAsia="Times New Roman" w:hAnsi="Times New Roman"/>
                <w:color w:val="000000"/>
                <w:spacing w:val="2"/>
                <w:sz w:val="18"/>
                <w:szCs w:val="18"/>
              </w:rPr>
              <w:t>J</w:t>
            </w:r>
            <w:r>
              <w:rPr>
                <w:rFonts w:ascii="Times New Roman" w:eastAsia="Times New Roman" w:hAnsi="Times New Roman"/>
                <w:color w:val="000000"/>
                <w:w w:val="106"/>
                <w:sz w:val="18"/>
                <w:szCs w:val="18"/>
              </w:rPr>
              <w:t>U</w:t>
            </w:r>
            <w:r>
              <w:rPr>
                <w:rFonts w:ascii="Times New Roman" w:eastAsia="Times New Roman" w:hAnsi="Times New Roman"/>
                <w:color w:val="000000"/>
                <w:spacing w:val="4"/>
                <w:w w:val="114"/>
                <w:sz w:val="18"/>
                <w:szCs w:val="18"/>
              </w:rPr>
              <w:t>G</w:t>
            </w:r>
            <w:r>
              <w:rPr>
                <w:rFonts w:ascii="Times New Roman" w:eastAsia="Times New Roman" w:hAnsi="Times New Roman"/>
                <w:color w:val="000000"/>
                <w:w w:val="114"/>
                <w:sz w:val="18"/>
                <w:szCs w:val="18"/>
              </w:rPr>
              <w:t>RO</w:t>
            </w:r>
            <w:r>
              <w:rPr>
                <w:rFonts w:ascii="Times New Roman" w:eastAsia="Times New Roman" w:hAnsi="Times New Roman"/>
                <w:color w:val="000000"/>
                <w:spacing w:val="-6"/>
                <w:w w:val="105"/>
                <w:sz w:val="18"/>
                <w:szCs w:val="18"/>
              </w:rPr>
              <w:t>Ž</w:t>
            </w:r>
            <w:r>
              <w:rPr>
                <w:rFonts w:ascii="Times New Roman" w:eastAsia="Times New Roman" w:hAnsi="Times New Roman"/>
                <w:color w:val="000000"/>
                <w:spacing w:val="-4"/>
                <w:w w:val="115"/>
                <w:sz w:val="18"/>
                <w:szCs w:val="18"/>
              </w:rPr>
              <w:t>E</w:t>
            </w:r>
            <w:r>
              <w:rPr>
                <w:rFonts w:ascii="Times New Roman" w:eastAsia="Times New Roman" w:hAnsi="Times New Roman"/>
                <w:color w:val="000000"/>
                <w:spacing w:val="-1"/>
                <w:w w:val="106"/>
                <w:sz w:val="18"/>
                <w:szCs w:val="18"/>
              </w:rPr>
              <w:t>N</w:t>
            </w:r>
            <w:r>
              <w:rPr>
                <w:rFonts w:ascii="Times New Roman" w:eastAsia="Times New Roman" w:hAnsi="Times New Roman"/>
                <w:color w:val="000000"/>
                <w:spacing w:val="8"/>
                <w:w w:val="88"/>
                <w:sz w:val="18"/>
                <w:szCs w:val="18"/>
              </w:rPr>
              <w:t>I</w:t>
            </w:r>
            <w:r>
              <w:rPr>
                <w:rFonts w:ascii="Times New Roman" w:eastAsia="Times New Roman" w:hAnsi="Times New Roman"/>
                <w:color w:val="000000"/>
                <w:spacing w:val="5"/>
                <w:sz w:val="18"/>
                <w:szCs w:val="18"/>
              </w:rPr>
              <w:t>J</w:t>
            </w:r>
            <w:r>
              <w:rPr>
                <w:rFonts w:ascii="Times New Roman" w:eastAsia="Times New Roman" w:hAnsi="Times New Roman"/>
                <w:color w:val="000000"/>
                <w:spacing w:val="5"/>
                <w:w w:val="106"/>
                <w:sz w:val="18"/>
                <w:szCs w:val="18"/>
              </w:rPr>
              <w:t>A</w:t>
            </w:r>
            <w:r>
              <w:rPr>
                <w:rFonts w:ascii="Times New Roman" w:eastAsia="Times New Roman" w:hAnsi="Times New Roman"/>
                <w:color w:val="000000"/>
                <w:spacing w:val="6"/>
                <w:sz w:val="18"/>
                <w:szCs w:val="18"/>
              </w:rPr>
              <w:t xml:space="preserve"> </w:t>
            </w:r>
            <w:r>
              <w:rPr>
                <w:rFonts w:ascii="Times New Roman" w:eastAsia="Times New Roman" w:hAnsi="Times New Roman"/>
                <w:color w:val="000000"/>
                <w:spacing w:val="4"/>
                <w:w w:val="114"/>
                <w:sz w:val="18"/>
                <w:szCs w:val="18"/>
              </w:rPr>
              <w:t>R</w:t>
            </w:r>
            <w:r>
              <w:rPr>
                <w:rFonts w:ascii="Times New Roman" w:eastAsia="Times New Roman" w:hAnsi="Times New Roman"/>
                <w:color w:val="000000"/>
                <w:spacing w:val="1"/>
                <w:w w:val="106"/>
                <w:sz w:val="18"/>
                <w:szCs w:val="18"/>
              </w:rPr>
              <w:t>A</w:t>
            </w:r>
            <w:r>
              <w:rPr>
                <w:rFonts w:ascii="Times New Roman" w:eastAsia="Times New Roman" w:hAnsi="Times New Roman"/>
                <w:color w:val="000000"/>
                <w:spacing w:val="8"/>
                <w:sz w:val="18"/>
                <w:szCs w:val="18"/>
              </w:rPr>
              <w:t>S</w:t>
            </w:r>
            <w:r>
              <w:rPr>
                <w:rFonts w:ascii="Times New Roman" w:eastAsia="Times New Roman" w:hAnsi="Times New Roman"/>
                <w:color w:val="000000"/>
                <w:spacing w:val="4"/>
                <w:w w:val="106"/>
                <w:sz w:val="18"/>
                <w:szCs w:val="18"/>
              </w:rPr>
              <w:t>K</w:t>
            </w:r>
            <w:r>
              <w:rPr>
                <w:rFonts w:ascii="Times New Roman" w:eastAsia="Times New Roman" w:hAnsi="Times New Roman"/>
                <w:color w:val="000000"/>
                <w:w w:val="114"/>
                <w:sz w:val="18"/>
                <w:szCs w:val="18"/>
              </w:rPr>
              <w:t>R</w:t>
            </w:r>
            <w:r>
              <w:rPr>
                <w:rFonts w:ascii="Times New Roman" w:eastAsia="Times New Roman" w:hAnsi="Times New Roman"/>
                <w:color w:val="000000"/>
                <w:spacing w:val="15"/>
                <w:w w:val="88"/>
                <w:sz w:val="18"/>
                <w:szCs w:val="18"/>
              </w:rPr>
              <w:t>I</w:t>
            </w:r>
            <w:r>
              <w:rPr>
                <w:rFonts w:ascii="Times New Roman" w:eastAsia="Times New Roman" w:hAnsi="Times New Roman"/>
                <w:color w:val="000000"/>
                <w:spacing w:val="-8"/>
                <w:w w:val="105"/>
                <w:sz w:val="18"/>
                <w:szCs w:val="18"/>
              </w:rPr>
              <w:t>Ž</w:t>
            </w:r>
            <w:r>
              <w:rPr>
                <w:rFonts w:ascii="Times New Roman" w:eastAsia="Times New Roman" w:hAnsi="Times New Roman"/>
                <w:color w:val="000000"/>
                <w:spacing w:val="4"/>
                <w:sz w:val="18"/>
                <w:szCs w:val="18"/>
              </w:rPr>
              <w:t>J</w:t>
            </w:r>
            <w:r>
              <w:rPr>
                <w:rFonts w:ascii="Times New Roman" w:eastAsia="Times New Roman" w:hAnsi="Times New Roman"/>
                <w:color w:val="000000"/>
                <w:spacing w:val="7"/>
                <w:w w:val="106"/>
                <w:sz w:val="18"/>
                <w:szCs w:val="18"/>
              </w:rPr>
              <w:t>A</w:t>
            </w:r>
          </w:p>
        </w:tc>
        <w:tc>
          <w:tcPr>
            <w:tcW w:w="881" w:type="dxa"/>
            <w:tcBorders>
              <w:top w:val="single" w:sz="11" w:space="0" w:color="000000"/>
              <w:left w:val="single" w:sz="11" w:space="0" w:color="000000"/>
              <w:bottom w:val="single" w:sz="11" w:space="0" w:color="000000"/>
              <w:right w:val="single" w:sz="5" w:space="0" w:color="000000"/>
            </w:tcBorders>
            <w:shd w:val="clear" w:color="auto" w:fill="F2F2F2"/>
            <w:tcMar>
              <w:top w:w="0" w:type="dxa"/>
              <w:left w:w="0" w:type="dxa"/>
              <w:bottom w:w="0" w:type="dxa"/>
              <w:right w:w="0" w:type="dxa"/>
            </w:tcMar>
          </w:tcPr>
          <w:p w14:paraId="6667DDC2" w14:textId="77777777" w:rsidR="00C5315F" w:rsidRDefault="00C5315F" w:rsidP="00072476"/>
        </w:tc>
        <w:tc>
          <w:tcPr>
            <w:tcW w:w="877" w:type="dxa"/>
            <w:tcBorders>
              <w:top w:val="single" w:sz="11"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39B34893" w14:textId="77777777" w:rsidR="00C5315F" w:rsidRDefault="00C5315F" w:rsidP="00072476"/>
        </w:tc>
        <w:tc>
          <w:tcPr>
            <w:tcW w:w="731" w:type="dxa"/>
            <w:tcBorders>
              <w:top w:val="single" w:sz="11"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2DF3F4DD" w14:textId="77777777" w:rsidR="00C5315F" w:rsidRDefault="00C5315F" w:rsidP="00072476"/>
        </w:tc>
        <w:tc>
          <w:tcPr>
            <w:tcW w:w="731" w:type="dxa"/>
            <w:tcBorders>
              <w:top w:val="single" w:sz="11"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03058460" w14:textId="77777777" w:rsidR="00C5315F" w:rsidRDefault="00C5315F" w:rsidP="00072476"/>
        </w:tc>
        <w:tc>
          <w:tcPr>
            <w:tcW w:w="877" w:type="dxa"/>
            <w:tcBorders>
              <w:top w:val="single" w:sz="11" w:space="0" w:color="000000"/>
              <w:left w:val="single" w:sz="5" w:space="0" w:color="000000"/>
              <w:bottom w:val="single" w:sz="11" w:space="0" w:color="000000"/>
              <w:right w:val="single" w:sz="5" w:space="0" w:color="000000"/>
            </w:tcBorders>
            <w:shd w:val="clear" w:color="auto" w:fill="F2F2F2"/>
            <w:tcMar>
              <w:top w:w="0" w:type="dxa"/>
              <w:left w:w="0" w:type="dxa"/>
              <w:bottom w:w="0" w:type="dxa"/>
              <w:right w:w="0" w:type="dxa"/>
            </w:tcMar>
          </w:tcPr>
          <w:p w14:paraId="05B4124C" w14:textId="77777777" w:rsidR="00C5315F" w:rsidRDefault="00C5315F" w:rsidP="00072476"/>
        </w:tc>
        <w:tc>
          <w:tcPr>
            <w:tcW w:w="874" w:type="dxa"/>
            <w:tcBorders>
              <w:top w:val="single" w:sz="11" w:space="0" w:color="000000"/>
              <w:left w:val="single" w:sz="5" w:space="0" w:color="000000"/>
              <w:bottom w:val="single" w:sz="11" w:space="0" w:color="000000"/>
              <w:right w:val="single" w:sz="11" w:space="0" w:color="000000"/>
            </w:tcBorders>
            <w:shd w:val="clear" w:color="auto" w:fill="F2F2F2"/>
            <w:tcMar>
              <w:top w:w="0" w:type="dxa"/>
              <w:left w:w="0" w:type="dxa"/>
              <w:bottom w:w="0" w:type="dxa"/>
              <w:right w:w="0" w:type="dxa"/>
            </w:tcMar>
          </w:tcPr>
          <w:p w14:paraId="682EA2A9" w14:textId="77777777" w:rsidR="00C5315F" w:rsidRDefault="00C5315F" w:rsidP="00072476"/>
        </w:tc>
      </w:tr>
      <w:tr w:rsidR="00C5315F" w14:paraId="7837E8C3" w14:textId="77777777" w:rsidTr="00072476">
        <w:trPr>
          <w:cantSplit/>
          <w:trHeight w:hRule="exact" w:val="211"/>
        </w:trPr>
        <w:tc>
          <w:tcPr>
            <w:tcW w:w="3136" w:type="dxa"/>
            <w:tcBorders>
              <w:top w:val="single" w:sz="11" w:space="0" w:color="000000"/>
              <w:left w:val="single" w:sz="5" w:space="0" w:color="000000"/>
              <w:bottom w:val="single" w:sz="11" w:space="0" w:color="000000"/>
              <w:right w:val="single" w:sz="11" w:space="0" w:color="000000"/>
            </w:tcBorders>
            <w:tcMar>
              <w:top w:w="0" w:type="dxa"/>
              <w:left w:w="0" w:type="dxa"/>
              <w:bottom w:w="0" w:type="dxa"/>
              <w:right w:w="0" w:type="dxa"/>
            </w:tcMar>
          </w:tcPr>
          <w:p w14:paraId="3C011123" w14:textId="77777777" w:rsidR="00C5315F" w:rsidRDefault="00C5315F" w:rsidP="00072476">
            <w:pPr>
              <w:spacing w:before="17" w:after="0" w:line="224" w:lineRule="auto"/>
              <w:ind w:left="35" w:right="-20"/>
              <w:rPr>
                <w:rFonts w:ascii="Times New Roman" w:eastAsia="Times New Roman" w:hAnsi="Times New Roman"/>
                <w:color w:val="000000"/>
                <w:w w:val="106"/>
                <w:sz w:val="18"/>
                <w:szCs w:val="18"/>
              </w:rPr>
            </w:pPr>
            <w:r>
              <w:rPr>
                <w:rFonts w:ascii="Times New Roman" w:eastAsia="Times New Roman" w:hAnsi="Times New Roman"/>
                <w:color w:val="000000"/>
                <w:spacing w:val="11"/>
                <w:w w:val="97"/>
                <w:sz w:val="18"/>
                <w:szCs w:val="18"/>
              </w:rPr>
              <w:t>A</w:t>
            </w:r>
            <w:r>
              <w:rPr>
                <w:rFonts w:ascii="Times New Roman" w:eastAsia="Times New Roman" w:hAnsi="Times New Roman"/>
                <w:color w:val="000000"/>
                <w:spacing w:val="-11"/>
                <w:w w:val="106"/>
                <w:sz w:val="18"/>
                <w:szCs w:val="18"/>
              </w:rPr>
              <w:t>v</w:t>
            </w:r>
            <w:r>
              <w:rPr>
                <w:rFonts w:ascii="Times New Roman" w:eastAsia="Times New Roman" w:hAnsi="Times New Roman"/>
                <w:color w:val="000000"/>
                <w:spacing w:val="2"/>
                <w:sz w:val="18"/>
                <w:szCs w:val="18"/>
              </w:rPr>
              <w:t>e</w:t>
            </w:r>
            <w:r>
              <w:rPr>
                <w:rFonts w:ascii="Times New Roman" w:eastAsia="Times New Roman" w:hAnsi="Times New Roman"/>
                <w:color w:val="000000"/>
                <w:spacing w:val="5"/>
                <w:w w:val="117"/>
                <w:sz w:val="18"/>
                <w:szCs w:val="18"/>
              </w:rPr>
              <w:t>n</w:t>
            </w:r>
            <w:r>
              <w:rPr>
                <w:rFonts w:ascii="Times New Roman" w:eastAsia="Times New Roman" w:hAnsi="Times New Roman"/>
                <w:color w:val="000000"/>
                <w:spacing w:val="7"/>
                <w:w w:val="84"/>
                <w:sz w:val="18"/>
                <w:szCs w:val="18"/>
              </w:rPr>
              <w:t>ij</w:t>
            </w:r>
            <w:r>
              <w:rPr>
                <w:rFonts w:ascii="Times New Roman" w:eastAsia="Times New Roman" w:hAnsi="Times New Roman"/>
                <w:color w:val="000000"/>
                <w:spacing w:val="7"/>
                <w:sz w:val="18"/>
                <w:szCs w:val="18"/>
              </w:rPr>
              <w:t>a</w:t>
            </w:r>
            <w:r>
              <w:rPr>
                <w:rFonts w:ascii="Times New Roman" w:eastAsia="Times New Roman" w:hAnsi="Times New Roman"/>
                <w:color w:val="000000"/>
                <w:spacing w:val="11"/>
                <w:sz w:val="18"/>
                <w:szCs w:val="18"/>
              </w:rPr>
              <w:t xml:space="preserve"> </w:t>
            </w:r>
            <w:r>
              <w:rPr>
                <w:rFonts w:ascii="Times New Roman" w:eastAsia="Times New Roman" w:hAnsi="Times New Roman"/>
                <w:color w:val="000000"/>
                <w:spacing w:val="-5"/>
                <w:w w:val="106"/>
                <w:sz w:val="18"/>
                <w:szCs w:val="18"/>
              </w:rPr>
              <w:t>D</w:t>
            </w:r>
            <w:r>
              <w:rPr>
                <w:rFonts w:ascii="Times New Roman" w:eastAsia="Times New Roman" w:hAnsi="Times New Roman"/>
                <w:color w:val="000000"/>
                <w:spacing w:val="-2"/>
                <w:w w:val="117"/>
                <w:sz w:val="18"/>
                <w:szCs w:val="18"/>
              </w:rPr>
              <w:t>u</w:t>
            </w:r>
            <w:r>
              <w:rPr>
                <w:rFonts w:ascii="Times New Roman" w:eastAsia="Times New Roman" w:hAnsi="Times New Roman"/>
                <w:color w:val="000000"/>
                <w:spacing w:val="-3"/>
                <w:w w:val="117"/>
                <w:sz w:val="18"/>
                <w:szCs w:val="18"/>
              </w:rPr>
              <w:t>b</w:t>
            </w:r>
            <w:r>
              <w:rPr>
                <w:rFonts w:ascii="Times New Roman" w:eastAsia="Times New Roman" w:hAnsi="Times New Roman"/>
                <w:color w:val="000000"/>
                <w:spacing w:val="-6"/>
                <w:w w:val="106"/>
                <w:sz w:val="18"/>
                <w:szCs w:val="18"/>
              </w:rPr>
              <w:t>r</w:t>
            </w:r>
            <w:r>
              <w:rPr>
                <w:rFonts w:ascii="Times New Roman" w:eastAsia="Times New Roman" w:hAnsi="Times New Roman"/>
                <w:color w:val="000000"/>
                <w:spacing w:val="-3"/>
                <w:w w:val="117"/>
                <w:sz w:val="18"/>
                <w:szCs w:val="18"/>
              </w:rPr>
              <w:t>o</w:t>
            </w:r>
            <w:r>
              <w:rPr>
                <w:rFonts w:ascii="Times New Roman" w:eastAsia="Times New Roman" w:hAnsi="Times New Roman"/>
                <w:color w:val="000000"/>
                <w:spacing w:val="-23"/>
                <w:w w:val="106"/>
                <w:sz w:val="18"/>
                <w:szCs w:val="18"/>
              </w:rPr>
              <w:t>v</w:t>
            </w:r>
            <w:r>
              <w:rPr>
                <w:rFonts w:ascii="Times New Roman" w:eastAsia="Times New Roman" w:hAnsi="Times New Roman"/>
                <w:color w:val="000000"/>
                <w:spacing w:val="-1"/>
                <w:w w:val="117"/>
                <w:sz w:val="18"/>
                <w:szCs w:val="18"/>
              </w:rPr>
              <w:t>n</w:t>
            </w:r>
            <w:r>
              <w:rPr>
                <w:rFonts w:ascii="Times New Roman" w:eastAsia="Times New Roman" w:hAnsi="Times New Roman"/>
                <w:color w:val="000000"/>
                <w:w w:val="84"/>
                <w:sz w:val="18"/>
                <w:szCs w:val="18"/>
              </w:rPr>
              <w:t>i</w:t>
            </w:r>
            <w:r>
              <w:rPr>
                <w:rFonts w:ascii="Times New Roman" w:eastAsia="Times New Roman" w:hAnsi="Times New Roman"/>
                <w:color w:val="000000"/>
                <w:w w:val="106"/>
                <w:sz w:val="18"/>
                <w:szCs w:val="18"/>
              </w:rPr>
              <w:t>k</w:t>
            </w:r>
            <w:r>
              <w:rPr>
                <w:rFonts w:ascii="Times New Roman" w:eastAsia="Times New Roman" w:hAnsi="Times New Roman"/>
                <w:color w:val="000000"/>
                <w:spacing w:val="20"/>
                <w:sz w:val="18"/>
                <w:szCs w:val="18"/>
              </w:rPr>
              <w:t xml:space="preserve"> </w:t>
            </w:r>
            <w:r>
              <w:rPr>
                <w:rFonts w:ascii="Times New Roman" w:eastAsia="Times New Roman" w:hAnsi="Times New Roman"/>
                <w:color w:val="000000"/>
                <w:w w:val="106"/>
                <w:sz w:val="18"/>
                <w:szCs w:val="18"/>
              </w:rPr>
              <w:t>-</w:t>
            </w:r>
            <w:r>
              <w:rPr>
                <w:rFonts w:ascii="Times New Roman" w:eastAsia="Times New Roman" w:hAnsi="Times New Roman"/>
                <w:color w:val="000000"/>
                <w:spacing w:val="10"/>
                <w:sz w:val="18"/>
                <w:szCs w:val="18"/>
              </w:rPr>
              <w:t xml:space="preserve"> </w:t>
            </w:r>
            <w:r>
              <w:rPr>
                <w:rFonts w:ascii="Times New Roman" w:eastAsia="Times New Roman" w:hAnsi="Times New Roman"/>
                <w:color w:val="000000"/>
                <w:spacing w:val="-5"/>
                <w:w w:val="114"/>
                <w:sz w:val="18"/>
                <w:szCs w:val="18"/>
              </w:rPr>
              <w:t>R</w:t>
            </w:r>
            <w:r>
              <w:rPr>
                <w:rFonts w:ascii="Times New Roman" w:eastAsia="Times New Roman" w:hAnsi="Times New Roman"/>
                <w:color w:val="000000"/>
                <w:spacing w:val="-5"/>
                <w:w w:val="117"/>
                <w:sz w:val="18"/>
                <w:szCs w:val="18"/>
              </w:rPr>
              <w:t>o</w:t>
            </w:r>
            <w:r>
              <w:rPr>
                <w:rFonts w:ascii="Times New Roman" w:eastAsia="Times New Roman" w:hAnsi="Times New Roman"/>
                <w:color w:val="000000"/>
                <w:spacing w:val="7"/>
                <w:w w:val="105"/>
                <w:sz w:val="18"/>
                <w:szCs w:val="18"/>
              </w:rPr>
              <w:t>t</w:t>
            </w:r>
            <w:r>
              <w:rPr>
                <w:rFonts w:ascii="Times New Roman" w:eastAsia="Times New Roman" w:hAnsi="Times New Roman"/>
                <w:color w:val="000000"/>
                <w:spacing w:val="-4"/>
                <w:w w:val="117"/>
                <w:sz w:val="18"/>
                <w:szCs w:val="18"/>
              </w:rPr>
              <w:t>o</w:t>
            </w:r>
            <w:r>
              <w:rPr>
                <w:rFonts w:ascii="Times New Roman" w:eastAsia="Times New Roman" w:hAnsi="Times New Roman"/>
                <w:color w:val="000000"/>
                <w:w w:val="106"/>
                <w:sz w:val="18"/>
                <w:szCs w:val="18"/>
              </w:rPr>
              <w:t>r</w:t>
            </w:r>
          </w:p>
        </w:tc>
        <w:tc>
          <w:tcPr>
            <w:tcW w:w="881" w:type="dxa"/>
            <w:tcBorders>
              <w:top w:val="single" w:sz="11" w:space="0" w:color="000000"/>
              <w:left w:val="single" w:sz="11" w:space="0" w:color="000000"/>
              <w:bottom w:val="single" w:sz="11" w:space="0" w:color="000000"/>
              <w:right w:val="single" w:sz="5" w:space="0" w:color="000000"/>
            </w:tcBorders>
            <w:tcMar>
              <w:top w:w="0" w:type="dxa"/>
              <w:left w:w="0" w:type="dxa"/>
              <w:bottom w:w="0" w:type="dxa"/>
              <w:right w:w="0" w:type="dxa"/>
            </w:tcMar>
          </w:tcPr>
          <w:p w14:paraId="0FFB4089" w14:textId="77777777" w:rsidR="00C5315F" w:rsidRDefault="00C5315F" w:rsidP="00072476">
            <w:pPr>
              <w:spacing w:before="17" w:after="0" w:line="224" w:lineRule="auto"/>
              <w:ind w:left="350"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6</w:t>
            </w:r>
            <w:r>
              <w:rPr>
                <w:rFonts w:ascii="Times New Roman" w:eastAsia="Times New Roman" w:hAnsi="Times New Roman"/>
                <w:color w:val="000000"/>
                <w:w w:val="117"/>
                <w:sz w:val="18"/>
                <w:szCs w:val="18"/>
              </w:rPr>
              <w:t>2</w:t>
            </w:r>
          </w:p>
        </w:tc>
        <w:tc>
          <w:tcPr>
            <w:tcW w:w="877" w:type="dxa"/>
            <w:tcBorders>
              <w:top w:val="single" w:sz="11" w:space="0" w:color="000000"/>
              <w:left w:val="single" w:sz="5" w:space="0" w:color="000000"/>
              <w:bottom w:val="single" w:sz="11" w:space="0" w:color="000000"/>
              <w:right w:val="single" w:sz="5" w:space="0" w:color="000000"/>
            </w:tcBorders>
            <w:tcMar>
              <w:top w:w="0" w:type="dxa"/>
              <w:left w:w="0" w:type="dxa"/>
              <w:bottom w:w="0" w:type="dxa"/>
              <w:right w:w="0" w:type="dxa"/>
            </w:tcMar>
          </w:tcPr>
          <w:p w14:paraId="34E792EC" w14:textId="77777777" w:rsidR="00C5315F" w:rsidRDefault="00C5315F" w:rsidP="00072476">
            <w:pPr>
              <w:spacing w:before="21" w:after="0" w:line="219" w:lineRule="auto"/>
              <w:ind w:left="347" w:right="-20"/>
              <w:rPr>
                <w:rFonts w:ascii="Times New Roman" w:eastAsia="Times New Roman" w:hAnsi="Times New Roman"/>
                <w:color w:val="000000"/>
                <w:w w:val="117"/>
                <w:sz w:val="18"/>
                <w:szCs w:val="18"/>
              </w:rPr>
            </w:pPr>
            <w:r>
              <w:rPr>
                <w:rFonts w:ascii="Times New Roman" w:eastAsia="Times New Roman" w:hAnsi="Times New Roman"/>
                <w:color w:val="000000"/>
                <w:spacing w:val="-3"/>
                <w:w w:val="117"/>
                <w:sz w:val="18"/>
                <w:szCs w:val="18"/>
              </w:rPr>
              <w:t>1</w:t>
            </w:r>
            <w:r>
              <w:rPr>
                <w:rFonts w:ascii="Times New Roman" w:eastAsia="Times New Roman" w:hAnsi="Times New Roman"/>
                <w:color w:val="000000"/>
                <w:w w:val="117"/>
                <w:sz w:val="18"/>
                <w:szCs w:val="18"/>
              </w:rPr>
              <w:t>7</w:t>
            </w:r>
          </w:p>
        </w:tc>
        <w:tc>
          <w:tcPr>
            <w:tcW w:w="731" w:type="dxa"/>
            <w:tcBorders>
              <w:top w:val="single" w:sz="11" w:space="0" w:color="000000"/>
              <w:left w:val="single" w:sz="5" w:space="0" w:color="000000"/>
              <w:bottom w:val="single" w:sz="11" w:space="0" w:color="000000"/>
              <w:right w:val="single" w:sz="5" w:space="0" w:color="000000"/>
            </w:tcBorders>
            <w:tcMar>
              <w:top w:w="0" w:type="dxa"/>
              <w:left w:w="0" w:type="dxa"/>
              <w:bottom w:w="0" w:type="dxa"/>
              <w:right w:w="0" w:type="dxa"/>
            </w:tcMar>
          </w:tcPr>
          <w:p w14:paraId="32FC48B1" w14:textId="77777777" w:rsidR="00C5315F" w:rsidRDefault="00C5315F" w:rsidP="00072476"/>
        </w:tc>
        <w:tc>
          <w:tcPr>
            <w:tcW w:w="731" w:type="dxa"/>
            <w:tcBorders>
              <w:top w:val="single" w:sz="11" w:space="0" w:color="000000"/>
              <w:left w:val="single" w:sz="5" w:space="0" w:color="000000"/>
              <w:bottom w:val="single" w:sz="11" w:space="0" w:color="000000"/>
              <w:right w:val="single" w:sz="5" w:space="0" w:color="000000"/>
            </w:tcBorders>
            <w:tcMar>
              <w:top w:w="0" w:type="dxa"/>
              <w:left w:w="0" w:type="dxa"/>
              <w:bottom w:w="0" w:type="dxa"/>
              <w:right w:w="0" w:type="dxa"/>
            </w:tcMar>
          </w:tcPr>
          <w:p w14:paraId="137D89CB" w14:textId="77777777" w:rsidR="00C5315F" w:rsidRDefault="00C5315F" w:rsidP="00072476"/>
        </w:tc>
        <w:tc>
          <w:tcPr>
            <w:tcW w:w="877" w:type="dxa"/>
            <w:tcBorders>
              <w:top w:val="single" w:sz="11" w:space="0" w:color="000000"/>
              <w:left w:val="single" w:sz="5" w:space="0" w:color="000000"/>
              <w:bottom w:val="single" w:sz="11" w:space="0" w:color="000000"/>
              <w:right w:val="single" w:sz="5" w:space="0" w:color="000000"/>
            </w:tcBorders>
            <w:tcMar>
              <w:top w:w="0" w:type="dxa"/>
              <w:left w:w="0" w:type="dxa"/>
              <w:bottom w:w="0" w:type="dxa"/>
              <w:right w:w="0" w:type="dxa"/>
            </w:tcMar>
          </w:tcPr>
          <w:p w14:paraId="521BDBE7" w14:textId="77777777" w:rsidR="00C5315F" w:rsidRDefault="00C5315F" w:rsidP="00072476">
            <w:pPr>
              <w:spacing w:before="17" w:after="0" w:line="224" w:lineRule="auto"/>
              <w:ind w:left="391"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9</w:t>
            </w:r>
          </w:p>
        </w:tc>
        <w:tc>
          <w:tcPr>
            <w:tcW w:w="874" w:type="dxa"/>
            <w:tcBorders>
              <w:top w:val="single" w:sz="11" w:space="0" w:color="000000"/>
              <w:left w:val="single" w:sz="5" w:space="0" w:color="000000"/>
              <w:bottom w:val="single" w:sz="11" w:space="0" w:color="000000"/>
              <w:right w:val="single" w:sz="11" w:space="0" w:color="000000"/>
            </w:tcBorders>
            <w:tcMar>
              <w:top w:w="0" w:type="dxa"/>
              <w:left w:w="0" w:type="dxa"/>
              <w:bottom w:w="0" w:type="dxa"/>
              <w:right w:w="0" w:type="dxa"/>
            </w:tcMar>
          </w:tcPr>
          <w:p w14:paraId="11D01EBD" w14:textId="77777777" w:rsidR="00C5315F" w:rsidRDefault="00C5315F" w:rsidP="00072476">
            <w:pPr>
              <w:spacing w:before="21" w:after="0" w:line="219" w:lineRule="auto"/>
              <w:ind w:left="391" w:right="-20"/>
              <w:rPr>
                <w:rFonts w:ascii="Times New Roman" w:eastAsia="Times New Roman" w:hAnsi="Times New Roman"/>
                <w:color w:val="000000"/>
                <w:w w:val="117"/>
                <w:sz w:val="18"/>
                <w:szCs w:val="18"/>
              </w:rPr>
            </w:pPr>
            <w:r>
              <w:rPr>
                <w:rFonts w:ascii="Times New Roman" w:eastAsia="Times New Roman" w:hAnsi="Times New Roman"/>
                <w:color w:val="000000"/>
                <w:w w:val="117"/>
                <w:sz w:val="18"/>
                <w:szCs w:val="18"/>
              </w:rPr>
              <w:t>2</w:t>
            </w:r>
          </w:p>
        </w:tc>
      </w:tr>
    </w:tbl>
    <w:p w14:paraId="6587830A" w14:textId="4FA410F7" w:rsidR="00D3341C" w:rsidRPr="00F72738" w:rsidRDefault="00C5315F" w:rsidP="00C5315F">
      <w:pPr>
        <w:spacing w:line="240" w:lineRule="auto"/>
        <w:jc w:val="both"/>
        <w:rPr>
          <w:rFonts w:cs="Calibri"/>
          <w:sz w:val="20"/>
          <w:szCs w:val="20"/>
        </w:rPr>
      </w:pPr>
      <w:r w:rsidRPr="008350E4">
        <w:rPr>
          <w:rFonts w:cs="Calibri"/>
          <w:sz w:val="20"/>
          <w:szCs w:val="20"/>
        </w:rPr>
        <w:t xml:space="preserve">Izvor: </w:t>
      </w:r>
      <w:r w:rsidRPr="008350E4">
        <w:rPr>
          <w:rFonts w:cs="Calibri"/>
          <w:iCs/>
          <w:sz w:val="20"/>
          <w:szCs w:val="20"/>
        </w:rPr>
        <w:t>Izvješća o stanju i kretanju sigurnosnih pokazatelja u radu Policijske uprave zagrebačke u 2018. godini</w:t>
      </w:r>
    </w:p>
    <w:p w14:paraId="7DCF2E59" w14:textId="2FF6CCD6" w:rsidR="00C5315F" w:rsidRDefault="0043481D" w:rsidP="00B8319D">
      <w:pPr>
        <w:pStyle w:val="Stil2"/>
      </w:pPr>
      <w:bookmarkStart w:id="123" w:name="_Toc97123841"/>
      <w:r>
        <w:t>4.3.6</w:t>
      </w:r>
      <w:r w:rsidR="00856F36">
        <w:t>.</w:t>
      </w:r>
      <w:r>
        <w:t xml:space="preserve"> Pješačk</w:t>
      </w:r>
      <w:r w:rsidR="00343240">
        <w:t>a zona</w:t>
      </w:r>
      <w:bookmarkEnd w:id="123"/>
    </w:p>
    <w:p w14:paraId="5704151A" w14:textId="5B2134D0" w:rsidR="00831B53" w:rsidRDefault="00831B53" w:rsidP="00C5315F">
      <w:pPr>
        <w:spacing w:line="240" w:lineRule="auto"/>
        <w:jc w:val="both"/>
        <w:rPr>
          <w:rFonts w:cs="Calibri"/>
        </w:rPr>
      </w:pPr>
      <w:r w:rsidRPr="00831B53">
        <w:rPr>
          <w:rFonts w:cs="Calibri"/>
        </w:rPr>
        <w:t>Pješačka zona središta grada Zagreba sastoji se od pješačkih ulica, pješačkih prolaza i trgova. Analizom prostora gdje je u potpunosti uređena, pješačka zona prostire se na površini od oko 98.800 m2 s ukupnom duljinom pješačkih ulica od oko 3933 metara (Tablica xy). Najduža pješačka ulica je Tkalčićeva ulica u duljini od 560 metara odnosno 14,2% od ukupne duljine</w:t>
      </w:r>
      <w:r>
        <w:rPr>
          <w:rFonts w:cs="Calibri"/>
        </w:rPr>
        <w:t xml:space="preserve">. </w:t>
      </w:r>
      <w:r w:rsidRPr="00831B53">
        <w:rPr>
          <w:rFonts w:cs="Calibri"/>
        </w:rPr>
        <w:t>Najveću površinu od pješačkih ulica ima Tkalčićeva ulica s 14,0% od ukupne površine, a najmanju Dverce ulica s 0,3% od ukupne površine.</w:t>
      </w:r>
    </w:p>
    <w:p w14:paraId="65961A56" w14:textId="4CEF6605" w:rsidR="00831B53" w:rsidRDefault="00682389" w:rsidP="00E2286C">
      <w:pPr>
        <w:pStyle w:val="Opisslike"/>
        <w:rPr>
          <w:rFonts w:cs="Calibri"/>
        </w:rPr>
      </w:pPr>
      <w:r>
        <w:t xml:space="preserve">Tablica </w:t>
      </w:r>
      <w:r w:rsidR="00751C19">
        <w:fldChar w:fldCharType="begin"/>
      </w:r>
      <w:r w:rsidR="00751C19">
        <w:instrText xml:space="preserve"> SEQ Tablica \* ARABIC </w:instrText>
      </w:r>
      <w:r w:rsidR="00751C19">
        <w:fldChar w:fldCharType="separate"/>
      </w:r>
      <w:r w:rsidR="00803E25">
        <w:rPr>
          <w:noProof/>
        </w:rPr>
        <w:t>26</w:t>
      </w:r>
      <w:r w:rsidR="00751C19">
        <w:rPr>
          <w:noProof/>
        </w:rPr>
        <w:fldChar w:fldCharType="end"/>
      </w:r>
      <w:r>
        <w:t xml:space="preserve">. </w:t>
      </w:r>
      <w:r w:rsidRPr="00661D82">
        <w:t>Ukupna duljina pješačkih ulica</w:t>
      </w:r>
      <w:r w:rsidR="00831B53">
        <w:rPr>
          <w:rFonts w:cs="Calibri"/>
          <w:noProof/>
        </w:rPr>
        <w:drawing>
          <wp:inline distT="0" distB="0" distL="0" distR="0" wp14:anchorId="384DFA3E" wp14:editId="57EF6237">
            <wp:extent cx="4066540" cy="337756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6540" cy="3377565"/>
                    </a:xfrm>
                    <a:prstGeom prst="rect">
                      <a:avLst/>
                    </a:prstGeom>
                    <a:noFill/>
                  </pic:spPr>
                </pic:pic>
              </a:graphicData>
            </a:graphic>
          </wp:inline>
        </w:drawing>
      </w:r>
    </w:p>
    <w:p w14:paraId="565BB47B" w14:textId="1AD411FB" w:rsidR="003A50AF" w:rsidRDefault="00831B53" w:rsidP="00E2286C">
      <w:pPr>
        <w:pStyle w:val="Opisslike"/>
        <w:rPr>
          <w:rFonts w:cs="Calibri"/>
        </w:rPr>
      </w:pPr>
      <w:r w:rsidRPr="00831B53">
        <w:rPr>
          <w:rFonts w:cs="Calibri"/>
        </w:rPr>
        <w:t xml:space="preserve">Pješačka zona također sadrži i pješačke prolaze u duljini od oko 1000 metara </w:t>
      </w:r>
    </w:p>
    <w:p w14:paraId="42DAE079" w14:textId="4AAE782B" w:rsidR="00831B53" w:rsidRDefault="00682389" w:rsidP="00E2286C">
      <w:pPr>
        <w:pStyle w:val="Opisslike"/>
        <w:rPr>
          <w:rFonts w:cs="Calibri"/>
        </w:rPr>
      </w:pPr>
      <w:r>
        <w:t xml:space="preserve">Tablica </w:t>
      </w:r>
      <w:r w:rsidR="00751C19">
        <w:fldChar w:fldCharType="begin"/>
      </w:r>
      <w:r w:rsidR="00751C19">
        <w:instrText xml:space="preserve"> SEQ Tablica \* ARABIC </w:instrText>
      </w:r>
      <w:r w:rsidR="00751C19">
        <w:fldChar w:fldCharType="separate"/>
      </w:r>
      <w:r w:rsidR="00803E25">
        <w:rPr>
          <w:noProof/>
        </w:rPr>
        <w:t>27</w:t>
      </w:r>
      <w:r w:rsidR="00751C19">
        <w:rPr>
          <w:noProof/>
        </w:rPr>
        <w:fldChar w:fldCharType="end"/>
      </w:r>
      <w:r>
        <w:t xml:space="preserve">. </w:t>
      </w:r>
      <w:r w:rsidRPr="00FC2557">
        <w:t>Ukupna duljina pješačkih prolaza</w:t>
      </w:r>
      <w:r w:rsidR="00831B53">
        <w:rPr>
          <w:rFonts w:cs="Calibri"/>
          <w:noProof/>
        </w:rPr>
        <w:drawing>
          <wp:inline distT="0" distB="0" distL="0" distR="0" wp14:anchorId="4E34A914" wp14:editId="282BF17E">
            <wp:extent cx="4220415" cy="1752600"/>
            <wp:effectExtent l="0" t="0" r="889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7402" cy="1763807"/>
                    </a:xfrm>
                    <a:prstGeom prst="rect">
                      <a:avLst/>
                    </a:prstGeom>
                    <a:noFill/>
                  </pic:spPr>
                </pic:pic>
              </a:graphicData>
            </a:graphic>
          </wp:inline>
        </w:drawing>
      </w:r>
    </w:p>
    <w:p w14:paraId="71C9EF85" w14:textId="77777777" w:rsidR="003A50AF" w:rsidRDefault="003A50AF" w:rsidP="00C5315F">
      <w:pPr>
        <w:spacing w:line="240" w:lineRule="auto"/>
        <w:jc w:val="both"/>
        <w:rPr>
          <w:rFonts w:cs="Calibri"/>
        </w:rPr>
      </w:pPr>
    </w:p>
    <w:p w14:paraId="1CAB8274" w14:textId="38DC2D7D" w:rsidR="00831B53" w:rsidRDefault="00831B53" w:rsidP="00C5315F">
      <w:pPr>
        <w:spacing w:line="240" w:lineRule="auto"/>
        <w:jc w:val="both"/>
        <w:rPr>
          <w:rFonts w:cs="Calibri"/>
        </w:rPr>
      </w:pPr>
      <w:r w:rsidRPr="00831B53">
        <w:rPr>
          <w:rFonts w:cs="Calibri"/>
        </w:rPr>
        <w:t>U pješačkoj zoni nalaze se i četiri trga te dvije površine namijenjene pješačkom prometu. Tablica yy prikazuje veličinu i udio pojedinih trgova i ostalih površina u odnosu na ukupne pješačke površine koje uključuju trgovi i ostale površine.</w:t>
      </w:r>
    </w:p>
    <w:p w14:paraId="06EDE358" w14:textId="714A0701" w:rsidR="00831B53" w:rsidRDefault="00682389" w:rsidP="00E2286C">
      <w:pPr>
        <w:pStyle w:val="Opisslike"/>
        <w:rPr>
          <w:rFonts w:cs="Calibri"/>
        </w:rPr>
      </w:pPr>
      <w:r>
        <w:t xml:space="preserve">Tablica </w:t>
      </w:r>
      <w:r w:rsidR="00751C19">
        <w:fldChar w:fldCharType="begin"/>
      </w:r>
      <w:r w:rsidR="00751C19">
        <w:instrText xml:space="preserve"> SEQ Tablica \* ARABIC </w:instrText>
      </w:r>
      <w:r w:rsidR="00751C19">
        <w:fldChar w:fldCharType="separate"/>
      </w:r>
      <w:r w:rsidR="00803E25">
        <w:rPr>
          <w:noProof/>
        </w:rPr>
        <w:t>28</w:t>
      </w:r>
      <w:r w:rsidR="00751C19">
        <w:rPr>
          <w:noProof/>
        </w:rPr>
        <w:fldChar w:fldCharType="end"/>
      </w:r>
      <w:r>
        <w:t xml:space="preserve">. </w:t>
      </w:r>
      <w:r w:rsidRPr="00847D17">
        <w:t>Ukupna površina pješačkih trgova</w:t>
      </w:r>
      <w:r w:rsidR="00831B53">
        <w:rPr>
          <w:rFonts w:cs="Calibri"/>
          <w:noProof/>
        </w:rPr>
        <w:drawing>
          <wp:inline distT="0" distB="0" distL="0" distR="0" wp14:anchorId="61FC62A1" wp14:editId="4DBF95F2">
            <wp:extent cx="3562350" cy="1688409"/>
            <wp:effectExtent l="0" t="0" r="0" b="76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9505" cy="1696540"/>
                    </a:xfrm>
                    <a:prstGeom prst="rect">
                      <a:avLst/>
                    </a:prstGeom>
                    <a:noFill/>
                  </pic:spPr>
                </pic:pic>
              </a:graphicData>
            </a:graphic>
          </wp:inline>
        </w:drawing>
      </w:r>
    </w:p>
    <w:p w14:paraId="146160C7" w14:textId="77777777" w:rsidR="003A50AF" w:rsidRDefault="003A50AF" w:rsidP="00C5315F">
      <w:pPr>
        <w:spacing w:line="240" w:lineRule="auto"/>
        <w:jc w:val="both"/>
        <w:rPr>
          <w:rFonts w:cs="Calibri"/>
        </w:rPr>
      </w:pPr>
    </w:p>
    <w:p w14:paraId="6BAF79A3" w14:textId="6A9FED59" w:rsidR="00831B53" w:rsidRDefault="00831B53" w:rsidP="00C5315F">
      <w:pPr>
        <w:spacing w:line="240" w:lineRule="auto"/>
        <w:jc w:val="both"/>
        <w:rPr>
          <w:rFonts w:cs="Calibri"/>
        </w:rPr>
      </w:pPr>
      <w:r w:rsidRPr="00831B53">
        <w:rPr>
          <w:rFonts w:cs="Calibri"/>
        </w:rPr>
        <w:t>S obzirom na uređenje pješačke zone može se zaključiti kako je ona namijenjena za susretanje i druženje ljudi, kulturnim priredbama i okupljanjima, pa stoga pješačka zona ima i funkciju prostora razonode s ciljem socijalnog osviještenja prostora središta grada.</w:t>
      </w:r>
    </w:p>
    <w:p w14:paraId="1031F708" w14:textId="76CA65EA" w:rsidR="00C5315F" w:rsidRDefault="00C5315F" w:rsidP="00B8319D">
      <w:pPr>
        <w:pStyle w:val="Stil2"/>
      </w:pPr>
      <w:bookmarkStart w:id="124" w:name="_Toc97123842"/>
      <w:r>
        <w:t>4</w:t>
      </w:r>
      <w:r w:rsidRPr="00A33E06">
        <w:t>.</w:t>
      </w:r>
      <w:r>
        <w:t>3</w:t>
      </w:r>
      <w:r w:rsidRPr="00A33E06">
        <w:t>.</w:t>
      </w:r>
      <w:r w:rsidR="0043481D">
        <w:t>7</w:t>
      </w:r>
      <w:r w:rsidRPr="00A33E06">
        <w:t>. Promet u mirovanju</w:t>
      </w:r>
      <w:bookmarkEnd w:id="124"/>
      <w:r w:rsidRPr="007C3479">
        <w:t xml:space="preserve"> </w:t>
      </w:r>
    </w:p>
    <w:p w14:paraId="67DEBA8E" w14:textId="4CE038C8" w:rsidR="00C5315F" w:rsidRDefault="00C5315F" w:rsidP="00C5315F">
      <w:pPr>
        <w:spacing w:line="240" w:lineRule="auto"/>
        <w:jc w:val="both"/>
        <w:rPr>
          <w:rFonts w:cs="Calibri"/>
        </w:rPr>
      </w:pPr>
      <w:r w:rsidRPr="00A33E06">
        <w:rPr>
          <w:rFonts w:cs="Calibri"/>
        </w:rPr>
        <w:t xml:space="preserve">U Gradu Zagrebu postoji </w:t>
      </w:r>
      <w:r w:rsidRPr="00193A59">
        <w:rPr>
          <w:rFonts w:cs="Calibri"/>
        </w:rPr>
        <w:t>9 j</w:t>
      </w:r>
      <w:r w:rsidRPr="00A33E06">
        <w:rPr>
          <w:rFonts w:cs="Calibri"/>
        </w:rPr>
        <w:t xml:space="preserve">avnih garaža sa </w:t>
      </w:r>
      <w:r>
        <w:rPr>
          <w:rFonts w:cs="Calibri"/>
        </w:rPr>
        <w:t>2849</w:t>
      </w:r>
      <w:r w:rsidRPr="00A33E06">
        <w:rPr>
          <w:rFonts w:cs="Calibri"/>
        </w:rPr>
        <w:t xml:space="preserve"> parkirališnih mjesta kojima upravlja</w:t>
      </w:r>
      <w:r>
        <w:rPr>
          <w:rFonts w:cs="Calibri"/>
        </w:rPr>
        <w:t xml:space="preserve"> </w:t>
      </w:r>
      <w:r w:rsidRPr="00A33E06">
        <w:rPr>
          <w:rFonts w:cs="Calibri"/>
        </w:rPr>
        <w:t>Zagrebački holding</w:t>
      </w:r>
      <w:r>
        <w:rPr>
          <w:rFonts w:cs="Calibri"/>
        </w:rPr>
        <w:t xml:space="preserve"> d.o.o.</w:t>
      </w:r>
      <w:r w:rsidRPr="00A33E06">
        <w:rPr>
          <w:rFonts w:cs="Calibri"/>
        </w:rPr>
        <w:t>, podružnica Zagrebparking</w:t>
      </w:r>
      <w:r w:rsidRPr="00D12D20">
        <w:rPr>
          <w:rFonts w:cs="Calibri"/>
        </w:rPr>
        <w:t>, Najveći broj je u javnoj garaži</w:t>
      </w:r>
      <w:r>
        <w:rPr>
          <w:rFonts w:cs="Calibri"/>
        </w:rPr>
        <w:t xml:space="preserve"> </w:t>
      </w:r>
      <w:r w:rsidRPr="00D12D20">
        <w:rPr>
          <w:rFonts w:cs="Calibri"/>
        </w:rPr>
        <w:t>Rebro, 664 parkirališna mjesta.</w:t>
      </w:r>
      <w:r>
        <w:rPr>
          <w:rFonts w:cs="Calibri"/>
        </w:rPr>
        <w:t xml:space="preserve"> </w:t>
      </w:r>
      <w:r w:rsidRPr="00A33E06">
        <w:rPr>
          <w:rFonts w:cs="Calibri"/>
        </w:rPr>
        <w:t>Osim ovih</w:t>
      </w:r>
      <w:r>
        <w:rPr>
          <w:rFonts w:cs="Calibri"/>
        </w:rPr>
        <w:t>,</w:t>
      </w:r>
      <w:r w:rsidRPr="00A33E06">
        <w:rPr>
          <w:rFonts w:cs="Calibri"/>
        </w:rPr>
        <w:t xml:space="preserve"> postoji veći</w:t>
      </w:r>
      <w:r w:rsidRPr="00A33E06">
        <w:rPr>
          <w:rFonts w:cs="Calibri"/>
          <w:color w:val="FF0000"/>
        </w:rPr>
        <w:t xml:space="preserve"> </w:t>
      </w:r>
      <w:r w:rsidRPr="00A33E06">
        <w:rPr>
          <w:rFonts w:cs="Calibri"/>
        </w:rPr>
        <w:t>broj</w:t>
      </w:r>
      <w:r w:rsidRPr="00A33E06">
        <w:rPr>
          <w:rFonts w:cs="Calibri"/>
          <w:color w:val="FF0000"/>
        </w:rPr>
        <w:t xml:space="preserve"> </w:t>
      </w:r>
      <w:r w:rsidRPr="00A33E06">
        <w:rPr>
          <w:rFonts w:cs="Calibri"/>
        </w:rPr>
        <w:t xml:space="preserve">garaža u privatnom vlasništvu, ukupnog kapaciteta oko 2500 mjesta, koje se u cijelosti ili djelomično koriste kao javne. Vremenskim ograničenjem trajanja i sustavnom kontrolom parkiranja značajno je smanjen broj ilegalno parkiranih vozila na pješačkim i zelenim površinama. </w:t>
      </w:r>
    </w:p>
    <w:p w14:paraId="0B2344D3" w14:textId="77777777" w:rsidR="0061125B" w:rsidRDefault="0061125B" w:rsidP="00C5315F">
      <w:pPr>
        <w:spacing w:line="240" w:lineRule="auto"/>
        <w:jc w:val="both"/>
        <w:rPr>
          <w:rFonts w:cs="Calibri"/>
        </w:rPr>
      </w:pPr>
    </w:p>
    <w:p w14:paraId="66A7D2D1" w14:textId="5071B648" w:rsidR="00C5315F" w:rsidRDefault="00682389" w:rsidP="00E2286C">
      <w:pPr>
        <w:pStyle w:val="Opisslike"/>
        <w:rPr>
          <w:rFonts w:cs="Calibri"/>
        </w:rPr>
      </w:pPr>
      <w:r>
        <w:t xml:space="preserve">Tablica </w:t>
      </w:r>
      <w:r w:rsidR="00751C19">
        <w:fldChar w:fldCharType="begin"/>
      </w:r>
      <w:r w:rsidR="00751C19">
        <w:instrText xml:space="preserve"> SEQ Tablica \* ARABIC </w:instrText>
      </w:r>
      <w:r w:rsidR="00751C19">
        <w:fldChar w:fldCharType="separate"/>
      </w:r>
      <w:r w:rsidR="00803E25">
        <w:rPr>
          <w:noProof/>
        </w:rPr>
        <w:t>29</w:t>
      </w:r>
      <w:r w:rsidR="00751C19">
        <w:rPr>
          <w:noProof/>
        </w:rPr>
        <w:fldChar w:fldCharType="end"/>
      </w:r>
      <w:r>
        <w:t xml:space="preserve">. </w:t>
      </w:r>
      <w:r w:rsidRPr="00D367A8">
        <w:t>Parkirališna mjesta u javnim garažama</w:t>
      </w:r>
    </w:p>
    <w:tbl>
      <w:tblPr>
        <w:tblW w:w="0" w:type="auto"/>
        <w:tblLayout w:type="fixed"/>
        <w:tblCellMar>
          <w:left w:w="10" w:type="dxa"/>
          <w:right w:w="10" w:type="dxa"/>
        </w:tblCellMar>
        <w:tblLook w:val="0000" w:firstRow="0" w:lastRow="0" w:firstColumn="0" w:lastColumn="0" w:noHBand="0" w:noVBand="0"/>
      </w:tblPr>
      <w:tblGrid>
        <w:gridCol w:w="2124"/>
        <w:gridCol w:w="1341"/>
        <w:gridCol w:w="1341"/>
        <w:gridCol w:w="1341"/>
        <w:gridCol w:w="1341"/>
        <w:gridCol w:w="1341"/>
      </w:tblGrid>
      <w:tr w:rsidR="00C5315F" w:rsidRPr="00754971" w14:paraId="0C388F22" w14:textId="77777777" w:rsidTr="00072476">
        <w:trPr>
          <w:cantSplit/>
          <w:trHeight w:hRule="exact" w:val="272"/>
        </w:trPr>
        <w:tc>
          <w:tcPr>
            <w:tcW w:w="2124" w:type="dxa"/>
            <w:tcBorders>
              <w:top w:val="single" w:sz="8" w:space="0" w:color="FCD9E3"/>
              <w:left w:val="single" w:sz="8" w:space="0" w:color="FCD9E3"/>
              <w:bottom w:val="single" w:sz="8" w:space="0" w:color="231F20"/>
              <w:right w:val="single" w:sz="2" w:space="0" w:color="231F20"/>
            </w:tcBorders>
            <w:shd w:val="clear" w:color="auto" w:fill="FCD9E3"/>
            <w:tcMar>
              <w:top w:w="0" w:type="dxa"/>
              <w:left w:w="0" w:type="dxa"/>
              <w:bottom w:w="0" w:type="dxa"/>
              <w:right w:w="0" w:type="dxa"/>
            </w:tcMar>
          </w:tcPr>
          <w:p w14:paraId="4F4F9815" w14:textId="77777777" w:rsidR="00C5315F" w:rsidRPr="00754971" w:rsidRDefault="00C5315F" w:rsidP="00072476">
            <w:pPr>
              <w:spacing w:line="240" w:lineRule="auto"/>
              <w:jc w:val="both"/>
              <w:rPr>
                <w:rFonts w:cs="Calibri"/>
                <w:b/>
                <w:bCs/>
              </w:rPr>
            </w:pPr>
            <w:r w:rsidRPr="00754971">
              <w:rPr>
                <w:rFonts w:cs="Calibri"/>
                <w:b/>
                <w:bCs/>
              </w:rPr>
              <w:t>Javna</w:t>
            </w:r>
            <w:r w:rsidRPr="00754971">
              <w:rPr>
                <w:rFonts w:cs="Calibri"/>
              </w:rPr>
              <w:t xml:space="preserve"> </w:t>
            </w:r>
            <w:r w:rsidRPr="00754971">
              <w:rPr>
                <w:rFonts w:cs="Calibri"/>
                <w:b/>
                <w:bCs/>
              </w:rPr>
              <w:t>garaža</w:t>
            </w:r>
          </w:p>
        </w:tc>
        <w:tc>
          <w:tcPr>
            <w:tcW w:w="1341" w:type="dxa"/>
            <w:tcBorders>
              <w:top w:val="single" w:sz="8"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3B8A36A5" w14:textId="50EF3F79" w:rsidR="00C5315F" w:rsidRPr="00754971" w:rsidRDefault="00C5315F" w:rsidP="00072476">
            <w:pPr>
              <w:spacing w:line="240" w:lineRule="auto"/>
              <w:jc w:val="both"/>
              <w:rPr>
                <w:rFonts w:cs="Calibri"/>
                <w:b/>
                <w:bCs/>
              </w:rPr>
            </w:pPr>
            <w:r w:rsidRPr="00754971">
              <w:rPr>
                <w:rFonts w:cs="Calibri"/>
                <w:b/>
                <w:bCs/>
              </w:rPr>
              <w:t>201</w:t>
            </w:r>
            <w:r w:rsidR="003A50AF">
              <w:rPr>
                <w:rFonts w:cs="Calibri"/>
                <w:b/>
                <w:bCs/>
              </w:rPr>
              <w:t>6</w:t>
            </w:r>
            <w:r w:rsidRPr="00754971">
              <w:rPr>
                <w:rFonts w:cs="Calibri"/>
                <w:b/>
                <w:bCs/>
              </w:rPr>
              <w:t>.</w:t>
            </w:r>
          </w:p>
        </w:tc>
        <w:tc>
          <w:tcPr>
            <w:tcW w:w="1341" w:type="dxa"/>
            <w:tcBorders>
              <w:top w:val="single" w:sz="8"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405F29B0" w14:textId="0562F79A" w:rsidR="00C5315F" w:rsidRPr="00754971" w:rsidRDefault="00C5315F" w:rsidP="00072476">
            <w:pPr>
              <w:spacing w:line="240" w:lineRule="auto"/>
              <w:jc w:val="both"/>
              <w:rPr>
                <w:rFonts w:cs="Calibri"/>
                <w:b/>
                <w:bCs/>
              </w:rPr>
            </w:pPr>
            <w:r w:rsidRPr="00754971">
              <w:rPr>
                <w:rFonts w:cs="Calibri"/>
                <w:b/>
                <w:bCs/>
              </w:rPr>
              <w:t>201</w:t>
            </w:r>
            <w:r w:rsidR="003A50AF">
              <w:rPr>
                <w:rFonts w:cs="Calibri"/>
                <w:b/>
                <w:bCs/>
              </w:rPr>
              <w:t>7.</w:t>
            </w:r>
            <w:r w:rsidRPr="00754971">
              <w:rPr>
                <w:rFonts w:cs="Calibri"/>
                <w:b/>
                <w:bCs/>
              </w:rPr>
              <w:t>.</w:t>
            </w:r>
          </w:p>
        </w:tc>
        <w:tc>
          <w:tcPr>
            <w:tcW w:w="1341" w:type="dxa"/>
            <w:tcBorders>
              <w:top w:val="single" w:sz="8"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1DCF254C" w14:textId="40C17EFA" w:rsidR="00C5315F" w:rsidRPr="00754971" w:rsidRDefault="00C5315F" w:rsidP="00072476">
            <w:pPr>
              <w:spacing w:line="240" w:lineRule="auto"/>
              <w:jc w:val="both"/>
              <w:rPr>
                <w:rFonts w:cs="Calibri"/>
                <w:b/>
                <w:bCs/>
              </w:rPr>
            </w:pPr>
            <w:r w:rsidRPr="00754971">
              <w:rPr>
                <w:rFonts w:cs="Calibri"/>
                <w:b/>
                <w:bCs/>
              </w:rPr>
              <w:t>201</w:t>
            </w:r>
            <w:r w:rsidR="003A50AF">
              <w:rPr>
                <w:rFonts w:cs="Calibri"/>
                <w:b/>
                <w:bCs/>
              </w:rPr>
              <w:t>8</w:t>
            </w:r>
            <w:r w:rsidRPr="00754971">
              <w:rPr>
                <w:rFonts w:cs="Calibri"/>
                <w:b/>
                <w:bCs/>
              </w:rPr>
              <w:t>.</w:t>
            </w:r>
          </w:p>
        </w:tc>
        <w:tc>
          <w:tcPr>
            <w:tcW w:w="1341" w:type="dxa"/>
            <w:tcBorders>
              <w:top w:val="single" w:sz="8" w:space="0" w:color="FCD9E3"/>
              <w:left w:val="single" w:sz="2" w:space="0" w:color="231F20"/>
              <w:bottom w:val="single" w:sz="8" w:space="0" w:color="231F20"/>
              <w:right w:val="single" w:sz="8" w:space="0" w:color="FCD9E3"/>
            </w:tcBorders>
            <w:shd w:val="clear" w:color="auto" w:fill="FCD9E3"/>
            <w:tcMar>
              <w:top w:w="0" w:type="dxa"/>
              <w:left w:w="0" w:type="dxa"/>
              <w:bottom w:w="0" w:type="dxa"/>
              <w:right w:w="0" w:type="dxa"/>
            </w:tcMar>
          </w:tcPr>
          <w:p w14:paraId="2ED69EB7" w14:textId="5A3100DB" w:rsidR="00C5315F" w:rsidRPr="00754971" w:rsidRDefault="00C5315F" w:rsidP="00072476">
            <w:pPr>
              <w:spacing w:line="240" w:lineRule="auto"/>
              <w:jc w:val="both"/>
              <w:rPr>
                <w:rFonts w:cs="Calibri"/>
                <w:b/>
                <w:bCs/>
              </w:rPr>
            </w:pPr>
            <w:r w:rsidRPr="00754971">
              <w:rPr>
                <w:rFonts w:cs="Calibri"/>
                <w:b/>
                <w:bCs/>
              </w:rPr>
              <w:t>201</w:t>
            </w:r>
            <w:r w:rsidR="003A50AF">
              <w:rPr>
                <w:rFonts w:cs="Calibri"/>
                <w:b/>
                <w:bCs/>
              </w:rPr>
              <w:t>9</w:t>
            </w:r>
            <w:r w:rsidRPr="00754971">
              <w:rPr>
                <w:rFonts w:cs="Calibri"/>
                <w:b/>
                <w:bCs/>
              </w:rPr>
              <w:t>.</w:t>
            </w:r>
          </w:p>
        </w:tc>
        <w:tc>
          <w:tcPr>
            <w:tcW w:w="1341" w:type="dxa"/>
            <w:tcBorders>
              <w:top w:val="single" w:sz="8" w:space="0" w:color="FCD9E3"/>
              <w:left w:val="single" w:sz="2" w:space="0" w:color="231F20"/>
              <w:bottom w:val="single" w:sz="8" w:space="0" w:color="231F20"/>
              <w:right w:val="single" w:sz="8" w:space="0" w:color="FCD9E3"/>
            </w:tcBorders>
            <w:shd w:val="clear" w:color="auto" w:fill="FCD9E3"/>
          </w:tcPr>
          <w:p w14:paraId="7A939E9B" w14:textId="24FAA8B4" w:rsidR="00C5315F" w:rsidRPr="000D71CD" w:rsidRDefault="00C5315F" w:rsidP="00072476">
            <w:pPr>
              <w:spacing w:line="240" w:lineRule="auto"/>
              <w:jc w:val="both"/>
              <w:rPr>
                <w:rFonts w:cs="Calibri"/>
                <w:b/>
                <w:bCs/>
              </w:rPr>
            </w:pPr>
            <w:r w:rsidRPr="000D71CD">
              <w:rPr>
                <w:rFonts w:cs="Calibri"/>
                <w:b/>
                <w:bCs/>
              </w:rPr>
              <w:t>20</w:t>
            </w:r>
            <w:r w:rsidR="003A50AF">
              <w:rPr>
                <w:rFonts w:cs="Calibri"/>
                <w:b/>
                <w:bCs/>
              </w:rPr>
              <w:t>20</w:t>
            </w:r>
            <w:r w:rsidRPr="000D71CD">
              <w:rPr>
                <w:rFonts w:cs="Calibri"/>
                <w:b/>
                <w:bCs/>
              </w:rPr>
              <w:t>.</w:t>
            </w:r>
          </w:p>
        </w:tc>
      </w:tr>
      <w:tr w:rsidR="00C5315F" w:rsidRPr="00754971" w14:paraId="12C25DC2" w14:textId="77777777" w:rsidTr="00072476">
        <w:trPr>
          <w:cantSplit/>
          <w:trHeight w:hRule="exact" w:val="272"/>
        </w:trPr>
        <w:tc>
          <w:tcPr>
            <w:tcW w:w="2124" w:type="dxa"/>
            <w:tcBorders>
              <w:top w:val="single" w:sz="8" w:space="0" w:color="231F20"/>
              <w:bottom w:val="single" w:sz="2" w:space="0" w:color="918F8F"/>
              <w:right w:val="single" w:sz="2" w:space="0" w:color="231F20"/>
            </w:tcBorders>
            <w:tcMar>
              <w:top w:w="0" w:type="dxa"/>
              <w:left w:w="0" w:type="dxa"/>
              <w:bottom w:w="0" w:type="dxa"/>
              <w:right w:w="0" w:type="dxa"/>
            </w:tcMar>
          </w:tcPr>
          <w:p w14:paraId="70D7B156" w14:textId="77777777" w:rsidR="00C5315F" w:rsidRPr="00754971" w:rsidRDefault="00C5315F" w:rsidP="00072476">
            <w:pPr>
              <w:spacing w:line="240" w:lineRule="auto"/>
              <w:jc w:val="both"/>
              <w:rPr>
                <w:rFonts w:cs="Calibri"/>
                <w:b/>
                <w:bCs/>
              </w:rPr>
            </w:pPr>
            <w:r w:rsidRPr="00754971">
              <w:rPr>
                <w:rFonts w:cs="Calibri"/>
                <w:b/>
                <w:bCs/>
              </w:rPr>
              <w:t>Ukupno</w:t>
            </w:r>
          </w:p>
        </w:tc>
        <w:tc>
          <w:tcPr>
            <w:tcW w:w="1341"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1DBB33F8" w14:textId="7B50FD4A" w:rsidR="00C5315F" w:rsidRPr="00754971" w:rsidRDefault="003A50AF" w:rsidP="00072476">
            <w:pPr>
              <w:spacing w:line="240" w:lineRule="auto"/>
              <w:jc w:val="both"/>
              <w:rPr>
                <w:rFonts w:cs="Calibri"/>
                <w:b/>
                <w:bCs/>
              </w:rPr>
            </w:pPr>
            <w:r>
              <w:rPr>
                <w:rFonts w:cs="Calibri"/>
                <w:b/>
                <w:bCs/>
              </w:rPr>
              <w:t xml:space="preserve">2612 </w:t>
            </w:r>
          </w:p>
        </w:tc>
        <w:tc>
          <w:tcPr>
            <w:tcW w:w="1341"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31C57129" w14:textId="77777777" w:rsidR="00C5315F" w:rsidRPr="00754971" w:rsidRDefault="00C5315F" w:rsidP="00072476">
            <w:pPr>
              <w:spacing w:line="240" w:lineRule="auto"/>
              <w:jc w:val="both"/>
              <w:rPr>
                <w:rFonts w:cs="Calibri"/>
                <w:b/>
                <w:bCs/>
              </w:rPr>
            </w:pPr>
            <w:r w:rsidRPr="00754971">
              <w:rPr>
                <w:rFonts w:cs="Calibri"/>
                <w:b/>
                <w:bCs/>
              </w:rPr>
              <w:t>2</w:t>
            </w:r>
            <w:r w:rsidRPr="00754971">
              <w:rPr>
                <w:rFonts w:cs="Calibri"/>
              </w:rPr>
              <w:t xml:space="preserve"> </w:t>
            </w:r>
            <w:r w:rsidRPr="00754971">
              <w:rPr>
                <w:rFonts w:cs="Calibri"/>
                <w:b/>
                <w:bCs/>
              </w:rPr>
              <w:t>612</w:t>
            </w:r>
          </w:p>
        </w:tc>
        <w:tc>
          <w:tcPr>
            <w:tcW w:w="1341"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7E92F0FB" w14:textId="78A67F97" w:rsidR="00C5315F" w:rsidRPr="00754971" w:rsidRDefault="003A50AF" w:rsidP="00072476">
            <w:pPr>
              <w:spacing w:line="240" w:lineRule="auto"/>
              <w:jc w:val="both"/>
              <w:rPr>
                <w:rFonts w:cs="Calibri"/>
                <w:b/>
                <w:bCs/>
              </w:rPr>
            </w:pPr>
            <w:r>
              <w:rPr>
                <w:rFonts w:cs="Calibri"/>
                <w:b/>
                <w:bCs/>
              </w:rPr>
              <w:t>2849</w:t>
            </w:r>
          </w:p>
        </w:tc>
        <w:tc>
          <w:tcPr>
            <w:tcW w:w="1341" w:type="dxa"/>
            <w:tcBorders>
              <w:top w:val="single" w:sz="8" w:space="0" w:color="231F20"/>
              <w:left w:val="single" w:sz="2" w:space="0" w:color="231F20"/>
              <w:bottom w:val="single" w:sz="2" w:space="0" w:color="918F8F"/>
            </w:tcBorders>
            <w:tcMar>
              <w:top w:w="0" w:type="dxa"/>
              <w:left w:w="0" w:type="dxa"/>
              <w:bottom w:w="0" w:type="dxa"/>
              <w:right w:w="0" w:type="dxa"/>
            </w:tcMar>
          </w:tcPr>
          <w:p w14:paraId="6633CB23" w14:textId="77777777" w:rsidR="00C5315F" w:rsidRPr="00754971" w:rsidRDefault="00C5315F" w:rsidP="00072476">
            <w:pPr>
              <w:spacing w:line="240" w:lineRule="auto"/>
              <w:jc w:val="both"/>
              <w:rPr>
                <w:rFonts w:cs="Calibri"/>
                <w:b/>
                <w:bCs/>
              </w:rPr>
            </w:pPr>
            <w:r w:rsidRPr="00754971">
              <w:rPr>
                <w:rFonts w:cs="Calibri"/>
                <w:b/>
                <w:bCs/>
              </w:rPr>
              <w:t>2</w:t>
            </w:r>
            <w:r w:rsidRPr="00754971">
              <w:rPr>
                <w:rFonts w:cs="Calibri"/>
              </w:rPr>
              <w:t xml:space="preserve"> </w:t>
            </w:r>
            <w:r w:rsidRPr="00754971">
              <w:rPr>
                <w:rFonts w:cs="Calibri"/>
                <w:b/>
                <w:bCs/>
              </w:rPr>
              <w:t>849</w:t>
            </w:r>
          </w:p>
        </w:tc>
        <w:tc>
          <w:tcPr>
            <w:tcW w:w="1341" w:type="dxa"/>
            <w:tcBorders>
              <w:top w:val="single" w:sz="8" w:space="0" w:color="231F20"/>
              <w:left w:val="single" w:sz="2" w:space="0" w:color="231F20"/>
              <w:bottom w:val="single" w:sz="2" w:space="0" w:color="918F8F"/>
            </w:tcBorders>
          </w:tcPr>
          <w:p w14:paraId="6C04E497" w14:textId="77777777" w:rsidR="00C5315F" w:rsidRPr="000D71CD" w:rsidRDefault="00C5315F" w:rsidP="00072476">
            <w:pPr>
              <w:spacing w:line="240" w:lineRule="auto"/>
              <w:jc w:val="both"/>
              <w:rPr>
                <w:rFonts w:cs="Calibri"/>
                <w:b/>
                <w:bCs/>
              </w:rPr>
            </w:pPr>
            <w:r w:rsidRPr="000D71CD">
              <w:rPr>
                <w:rFonts w:cs="Calibri"/>
                <w:b/>
                <w:bCs/>
              </w:rPr>
              <w:t>2 849</w:t>
            </w:r>
          </w:p>
        </w:tc>
      </w:tr>
      <w:tr w:rsidR="00C5315F" w:rsidRPr="00754971" w14:paraId="247855B4" w14:textId="77777777" w:rsidTr="00072476">
        <w:trPr>
          <w:cantSplit/>
          <w:trHeight w:hRule="exact" w:val="272"/>
        </w:trPr>
        <w:tc>
          <w:tcPr>
            <w:tcW w:w="2124" w:type="dxa"/>
            <w:tcBorders>
              <w:top w:val="single" w:sz="2" w:space="0" w:color="918F8F"/>
              <w:left w:val="single" w:sz="8" w:space="0" w:color="FCD9E3"/>
              <w:bottom w:val="single" w:sz="2" w:space="0" w:color="918F8F"/>
              <w:right w:val="single" w:sz="2" w:space="0" w:color="231F20"/>
            </w:tcBorders>
            <w:shd w:val="clear" w:color="auto" w:fill="FCD9E3"/>
            <w:tcMar>
              <w:top w:w="0" w:type="dxa"/>
              <w:left w:w="0" w:type="dxa"/>
              <w:bottom w:w="0" w:type="dxa"/>
              <w:right w:w="0" w:type="dxa"/>
            </w:tcMar>
          </w:tcPr>
          <w:p w14:paraId="45939A57" w14:textId="77777777" w:rsidR="00C5315F" w:rsidRPr="00754971" w:rsidRDefault="00C5315F" w:rsidP="00072476">
            <w:pPr>
              <w:spacing w:line="240" w:lineRule="auto"/>
              <w:jc w:val="both"/>
              <w:rPr>
                <w:rFonts w:cs="Calibri"/>
              </w:rPr>
            </w:pPr>
            <w:r w:rsidRPr="00754971">
              <w:rPr>
                <w:rFonts w:cs="Calibri"/>
              </w:rPr>
              <w:t>Kvaternikov trg</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A94E4A8" w14:textId="77777777" w:rsidR="00C5315F" w:rsidRPr="00754971" w:rsidRDefault="00C5315F" w:rsidP="00072476">
            <w:pPr>
              <w:spacing w:line="240" w:lineRule="auto"/>
              <w:jc w:val="both"/>
              <w:rPr>
                <w:rFonts w:cs="Calibri"/>
              </w:rPr>
            </w:pPr>
            <w:r w:rsidRPr="00754971">
              <w:rPr>
                <w:rFonts w:cs="Calibri"/>
              </w:rPr>
              <w:t>354</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D14CDD5" w14:textId="77777777" w:rsidR="00C5315F" w:rsidRPr="00754971" w:rsidRDefault="00C5315F" w:rsidP="00072476">
            <w:pPr>
              <w:spacing w:line="240" w:lineRule="auto"/>
              <w:jc w:val="both"/>
              <w:rPr>
                <w:rFonts w:cs="Calibri"/>
              </w:rPr>
            </w:pPr>
            <w:r w:rsidRPr="00754971">
              <w:rPr>
                <w:rFonts w:cs="Calibri"/>
              </w:rPr>
              <w:t>354</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2294530" w14:textId="77777777" w:rsidR="00C5315F" w:rsidRPr="00754971" w:rsidRDefault="00C5315F" w:rsidP="00072476">
            <w:pPr>
              <w:spacing w:line="240" w:lineRule="auto"/>
              <w:jc w:val="both"/>
              <w:rPr>
                <w:rFonts w:cs="Calibri"/>
              </w:rPr>
            </w:pPr>
            <w:r w:rsidRPr="00754971">
              <w:rPr>
                <w:rFonts w:cs="Calibri"/>
              </w:rPr>
              <w:t>354</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Mar>
              <w:top w:w="0" w:type="dxa"/>
              <w:left w:w="0" w:type="dxa"/>
              <w:bottom w:w="0" w:type="dxa"/>
              <w:right w:w="0" w:type="dxa"/>
            </w:tcMar>
          </w:tcPr>
          <w:p w14:paraId="74500FFC" w14:textId="77777777" w:rsidR="00C5315F" w:rsidRPr="00754971" w:rsidRDefault="00C5315F" w:rsidP="00072476">
            <w:pPr>
              <w:spacing w:line="240" w:lineRule="auto"/>
              <w:jc w:val="both"/>
              <w:rPr>
                <w:rFonts w:cs="Calibri"/>
              </w:rPr>
            </w:pPr>
            <w:r w:rsidRPr="00754971">
              <w:rPr>
                <w:rFonts w:cs="Calibri"/>
              </w:rPr>
              <w:t>354</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Pr>
          <w:p w14:paraId="3E8236AD" w14:textId="77777777" w:rsidR="00C5315F" w:rsidRPr="000D71CD" w:rsidRDefault="00C5315F" w:rsidP="00072476">
            <w:pPr>
              <w:spacing w:line="240" w:lineRule="auto"/>
              <w:jc w:val="both"/>
              <w:rPr>
                <w:rFonts w:cs="Calibri"/>
              </w:rPr>
            </w:pPr>
            <w:r w:rsidRPr="000D71CD">
              <w:rPr>
                <w:rFonts w:cs="Calibri"/>
              </w:rPr>
              <w:t>354</w:t>
            </w:r>
          </w:p>
        </w:tc>
      </w:tr>
      <w:tr w:rsidR="00C5315F" w:rsidRPr="00754971" w14:paraId="62A3A739" w14:textId="77777777" w:rsidTr="00072476">
        <w:trPr>
          <w:cantSplit/>
          <w:trHeight w:hRule="exact" w:val="272"/>
        </w:trPr>
        <w:tc>
          <w:tcPr>
            <w:tcW w:w="2124" w:type="dxa"/>
            <w:tcBorders>
              <w:top w:val="single" w:sz="2" w:space="0" w:color="918F8F"/>
              <w:bottom w:val="single" w:sz="2" w:space="0" w:color="918F8F"/>
              <w:right w:val="single" w:sz="2" w:space="0" w:color="231F20"/>
            </w:tcBorders>
            <w:tcMar>
              <w:top w:w="0" w:type="dxa"/>
              <w:left w:w="0" w:type="dxa"/>
              <w:bottom w:w="0" w:type="dxa"/>
              <w:right w:w="0" w:type="dxa"/>
            </w:tcMar>
          </w:tcPr>
          <w:p w14:paraId="377C9F7A" w14:textId="77777777" w:rsidR="00C5315F" w:rsidRPr="00754971" w:rsidRDefault="00C5315F" w:rsidP="00072476">
            <w:pPr>
              <w:spacing w:line="240" w:lineRule="auto"/>
              <w:jc w:val="both"/>
              <w:rPr>
                <w:rFonts w:cs="Calibri"/>
              </w:rPr>
            </w:pPr>
            <w:r w:rsidRPr="00754971">
              <w:rPr>
                <w:rFonts w:cs="Calibri"/>
              </w:rPr>
              <w:t>Gorica</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42FED0EE" w14:textId="77777777" w:rsidR="00C5315F" w:rsidRPr="00754971" w:rsidRDefault="00C5315F" w:rsidP="00072476">
            <w:pPr>
              <w:spacing w:line="240" w:lineRule="auto"/>
              <w:jc w:val="both"/>
              <w:rPr>
                <w:rFonts w:cs="Calibri"/>
              </w:rPr>
            </w:pPr>
            <w:r w:rsidRPr="00754971">
              <w:rPr>
                <w:rFonts w:cs="Calibri"/>
              </w:rPr>
              <w:t>370</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44A20A7C" w14:textId="77777777" w:rsidR="00C5315F" w:rsidRPr="00754971" w:rsidRDefault="00C5315F" w:rsidP="00072476">
            <w:pPr>
              <w:spacing w:line="240" w:lineRule="auto"/>
              <w:jc w:val="both"/>
              <w:rPr>
                <w:rFonts w:cs="Calibri"/>
              </w:rPr>
            </w:pPr>
            <w:r w:rsidRPr="00754971">
              <w:rPr>
                <w:rFonts w:cs="Calibri"/>
              </w:rPr>
              <w:t>370</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17791097" w14:textId="77777777" w:rsidR="00C5315F" w:rsidRPr="00754971" w:rsidRDefault="00C5315F" w:rsidP="00072476">
            <w:pPr>
              <w:spacing w:line="240" w:lineRule="auto"/>
              <w:jc w:val="both"/>
              <w:rPr>
                <w:rFonts w:cs="Calibri"/>
              </w:rPr>
            </w:pPr>
            <w:r w:rsidRPr="00754971">
              <w:rPr>
                <w:rFonts w:cs="Calibri"/>
              </w:rPr>
              <w:t>370</w:t>
            </w:r>
          </w:p>
        </w:tc>
        <w:tc>
          <w:tcPr>
            <w:tcW w:w="1341" w:type="dxa"/>
            <w:tcBorders>
              <w:top w:val="single" w:sz="2" w:space="0" w:color="918F8F"/>
              <w:left w:val="single" w:sz="2" w:space="0" w:color="231F20"/>
              <w:bottom w:val="single" w:sz="2" w:space="0" w:color="918F8F"/>
            </w:tcBorders>
            <w:tcMar>
              <w:top w:w="0" w:type="dxa"/>
              <w:left w:w="0" w:type="dxa"/>
              <w:bottom w:w="0" w:type="dxa"/>
              <w:right w:w="0" w:type="dxa"/>
            </w:tcMar>
          </w:tcPr>
          <w:p w14:paraId="1A7E26A8" w14:textId="77777777" w:rsidR="00C5315F" w:rsidRPr="00754971" w:rsidRDefault="00C5315F" w:rsidP="00072476">
            <w:pPr>
              <w:spacing w:line="240" w:lineRule="auto"/>
              <w:jc w:val="both"/>
              <w:rPr>
                <w:rFonts w:cs="Calibri"/>
              </w:rPr>
            </w:pPr>
            <w:r w:rsidRPr="00754971">
              <w:rPr>
                <w:rFonts w:cs="Calibri"/>
              </w:rPr>
              <w:t>370</w:t>
            </w:r>
          </w:p>
        </w:tc>
        <w:tc>
          <w:tcPr>
            <w:tcW w:w="1341" w:type="dxa"/>
            <w:tcBorders>
              <w:top w:val="single" w:sz="2" w:space="0" w:color="918F8F"/>
              <w:left w:val="single" w:sz="2" w:space="0" w:color="231F20"/>
              <w:bottom w:val="single" w:sz="2" w:space="0" w:color="918F8F"/>
            </w:tcBorders>
          </w:tcPr>
          <w:p w14:paraId="749DBE8A" w14:textId="77777777" w:rsidR="00C5315F" w:rsidRPr="000D71CD" w:rsidRDefault="00C5315F" w:rsidP="00072476">
            <w:pPr>
              <w:spacing w:line="240" w:lineRule="auto"/>
              <w:jc w:val="both"/>
              <w:rPr>
                <w:rFonts w:cs="Calibri"/>
              </w:rPr>
            </w:pPr>
            <w:r w:rsidRPr="000D71CD">
              <w:rPr>
                <w:rFonts w:cs="Calibri"/>
              </w:rPr>
              <w:t>370</w:t>
            </w:r>
          </w:p>
        </w:tc>
      </w:tr>
      <w:tr w:rsidR="00C5315F" w:rsidRPr="00754971" w14:paraId="1A999D1F" w14:textId="77777777" w:rsidTr="00072476">
        <w:trPr>
          <w:cantSplit/>
          <w:trHeight w:hRule="exact" w:val="272"/>
        </w:trPr>
        <w:tc>
          <w:tcPr>
            <w:tcW w:w="2124" w:type="dxa"/>
            <w:tcBorders>
              <w:top w:val="single" w:sz="2" w:space="0" w:color="918F8F"/>
              <w:left w:val="single" w:sz="8" w:space="0" w:color="FCD9E3"/>
              <w:bottom w:val="single" w:sz="2" w:space="0" w:color="918F8F"/>
              <w:right w:val="single" w:sz="2" w:space="0" w:color="231F20"/>
            </w:tcBorders>
            <w:shd w:val="clear" w:color="auto" w:fill="FCD9E3"/>
            <w:tcMar>
              <w:top w:w="0" w:type="dxa"/>
              <w:left w:w="0" w:type="dxa"/>
              <w:bottom w:w="0" w:type="dxa"/>
              <w:right w:w="0" w:type="dxa"/>
            </w:tcMar>
          </w:tcPr>
          <w:p w14:paraId="3B530F8C" w14:textId="77777777" w:rsidR="00C5315F" w:rsidRPr="00754971" w:rsidRDefault="00C5315F" w:rsidP="00072476">
            <w:pPr>
              <w:spacing w:line="240" w:lineRule="auto"/>
              <w:jc w:val="both"/>
              <w:rPr>
                <w:rFonts w:cs="Calibri"/>
              </w:rPr>
            </w:pPr>
            <w:r w:rsidRPr="00754971">
              <w:rPr>
                <w:rFonts w:cs="Calibri"/>
              </w:rPr>
              <w:t>Petrinjska</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C883F87" w14:textId="77777777" w:rsidR="00C5315F" w:rsidRPr="00754971" w:rsidRDefault="00C5315F" w:rsidP="00072476">
            <w:pPr>
              <w:spacing w:line="240" w:lineRule="auto"/>
              <w:jc w:val="both"/>
              <w:rPr>
                <w:rFonts w:cs="Calibri"/>
              </w:rPr>
            </w:pPr>
            <w:r w:rsidRPr="00754971">
              <w:rPr>
                <w:rFonts w:cs="Calibri"/>
              </w:rPr>
              <w:t>134</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11FA1DCD" w14:textId="77777777" w:rsidR="00C5315F" w:rsidRPr="00754971" w:rsidRDefault="00C5315F" w:rsidP="00072476">
            <w:pPr>
              <w:spacing w:line="240" w:lineRule="auto"/>
              <w:jc w:val="both"/>
              <w:rPr>
                <w:rFonts w:cs="Calibri"/>
              </w:rPr>
            </w:pPr>
            <w:r w:rsidRPr="00754971">
              <w:rPr>
                <w:rFonts w:cs="Calibri"/>
              </w:rPr>
              <w:t>134</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355E969" w14:textId="77777777" w:rsidR="00C5315F" w:rsidRPr="00754971" w:rsidRDefault="00C5315F" w:rsidP="00072476">
            <w:pPr>
              <w:spacing w:line="240" w:lineRule="auto"/>
              <w:jc w:val="both"/>
              <w:rPr>
                <w:rFonts w:cs="Calibri"/>
              </w:rPr>
            </w:pPr>
            <w:r w:rsidRPr="00754971">
              <w:rPr>
                <w:rFonts w:cs="Calibri"/>
              </w:rPr>
              <w:t>134</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Mar>
              <w:top w:w="0" w:type="dxa"/>
              <w:left w:w="0" w:type="dxa"/>
              <w:bottom w:w="0" w:type="dxa"/>
              <w:right w:w="0" w:type="dxa"/>
            </w:tcMar>
          </w:tcPr>
          <w:p w14:paraId="51E833DD" w14:textId="77777777" w:rsidR="00C5315F" w:rsidRPr="00754971" w:rsidRDefault="00C5315F" w:rsidP="00072476">
            <w:pPr>
              <w:spacing w:line="240" w:lineRule="auto"/>
              <w:jc w:val="both"/>
              <w:rPr>
                <w:rFonts w:cs="Calibri"/>
              </w:rPr>
            </w:pPr>
            <w:r w:rsidRPr="00754971">
              <w:rPr>
                <w:rFonts w:cs="Calibri"/>
              </w:rPr>
              <w:t>134</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Pr>
          <w:p w14:paraId="541A9381" w14:textId="77777777" w:rsidR="00C5315F" w:rsidRPr="000D71CD" w:rsidRDefault="00C5315F" w:rsidP="00072476">
            <w:pPr>
              <w:spacing w:line="240" w:lineRule="auto"/>
              <w:jc w:val="both"/>
              <w:rPr>
                <w:rFonts w:cs="Calibri"/>
              </w:rPr>
            </w:pPr>
            <w:r w:rsidRPr="000D71CD">
              <w:rPr>
                <w:rFonts w:cs="Calibri"/>
              </w:rPr>
              <w:t>134</w:t>
            </w:r>
          </w:p>
        </w:tc>
      </w:tr>
      <w:tr w:rsidR="00C5315F" w:rsidRPr="00754971" w14:paraId="145E9AA8" w14:textId="77777777" w:rsidTr="00072476">
        <w:trPr>
          <w:cantSplit/>
          <w:trHeight w:hRule="exact" w:val="272"/>
        </w:trPr>
        <w:tc>
          <w:tcPr>
            <w:tcW w:w="2124" w:type="dxa"/>
            <w:tcBorders>
              <w:top w:val="single" w:sz="2" w:space="0" w:color="918F8F"/>
              <w:bottom w:val="single" w:sz="2" w:space="0" w:color="918F8F"/>
              <w:right w:val="single" w:sz="2" w:space="0" w:color="231F20"/>
            </w:tcBorders>
            <w:tcMar>
              <w:top w:w="0" w:type="dxa"/>
              <w:left w:w="0" w:type="dxa"/>
              <w:bottom w:w="0" w:type="dxa"/>
              <w:right w:w="0" w:type="dxa"/>
            </w:tcMar>
          </w:tcPr>
          <w:p w14:paraId="122D7F43" w14:textId="77777777" w:rsidR="00C5315F" w:rsidRPr="00754971" w:rsidRDefault="00C5315F" w:rsidP="00072476">
            <w:pPr>
              <w:spacing w:line="240" w:lineRule="auto"/>
              <w:jc w:val="both"/>
              <w:rPr>
                <w:rFonts w:cs="Calibri"/>
              </w:rPr>
            </w:pPr>
            <w:r w:rsidRPr="00754971">
              <w:rPr>
                <w:rFonts w:cs="Calibri"/>
              </w:rPr>
              <w:t>Langov trg</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7677EE60" w14:textId="77777777" w:rsidR="00C5315F" w:rsidRPr="00754971" w:rsidRDefault="00C5315F" w:rsidP="00072476">
            <w:pPr>
              <w:spacing w:line="240" w:lineRule="auto"/>
              <w:jc w:val="both"/>
              <w:rPr>
                <w:rFonts w:cs="Calibri"/>
              </w:rPr>
            </w:pPr>
            <w:r w:rsidRPr="00754971">
              <w:rPr>
                <w:rFonts w:cs="Calibri"/>
              </w:rPr>
              <w:t>305</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7200CC30" w14:textId="77777777" w:rsidR="00C5315F" w:rsidRPr="00754971" w:rsidRDefault="00C5315F" w:rsidP="00072476">
            <w:pPr>
              <w:spacing w:line="240" w:lineRule="auto"/>
              <w:jc w:val="both"/>
              <w:rPr>
                <w:rFonts w:cs="Calibri"/>
              </w:rPr>
            </w:pPr>
            <w:r w:rsidRPr="00754971">
              <w:rPr>
                <w:rFonts w:cs="Calibri"/>
              </w:rPr>
              <w:t>305</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23A63C42" w14:textId="77777777" w:rsidR="00C5315F" w:rsidRPr="00754971" w:rsidRDefault="00C5315F" w:rsidP="00072476">
            <w:pPr>
              <w:spacing w:line="240" w:lineRule="auto"/>
              <w:jc w:val="both"/>
              <w:rPr>
                <w:rFonts w:cs="Calibri"/>
              </w:rPr>
            </w:pPr>
            <w:r w:rsidRPr="00754971">
              <w:rPr>
                <w:rFonts w:cs="Calibri"/>
              </w:rPr>
              <w:t>305</w:t>
            </w:r>
          </w:p>
        </w:tc>
        <w:tc>
          <w:tcPr>
            <w:tcW w:w="1341" w:type="dxa"/>
            <w:tcBorders>
              <w:top w:val="single" w:sz="2" w:space="0" w:color="918F8F"/>
              <w:left w:val="single" w:sz="2" w:space="0" w:color="231F20"/>
              <w:bottom w:val="single" w:sz="2" w:space="0" w:color="918F8F"/>
            </w:tcBorders>
            <w:tcMar>
              <w:top w:w="0" w:type="dxa"/>
              <w:left w:w="0" w:type="dxa"/>
              <w:bottom w:w="0" w:type="dxa"/>
              <w:right w:w="0" w:type="dxa"/>
            </w:tcMar>
          </w:tcPr>
          <w:p w14:paraId="3B627C54" w14:textId="77777777" w:rsidR="00C5315F" w:rsidRPr="00754971" w:rsidRDefault="00C5315F" w:rsidP="00072476">
            <w:pPr>
              <w:spacing w:line="240" w:lineRule="auto"/>
              <w:jc w:val="both"/>
              <w:rPr>
                <w:rFonts w:cs="Calibri"/>
              </w:rPr>
            </w:pPr>
            <w:r w:rsidRPr="00754971">
              <w:rPr>
                <w:rFonts w:cs="Calibri"/>
              </w:rPr>
              <w:t>305</w:t>
            </w:r>
          </w:p>
        </w:tc>
        <w:tc>
          <w:tcPr>
            <w:tcW w:w="1341" w:type="dxa"/>
            <w:tcBorders>
              <w:top w:val="single" w:sz="2" w:space="0" w:color="918F8F"/>
              <w:left w:val="single" w:sz="2" w:space="0" w:color="231F20"/>
              <w:bottom w:val="single" w:sz="2" w:space="0" w:color="918F8F"/>
            </w:tcBorders>
          </w:tcPr>
          <w:p w14:paraId="4C487FE0" w14:textId="77777777" w:rsidR="00C5315F" w:rsidRPr="000D71CD" w:rsidRDefault="00C5315F" w:rsidP="00072476">
            <w:pPr>
              <w:spacing w:line="240" w:lineRule="auto"/>
              <w:jc w:val="both"/>
              <w:rPr>
                <w:rFonts w:cs="Calibri"/>
              </w:rPr>
            </w:pPr>
            <w:r w:rsidRPr="000D71CD">
              <w:rPr>
                <w:rFonts w:cs="Calibri"/>
              </w:rPr>
              <w:t>305</w:t>
            </w:r>
          </w:p>
        </w:tc>
      </w:tr>
      <w:tr w:rsidR="00C5315F" w:rsidRPr="00754971" w14:paraId="4A3EF227" w14:textId="77777777" w:rsidTr="00072476">
        <w:trPr>
          <w:cantSplit/>
          <w:trHeight w:hRule="exact" w:val="272"/>
        </w:trPr>
        <w:tc>
          <w:tcPr>
            <w:tcW w:w="2124" w:type="dxa"/>
            <w:tcBorders>
              <w:top w:val="single" w:sz="2" w:space="0" w:color="918F8F"/>
              <w:left w:val="single" w:sz="8" w:space="0" w:color="FCD9E3"/>
              <w:bottom w:val="single" w:sz="2" w:space="0" w:color="918F8F"/>
              <w:right w:val="single" w:sz="2" w:space="0" w:color="231F20"/>
            </w:tcBorders>
            <w:shd w:val="clear" w:color="auto" w:fill="FCD9E3"/>
            <w:tcMar>
              <w:top w:w="0" w:type="dxa"/>
              <w:left w:w="0" w:type="dxa"/>
              <w:bottom w:w="0" w:type="dxa"/>
              <w:right w:w="0" w:type="dxa"/>
            </w:tcMar>
          </w:tcPr>
          <w:p w14:paraId="0C5FD030" w14:textId="77777777" w:rsidR="00C5315F" w:rsidRPr="00754971" w:rsidRDefault="00C5315F" w:rsidP="00072476">
            <w:pPr>
              <w:spacing w:line="240" w:lineRule="auto"/>
              <w:jc w:val="both"/>
              <w:rPr>
                <w:rFonts w:cs="Calibri"/>
              </w:rPr>
            </w:pPr>
            <w:r w:rsidRPr="00754971">
              <w:rPr>
                <w:rFonts w:cs="Calibri"/>
              </w:rPr>
              <w:t>Svetice</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52C27AE8" w14:textId="77777777" w:rsidR="00C5315F" w:rsidRPr="00754971" w:rsidRDefault="00C5315F" w:rsidP="00072476">
            <w:pPr>
              <w:spacing w:line="240" w:lineRule="auto"/>
              <w:jc w:val="both"/>
              <w:rPr>
                <w:rFonts w:cs="Calibri"/>
              </w:rPr>
            </w:pPr>
            <w:r w:rsidRPr="00754971">
              <w:rPr>
                <w:rFonts w:cs="Calibri"/>
              </w:rPr>
              <w:t>115</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09F1FC56" w14:textId="77777777" w:rsidR="00C5315F" w:rsidRPr="00754971" w:rsidRDefault="00C5315F" w:rsidP="00072476">
            <w:pPr>
              <w:spacing w:line="240" w:lineRule="auto"/>
              <w:jc w:val="both"/>
              <w:rPr>
                <w:rFonts w:cs="Calibri"/>
              </w:rPr>
            </w:pPr>
            <w:r w:rsidRPr="00754971">
              <w:rPr>
                <w:rFonts w:cs="Calibri"/>
              </w:rPr>
              <w:t>115</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236A31DB" w14:textId="77777777" w:rsidR="00C5315F" w:rsidRPr="00754971" w:rsidRDefault="00C5315F" w:rsidP="00072476">
            <w:pPr>
              <w:spacing w:line="240" w:lineRule="auto"/>
              <w:jc w:val="both"/>
              <w:rPr>
                <w:rFonts w:cs="Calibri"/>
              </w:rPr>
            </w:pPr>
            <w:r w:rsidRPr="00754971">
              <w:rPr>
                <w:rFonts w:cs="Calibri"/>
              </w:rPr>
              <w:t>115</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Mar>
              <w:top w:w="0" w:type="dxa"/>
              <w:left w:w="0" w:type="dxa"/>
              <w:bottom w:w="0" w:type="dxa"/>
              <w:right w:w="0" w:type="dxa"/>
            </w:tcMar>
          </w:tcPr>
          <w:p w14:paraId="3C076464" w14:textId="77777777" w:rsidR="00C5315F" w:rsidRPr="00754971" w:rsidRDefault="00C5315F" w:rsidP="00072476">
            <w:pPr>
              <w:spacing w:line="240" w:lineRule="auto"/>
              <w:jc w:val="both"/>
              <w:rPr>
                <w:rFonts w:cs="Calibri"/>
              </w:rPr>
            </w:pPr>
            <w:r w:rsidRPr="00754971">
              <w:rPr>
                <w:rFonts w:cs="Calibri"/>
              </w:rPr>
              <w:t>115</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Pr>
          <w:p w14:paraId="02A33543" w14:textId="77777777" w:rsidR="00C5315F" w:rsidRPr="000D71CD" w:rsidRDefault="00C5315F" w:rsidP="00072476">
            <w:pPr>
              <w:spacing w:line="240" w:lineRule="auto"/>
              <w:jc w:val="both"/>
              <w:rPr>
                <w:rFonts w:cs="Calibri"/>
              </w:rPr>
            </w:pPr>
            <w:r w:rsidRPr="000D71CD">
              <w:rPr>
                <w:rFonts w:cs="Calibri"/>
              </w:rPr>
              <w:t>115</w:t>
            </w:r>
          </w:p>
        </w:tc>
      </w:tr>
      <w:tr w:rsidR="00C5315F" w:rsidRPr="00754971" w14:paraId="0F277F32" w14:textId="77777777" w:rsidTr="00072476">
        <w:trPr>
          <w:cantSplit/>
          <w:trHeight w:hRule="exact" w:val="272"/>
        </w:trPr>
        <w:tc>
          <w:tcPr>
            <w:tcW w:w="2124" w:type="dxa"/>
            <w:tcBorders>
              <w:top w:val="single" w:sz="2" w:space="0" w:color="918F8F"/>
              <w:bottom w:val="single" w:sz="2" w:space="0" w:color="918F8F"/>
              <w:right w:val="single" w:sz="2" w:space="0" w:color="231F20"/>
            </w:tcBorders>
            <w:tcMar>
              <w:top w:w="0" w:type="dxa"/>
              <w:left w:w="0" w:type="dxa"/>
              <w:bottom w:w="0" w:type="dxa"/>
              <w:right w:w="0" w:type="dxa"/>
            </w:tcMar>
          </w:tcPr>
          <w:p w14:paraId="6BDC9F74" w14:textId="77777777" w:rsidR="00C5315F" w:rsidRPr="00754971" w:rsidRDefault="00C5315F" w:rsidP="00072476">
            <w:pPr>
              <w:spacing w:line="240" w:lineRule="auto"/>
              <w:jc w:val="both"/>
              <w:rPr>
                <w:rFonts w:cs="Calibri"/>
              </w:rPr>
            </w:pPr>
            <w:r w:rsidRPr="00754971">
              <w:rPr>
                <w:rFonts w:cs="Calibri"/>
              </w:rPr>
              <w:t>Jelkovec 1</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09DE1B75" w14:textId="2679AF4E" w:rsidR="00C5315F" w:rsidRPr="00754971" w:rsidRDefault="003A50AF" w:rsidP="00072476">
            <w:pPr>
              <w:spacing w:line="240" w:lineRule="auto"/>
              <w:jc w:val="both"/>
              <w:rPr>
                <w:rFonts w:cs="Calibri"/>
              </w:rPr>
            </w:pPr>
            <w:r>
              <w:rPr>
                <w:rFonts w:cs="Calibri"/>
              </w:rPr>
              <w:t>205</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28D003CA" w14:textId="77777777" w:rsidR="00C5315F" w:rsidRPr="00754971" w:rsidRDefault="00C5315F" w:rsidP="00072476">
            <w:pPr>
              <w:spacing w:line="240" w:lineRule="auto"/>
              <w:jc w:val="both"/>
              <w:rPr>
                <w:rFonts w:cs="Calibri"/>
              </w:rPr>
            </w:pPr>
            <w:r w:rsidRPr="00754971">
              <w:rPr>
                <w:rFonts w:cs="Calibri"/>
              </w:rPr>
              <w:t>205</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4F2E1D45" w14:textId="77777777" w:rsidR="00C5315F" w:rsidRPr="00754971" w:rsidRDefault="00C5315F" w:rsidP="00072476">
            <w:pPr>
              <w:spacing w:line="240" w:lineRule="auto"/>
              <w:jc w:val="both"/>
              <w:rPr>
                <w:rFonts w:cs="Calibri"/>
              </w:rPr>
            </w:pPr>
            <w:r w:rsidRPr="00754971">
              <w:rPr>
                <w:rFonts w:cs="Calibri"/>
              </w:rPr>
              <w:t>205</w:t>
            </w:r>
          </w:p>
        </w:tc>
        <w:tc>
          <w:tcPr>
            <w:tcW w:w="1341" w:type="dxa"/>
            <w:tcBorders>
              <w:top w:val="single" w:sz="2" w:space="0" w:color="918F8F"/>
              <w:left w:val="single" w:sz="2" w:space="0" w:color="231F20"/>
              <w:bottom w:val="single" w:sz="2" w:space="0" w:color="918F8F"/>
            </w:tcBorders>
            <w:tcMar>
              <w:top w:w="0" w:type="dxa"/>
              <w:left w:w="0" w:type="dxa"/>
              <w:bottom w:w="0" w:type="dxa"/>
              <w:right w:w="0" w:type="dxa"/>
            </w:tcMar>
          </w:tcPr>
          <w:p w14:paraId="3725C572" w14:textId="77777777" w:rsidR="00C5315F" w:rsidRPr="00754971" w:rsidRDefault="00C5315F" w:rsidP="00072476">
            <w:pPr>
              <w:spacing w:line="240" w:lineRule="auto"/>
              <w:jc w:val="both"/>
              <w:rPr>
                <w:rFonts w:cs="Calibri"/>
              </w:rPr>
            </w:pPr>
            <w:r w:rsidRPr="00754971">
              <w:rPr>
                <w:rFonts w:cs="Calibri"/>
              </w:rPr>
              <w:t>205</w:t>
            </w:r>
          </w:p>
        </w:tc>
        <w:tc>
          <w:tcPr>
            <w:tcW w:w="1341" w:type="dxa"/>
            <w:tcBorders>
              <w:top w:val="single" w:sz="2" w:space="0" w:color="918F8F"/>
              <w:left w:val="single" w:sz="2" w:space="0" w:color="231F20"/>
              <w:bottom w:val="single" w:sz="2" w:space="0" w:color="918F8F"/>
            </w:tcBorders>
          </w:tcPr>
          <w:p w14:paraId="3F14770A" w14:textId="77777777" w:rsidR="00C5315F" w:rsidRPr="000D71CD" w:rsidRDefault="00C5315F" w:rsidP="00072476">
            <w:pPr>
              <w:spacing w:line="240" w:lineRule="auto"/>
              <w:jc w:val="both"/>
              <w:rPr>
                <w:rFonts w:cs="Calibri"/>
              </w:rPr>
            </w:pPr>
            <w:r w:rsidRPr="000D71CD">
              <w:rPr>
                <w:rFonts w:cs="Calibri"/>
              </w:rPr>
              <w:t>205</w:t>
            </w:r>
          </w:p>
        </w:tc>
      </w:tr>
      <w:tr w:rsidR="00C5315F" w:rsidRPr="00754971" w14:paraId="2DBDB38A" w14:textId="77777777" w:rsidTr="00072476">
        <w:trPr>
          <w:cantSplit/>
          <w:trHeight w:hRule="exact" w:val="272"/>
        </w:trPr>
        <w:tc>
          <w:tcPr>
            <w:tcW w:w="2124" w:type="dxa"/>
            <w:tcBorders>
              <w:top w:val="single" w:sz="2" w:space="0" w:color="918F8F"/>
              <w:left w:val="single" w:sz="8" w:space="0" w:color="FCD9E3"/>
              <w:bottom w:val="single" w:sz="2" w:space="0" w:color="918F8F"/>
              <w:right w:val="single" w:sz="2" w:space="0" w:color="231F20"/>
            </w:tcBorders>
            <w:shd w:val="clear" w:color="auto" w:fill="FCD9E3"/>
            <w:tcMar>
              <w:top w:w="0" w:type="dxa"/>
              <w:left w:w="0" w:type="dxa"/>
              <w:bottom w:w="0" w:type="dxa"/>
              <w:right w:w="0" w:type="dxa"/>
            </w:tcMar>
          </w:tcPr>
          <w:p w14:paraId="79475C5B" w14:textId="77777777" w:rsidR="00C5315F" w:rsidRPr="00754971" w:rsidRDefault="00C5315F" w:rsidP="00072476">
            <w:pPr>
              <w:spacing w:line="240" w:lineRule="auto"/>
              <w:jc w:val="both"/>
              <w:rPr>
                <w:rFonts w:cs="Calibri"/>
              </w:rPr>
            </w:pPr>
            <w:r w:rsidRPr="00754971">
              <w:rPr>
                <w:rFonts w:cs="Calibri"/>
              </w:rPr>
              <w:t>Jelkovec 2</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1AEFBEE" w14:textId="77777777" w:rsidR="00C5315F" w:rsidRPr="00754971" w:rsidRDefault="00C5315F" w:rsidP="00072476">
            <w:pPr>
              <w:spacing w:line="240" w:lineRule="auto"/>
              <w:jc w:val="both"/>
              <w:rPr>
                <w:rFonts w:cs="Calibri"/>
              </w:rPr>
            </w:pPr>
            <w:r w:rsidRPr="00754971">
              <w:rPr>
                <w:rFonts w:cs="Calibri"/>
              </w:rPr>
              <w:t>-</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103B073" w14:textId="77777777" w:rsidR="00C5315F" w:rsidRPr="00754971" w:rsidRDefault="00C5315F" w:rsidP="00072476">
            <w:pPr>
              <w:spacing w:line="240" w:lineRule="auto"/>
              <w:jc w:val="both"/>
              <w:rPr>
                <w:rFonts w:cs="Calibri"/>
              </w:rPr>
            </w:pPr>
            <w:r w:rsidRPr="00754971">
              <w:rPr>
                <w:rFonts w:cs="Calibri"/>
              </w:rPr>
              <w:t>-</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595278F" w14:textId="25470919" w:rsidR="00C5315F" w:rsidRPr="00754971" w:rsidRDefault="003A50AF" w:rsidP="00072476">
            <w:pPr>
              <w:spacing w:line="240" w:lineRule="auto"/>
              <w:jc w:val="both"/>
              <w:rPr>
                <w:rFonts w:cs="Calibri"/>
              </w:rPr>
            </w:pPr>
            <w:r>
              <w:rPr>
                <w:rFonts w:cs="Calibri"/>
              </w:rPr>
              <w:t>237</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Mar>
              <w:top w:w="0" w:type="dxa"/>
              <w:left w:w="0" w:type="dxa"/>
              <w:bottom w:w="0" w:type="dxa"/>
              <w:right w:w="0" w:type="dxa"/>
            </w:tcMar>
          </w:tcPr>
          <w:p w14:paraId="361B757D" w14:textId="77777777" w:rsidR="00C5315F" w:rsidRPr="00754971" w:rsidRDefault="00C5315F" w:rsidP="00072476">
            <w:pPr>
              <w:spacing w:line="240" w:lineRule="auto"/>
              <w:jc w:val="both"/>
              <w:rPr>
                <w:rFonts w:cs="Calibri"/>
              </w:rPr>
            </w:pPr>
            <w:r w:rsidRPr="00754971">
              <w:rPr>
                <w:rFonts w:cs="Calibri"/>
              </w:rPr>
              <w:t>237</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Pr>
          <w:p w14:paraId="5676FC66" w14:textId="77777777" w:rsidR="00C5315F" w:rsidRPr="000D71CD" w:rsidRDefault="00C5315F" w:rsidP="00072476">
            <w:pPr>
              <w:spacing w:line="240" w:lineRule="auto"/>
              <w:jc w:val="both"/>
              <w:rPr>
                <w:rFonts w:cs="Calibri"/>
              </w:rPr>
            </w:pPr>
            <w:r w:rsidRPr="000D71CD">
              <w:rPr>
                <w:rFonts w:cs="Calibri"/>
              </w:rPr>
              <w:t>237</w:t>
            </w:r>
          </w:p>
        </w:tc>
      </w:tr>
      <w:tr w:rsidR="00C5315F" w:rsidRPr="00754971" w14:paraId="775CB2D3" w14:textId="77777777" w:rsidTr="00072476">
        <w:trPr>
          <w:cantSplit/>
          <w:trHeight w:hRule="exact" w:val="272"/>
        </w:trPr>
        <w:tc>
          <w:tcPr>
            <w:tcW w:w="2124" w:type="dxa"/>
            <w:tcBorders>
              <w:top w:val="single" w:sz="2" w:space="0" w:color="918F8F"/>
              <w:bottom w:val="single" w:sz="2" w:space="0" w:color="918F8F"/>
              <w:right w:val="single" w:sz="2" w:space="0" w:color="231F20"/>
            </w:tcBorders>
            <w:tcMar>
              <w:top w:w="0" w:type="dxa"/>
              <w:left w:w="0" w:type="dxa"/>
              <w:bottom w:w="0" w:type="dxa"/>
              <w:right w:w="0" w:type="dxa"/>
            </w:tcMar>
          </w:tcPr>
          <w:p w14:paraId="619D90D8" w14:textId="77777777" w:rsidR="00C5315F" w:rsidRPr="00754971" w:rsidRDefault="00C5315F" w:rsidP="00072476">
            <w:pPr>
              <w:spacing w:line="240" w:lineRule="auto"/>
              <w:jc w:val="both"/>
              <w:rPr>
                <w:rFonts w:cs="Calibri"/>
              </w:rPr>
            </w:pPr>
            <w:r w:rsidRPr="00754971">
              <w:rPr>
                <w:rFonts w:cs="Calibri"/>
              </w:rPr>
              <w:t>Tuškanac</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74CA94E5" w14:textId="77777777" w:rsidR="00C5315F" w:rsidRPr="00754971" w:rsidRDefault="00C5315F" w:rsidP="00072476">
            <w:pPr>
              <w:spacing w:line="240" w:lineRule="auto"/>
              <w:jc w:val="both"/>
              <w:rPr>
                <w:rFonts w:cs="Calibri"/>
              </w:rPr>
            </w:pPr>
            <w:r w:rsidRPr="00754971">
              <w:rPr>
                <w:rFonts w:cs="Calibri"/>
              </w:rPr>
              <w:t>465</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1ABEFAA6" w14:textId="77777777" w:rsidR="00C5315F" w:rsidRPr="00754971" w:rsidRDefault="00C5315F" w:rsidP="00072476">
            <w:pPr>
              <w:spacing w:line="240" w:lineRule="auto"/>
              <w:jc w:val="both"/>
              <w:rPr>
                <w:rFonts w:cs="Calibri"/>
              </w:rPr>
            </w:pPr>
            <w:r w:rsidRPr="00754971">
              <w:rPr>
                <w:rFonts w:cs="Calibri"/>
              </w:rPr>
              <w:t>465</w:t>
            </w:r>
          </w:p>
        </w:tc>
        <w:tc>
          <w:tcPr>
            <w:tcW w:w="1341"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2BA263AF" w14:textId="77777777" w:rsidR="00C5315F" w:rsidRPr="00754971" w:rsidRDefault="00C5315F" w:rsidP="00072476">
            <w:pPr>
              <w:spacing w:line="240" w:lineRule="auto"/>
              <w:jc w:val="both"/>
              <w:rPr>
                <w:rFonts w:cs="Calibri"/>
              </w:rPr>
            </w:pPr>
            <w:r w:rsidRPr="00754971">
              <w:rPr>
                <w:rFonts w:cs="Calibri"/>
              </w:rPr>
              <w:t>465</w:t>
            </w:r>
          </w:p>
        </w:tc>
        <w:tc>
          <w:tcPr>
            <w:tcW w:w="1341" w:type="dxa"/>
            <w:tcBorders>
              <w:top w:val="single" w:sz="2" w:space="0" w:color="918F8F"/>
              <w:left w:val="single" w:sz="2" w:space="0" w:color="231F20"/>
              <w:bottom w:val="single" w:sz="2" w:space="0" w:color="918F8F"/>
            </w:tcBorders>
            <w:tcMar>
              <w:top w:w="0" w:type="dxa"/>
              <w:left w:w="0" w:type="dxa"/>
              <w:bottom w:w="0" w:type="dxa"/>
              <w:right w:w="0" w:type="dxa"/>
            </w:tcMar>
          </w:tcPr>
          <w:p w14:paraId="0FD6FEF4" w14:textId="77777777" w:rsidR="00C5315F" w:rsidRPr="00754971" w:rsidRDefault="00C5315F" w:rsidP="00072476">
            <w:pPr>
              <w:spacing w:line="240" w:lineRule="auto"/>
              <w:jc w:val="both"/>
              <w:rPr>
                <w:rFonts w:cs="Calibri"/>
              </w:rPr>
            </w:pPr>
            <w:r w:rsidRPr="00754971">
              <w:rPr>
                <w:rFonts w:cs="Calibri"/>
              </w:rPr>
              <w:t>465</w:t>
            </w:r>
          </w:p>
        </w:tc>
        <w:tc>
          <w:tcPr>
            <w:tcW w:w="1341" w:type="dxa"/>
            <w:tcBorders>
              <w:top w:val="single" w:sz="2" w:space="0" w:color="918F8F"/>
              <w:left w:val="single" w:sz="2" w:space="0" w:color="231F20"/>
              <w:bottom w:val="single" w:sz="2" w:space="0" w:color="918F8F"/>
            </w:tcBorders>
          </w:tcPr>
          <w:p w14:paraId="45FF89F7" w14:textId="77777777" w:rsidR="00C5315F" w:rsidRPr="000D71CD" w:rsidRDefault="00C5315F" w:rsidP="00072476">
            <w:pPr>
              <w:spacing w:line="240" w:lineRule="auto"/>
              <w:jc w:val="both"/>
              <w:rPr>
                <w:rFonts w:cs="Calibri"/>
              </w:rPr>
            </w:pPr>
            <w:r w:rsidRPr="000D71CD">
              <w:rPr>
                <w:rFonts w:cs="Calibri"/>
              </w:rPr>
              <w:t>465</w:t>
            </w:r>
          </w:p>
        </w:tc>
      </w:tr>
      <w:tr w:rsidR="00C5315F" w:rsidRPr="00754971" w14:paraId="4E64689A" w14:textId="77777777" w:rsidTr="00072476">
        <w:trPr>
          <w:cantSplit/>
          <w:trHeight w:hRule="exact" w:val="272"/>
        </w:trPr>
        <w:tc>
          <w:tcPr>
            <w:tcW w:w="2124" w:type="dxa"/>
            <w:tcBorders>
              <w:top w:val="single" w:sz="2" w:space="0" w:color="918F8F"/>
              <w:left w:val="single" w:sz="8" w:space="0" w:color="FCD9E3"/>
              <w:bottom w:val="single" w:sz="2" w:space="0" w:color="918F8F"/>
              <w:right w:val="single" w:sz="2" w:space="0" w:color="231F20"/>
            </w:tcBorders>
            <w:shd w:val="clear" w:color="auto" w:fill="FCD9E3"/>
            <w:tcMar>
              <w:top w:w="0" w:type="dxa"/>
              <w:left w:w="0" w:type="dxa"/>
              <w:bottom w:w="0" w:type="dxa"/>
              <w:right w:w="0" w:type="dxa"/>
            </w:tcMar>
          </w:tcPr>
          <w:p w14:paraId="3A4550A6" w14:textId="77777777" w:rsidR="00C5315F" w:rsidRPr="00754971" w:rsidRDefault="00C5315F" w:rsidP="00072476">
            <w:pPr>
              <w:spacing w:line="240" w:lineRule="auto"/>
              <w:jc w:val="both"/>
              <w:rPr>
                <w:rFonts w:cs="Calibri"/>
              </w:rPr>
            </w:pPr>
            <w:r w:rsidRPr="00754971">
              <w:rPr>
                <w:rFonts w:cs="Calibri"/>
              </w:rPr>
              <w:t>Rebro</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1033BDDC" w14:textId="77777777" w:rsidR="00C5315F" w:rsidRPr="00754971" w:rsidRDefault="00C5315F" w:rsidP="00072476">
            <w:pPr>
              <w:spacing w:line="240" w:lineRule="auto"/>
              <w:jc w:val="both"/>
              <w:rPr>
                <w:rFonts w:cs="Calibri"/>
              </w:rPr>
            </w:pPr>
            <w:r w:rsidRPr="00754971">
              <w:rPr>
                <w:rFonts w:cs="Calibri"/>
              </w:rPr>
              <w:t>664</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2C075453" w14:textId="77777777" w:rsidR="00C5315F" w:rsidRPr="00754971" w:rsidRDefault="00C5315F" w:rsidP="00072476">
            <w:pPr>
              <w:spacing w:line="240" w:lineRule="auto"/>
              <w:jc w:val="both"/>
              <w:rPr>
                <w:rFonts w:cs="Calibri"/>
              </w:rPr>
            </w:pPr>
            <w:r w:rsidRPr="00754971">
              <w:rPr>
                <w:rFonts w:cs="Calibri"/>
              </w:rPr>
              <w:t>664</w:t>
            </w:r>
          </w:p>
        </w:tc>
        <w:tc>
          <w:tcPr>
            <w:tcW w:w="1341"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03ABEDB" w14:textId="77777777" w:rsidR="00C5315F" w:rsidRPr="00754971" w:rsidRDefault="00C5315F" w:rsidP="00072476">
            <w:pPr>
              <w:spacing w:line="240" w:lineRule="auto"/>
              <w:jc w:val="both"/>
              <w:rPr>
                <w:rFonts w:cs="Calibri"/>
              </w:rPr>
            </w:pPr>
            <w:r w:rsidRPr="00754971">
              <w:rPr>
                <w:rFonts w:cs="Calibri"/>
              </w:rPr>
              <w:t>664</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Mar>
              <w:top w:w="0" w:type="dxa"/>
              <w:left w:w="0" w:type="dxa"/>
              <w:bottom w:w="0" w:type="dxa"/>
              <w:right w:w="0" w:type="dxa"/>
            </w:tcMar>
          </w:tcPr>
          <w:p w14:paraId="58B8B511" w14:textId="77777777" w:rsidR="00C5315F" w:rsidRPr="00754971" w:rsidRDefault="00C5315F" w:rsidP="00072476">
            <w:pPr>
              <w:spacing w:line="240" w:lineRule="auto"/>
              <w:jc w:val="both"/>
              <w:rPr>
                <w:rFonts w:cs="Calibri"/>
              </w:rPr>
            </w:pPr>
            <w:r w:rsidRPr="00754971">
              <w:rPr>
                <w:rFonts w:cs="Calibri"/>
              </w:rPr>
              <w:t>664</w:t>
            </w:r>
          </w:p>
        </w:tc>
        <w:tc>
          <w:tcPr>
            <w:tcW w:w="1341" w:type="dxa"/>
            <w:tcBorders>
              <w:top w:val="single" w:sz="2" w:space="0" w:color="918F8F"/>
              <w:left w:val="single" w:sz="2" w:space="0" w:color="231F20"/>
              <w:bottom w:val="single" w:sz="2" w:space="0" w:color="918F8F"/>
              <w:right w:val="single" w:sz="8" w:space="0" w:color="FCD9E3"/>
            </w:tcBorders>
            <w:shd w:val="clear" w:color="auto" w:fill="FCD9E3"/>
          </w:tcPr>
          <w:p w14:paraId="41074164" w14:textId="77777777" w:rsidR="00C5315F" w:rsidRPr="000D71CD" w:rsidRDefault="00C5315F" w:rsidP="00072476">
            <w:pPr>
              <w:spacing w:line="240" w:lineRule="auto"/>
              <w:jc w:val="both"/>
              <w:rPr>
                <w:rFonts w:cs="Calibri"/>
              </w:rPr>
            </w:pPr>
            <w:r w:rsidRPr="000D71CD">
              <w:rPr>
                <w:rFonts w:cs="Calibri"/>
              </w:rPr>
              <w:t>664</w:t>
            </w:r>
          </w:p>
        </w:tc>
      </w:tr>
    </w:tbl>
    <w:p w14:paraId="7D0DBC86" w14:textId="3134BBAE" w:rsidR="00C5315F" w:rsidRPr="004F7BDA" w:rsidRDefault="00C5315F" w:rsidP="00C5315F">
      <w:pPr>
        <w:spacing w:line="240" w:lineRule="auto"/>
        <w:jc w:val="both"/>
        <w:rPr>
          <w:rFonts w:cs="Calibri"/>
          <w:sz w:val="20"/>
          <w:szCs w:val="20"/>
        </w:rPr>
      </w:pPr>
      <w:r w:rsidRPr="00BF0C6F">
        <w:rPr>
          <w:rFonts w:cs="Calibri"/>
          <w:sz w:val="20"/>
          <w:szCs w:val="20"/>
        </w:rPr>
        <w:t>Izvor: Statistički ljetopis Grada Zagreba za 20</w:t>
      </w:r>
      <w:r>
        <w:rPr>
          <w:rFonts w:cs="Calibri"/>
          <w:sz w:val="20"/>
          <w:szCs w:val="20"/>
        </w:rPr>
        <w:t>2</w:t>
      </w:r>
      <w:r w:rsidR="003A50AF">
        <w:rPr>
          <w:rFonts w:cs="Calibri"/>
          <w:sz w:val="20"/>
          <w:szCs w:val="20"/>
        </w:rPr>
        <w:t>1</w:t>
      </w:r>
      <w:r w:rsidRPr="00BF0C6F">
        <w:rPr>
          <w:rFonts w:cs="Calibri"/>
          <w:sz w:val="20"/>
          <w:szCs w:val="20"/>
        </w:rPr>
        <w:t>. godinu</w:t>
      </w:r>
    </w:p>
    <w:p w14:paraId="1306660E" w14:textId="77777777" w:rsidR="00C5315F" w:rsidRPr="00C0544B" w:rsidRDefault="00C5315F" w:rsidP="00C5315F">
      <w:pPr>
        <w:spacing w:after="167" w:line="250" w:lineRule="auto"/>
        <w:ind w:left="19" w:hanging="10"/>
        <w:jc w:val="both"/>
        <w:rPr>
          <w:rFonts w:cs="Calibri"/>
          <w:color w:val="000000"/>
          <w:lang w:eastAsia="hr-HR"/>
        </w:rPr>
      </w:pPr>
      <w:r w:rsidRPr="005D1BDB">
        <w:rPr>
          <w:rFonts w:cs="Calibri"/>
          <w:color w:val="000000"/>
          <w:lang w:eastAsia="hr-HR"/>
        </w:rPr>
        <w:t>Na području Grada Zagreba, sustav parkiranja obuhvaća velike dijelove gradskog područja s</w:t>
      </w:r>
      <w:r>
        <w:rPr>
          <w:rFonts w:cs="Calibri"/>
          <w:color w:val="000000"/>
          <w:lang w:eastAsia="hr-HR"/>
        </w:rPr>
        <w:t>a</w:t>
      </w:r>
      <w:r w:rsidRPr="005D1BDB">
        <w:rPr>
          <w:rFonts w:cs="Calibri"/>
          <w:color w:val="000000"/>
          <w:lang w:eastAsia="hr-HR"/>
        </w:rPr>
        <w:t xml:space="preserve"> </w:t>
      </w:r>
      <w:r>
        <w:rPr>
          <w:rFonts w:cs="Calibri"/>
          <w:color w:val="000000"/>
          <w:lang w:eastAsia="hr-HR"/>
        </w:rPr>
        <w:t>sedam</w:t>
      </w:r>
      <w:r w:rsidRPr="005D1BDB">
        <w:rPr>
          <w:rFonts w:cs="Calibri"/>
          <w:color w:val="000000"/>
          <w:lang w:eastAsia="hr-HR"/>
        </w:rPr>
        <w:t xml:space="preserve"> parkirnih zona i </w:t>
      </w:r>
      <w:r w:rsidRPr="00193A59">
        <w:rPr>
          <w:rFonts w:cs="Calibri"/>
          <w:lang w:eastAsia="hr-HR"/>
        </w:rPr>
        <w:t xml:space="preserve">9 </w:t>
      </w:r>
      <w:r w:rsidRPr="005D1BDB">
        <w:rPr>
          <w:rFonts w:cs="Calibri"/>
          <w:color w:val="000000"/>
          <w:lang w:eastAsia="hr-HR"/>
        </w:rPr>
        <w:t>javnih garaža, a svime upravlja Zagrebparking koji je dio Zagrebačkog holdinga. Osim toga, u gradu postoji nekoliko javnih garaža za parkiranje kojima upravljaju različite privatne tvrtke, koje ovu zahtjevnu mrežu nadopunjuju svojim uslugama.</w:t>
      </w:r>
      <w:r w:rsidRPr="00C0544B">
        <w:rPr>
          <w:rFonts w:cs="Calibri"/>
          <w:color w:val="000000"/>
          <w:lang w:eastAsia="hr-HR"/>
        </w:rPr>
        <w:t xml:space="preserve"> </w:t>
      </w:r>
    </w:p>
    <w:p w14:paraId="7785E6D9" w14:textId="538EFF23" w:rsidR="00C5315F" w:rsidRDefault="00C5315F" w:rsidP="00C5315F">
      <w:pPr>
        <w:spacing w:after="3" w:line="266" w:lineRule="auto"/>
        <w:ind w:left="19" w:right="246" w:hanging="10"/>
        <w:jc w:val="both"/>
        <w:rPr>
          <w:rFonts w:cs="Calibri"/>
          <w:color w:val="000000"/>
          <w:lang w:eastAsia="hr-HR"/>
        </w:rPr>
      </w:pPr>
      <w:r w:rsidRPr="00C0544B">
        <w:rPr>
          <w:rFonts w:cs="Calibri"/>
          <w:color w:val="000000"/>
          <w:lang w:eastAsia="hr-HR"/>
        </w:rPr>
        <w:t xml:space="preserve">Parkiranje na ulici podijeljeno je na </w:t>
      </w:r>
      <w:r>
        <w:rPr>
          <w:rFonts w:cs="Calibri"/>
          <w:color w:val="000000"/>
          <w:lang w:eastAsia="hr-HR"/>
        </w:rPr>
        <w:t>7</w:t>
      </w:r>
      <w:r w:rsidRPr="00C0544B">
        <w:rPr>
          <w:rFonts w:cs="Calibri"/>
          <w:color w:val="000000"/>
          <w:lang w:eastAsia="hr-HR"/>
        </w:rPr>
        <w:t xml:space="preserve"> zona</w:t>
      </w:r>
      <w:r>
        <w:rPr>
          <w:rFonts w:cs="Calibri"/>
          <w:color w:val="000000"/>
          <w:lang w:eastAsia="hr-HR"/>
        </w:rPr>
        <w:t xml:space="preserve"> (Tablica br XX Parkirališna mjesta po zonama parkiranja)</w:t>
      </w:r>
      <w:r w:rsidRPr="00C0544B">
        <w:rPr>
          <w:rFonts w:cs="Calibri"/>
          <w:color w:val="000000"/>
          <w:lang w:eastAsia="hr-HR"/>
        </w:rPr>
        <w:t xml:space="preserve"> s ukupnim kapacitetom od </w:t>
      </w:r>
      <w:r>
        <w:rPr>
          <w:rFonts w:cs="Calibri"/>
          <w:color w:val="000000"/>
          <w:lang w:eastAsia="hr-HR"/>
        </w:rPr>
        <w:t>3</w:t>
      </w:r>
      <w:r w:rsidR="00DA5D03">
        <w:rPr>
          <w:rFonts w:cs="Calibri"/>
          <w:color w:val="000000"/>
          <w:lang w:eastAsia="hr-HR"/>
        </w:rPr>
        <w:t>7.519</w:t>
      </w:r>
      <w:r w:rsidRPr="00C0544B">
        <w:rPr>
          <w:rFonts w:cs="Calibri"/>
          <w:color w:val="000000"/>
          <w:lang w:eastAsia="hr-HR"/>
        </w:rPr>
        <w:t xml:space="preserve">parkirnih mjesta. Kapacitet pojedinih područja za ulično parkiranje je kako slijedi: </w:t>
      </w:r>
    </w:p>
    <w:p w14:paraId="66F602C6" w14:textId="77777777" w:rsidR="00C5315F" w:rsidRDefault="00C5315F" w:rsidP="00C5315F">
      <w:pPr>
        <w:spacing w:after="3" w:line="266" w:lineRule="auto"/>
        <w:ind w:left="19" w:right="246" w:hanging="10"/>
        <w:jc w:val="both"/>
        <w:rPr>
          <w:rFonts w:cs="Calibri"/>
          <w:color w:val="000000"/>
          <w:lang w:eastAsia="hr-HR"/>
        </w:rPr>
      </w:pPr>
    </w:p>
    <w:p w14:paraId="06D54E29" w14:textId="3BC1874C" w:rsidR="00C5315F" w:rsidRDefault="00682389" w:rsidP="00E2286C">
      <w:pPr>
        <w:pStyle w:val="Opisslike"/>
        <w:rPr>
          <w:rFonts w:cs="Calibri"/>
          <w:color w:val="000000"/>
          <w:lang w:eastAsia="hr-HR"/>
        </w:rPr>
      </w:pPr>
      <w:r>
        <w:t xml:space="preserve">Tablica </w:t>
      </w:r>
      <w:r w:rsidR="00751C19">
        <w:fldChar w:fldCharType="begin"/>
      </w:r>
      <w:r w:rsidR="00751C19">
        <w:instrText xml:space="preserve"> SEQ Tablica \* ARABIC </w:instrText>
      </w:r>
      <w:r w:rsidR="00751C19">
        <w:fldChar w:fldCharType="separate"/>
      </w:r>
      <w:r w:rsidR="00803E25">
        <w:rPr>
          <w:noProof/>
        </w:rPr>
        <w:t>30</w:t>
      </w:r>
      <w:r w:rsidR="00751C19">
        <w:rPr>
          <w:noProof/>
        </w:rPr>
        <w:fldChar w:fldCharType="end"/>
      </w:r>
      <w:r>
        <w:t xml:space="preserve">. </w:t>
      </w:r>
      <w:r w:rsidRPr="00FD59D1">
        <w:t>Parkirališna mjesta po zonama parkiranja</w:t>
      </w:r>
    </w:p>
    <w:tbl>
      <w:tblPr>
        <w:tblW w:w="0" w:type="auto"/>
        <w:jc w:val="center"/>
        <w:tblLayout w:type="fixed"/>
        <w:tblCellMar>
          <w:left w:w="10" w:type="dxa"/>
          <w:right w:w="10" w:type="dxa"/>
        </w:tblCellMar>
        <w:tblLook w:val="0000" w:firstRow="0" w:lastRow="0" w:firstColumn="0" w:lastColumn="0" w:noHBand="0" w:noVBand="0"/>
      </w:tblPr>
      <w:tblGrid>
        <w:gridCol w:w="962"/>
        <w:gridCol w:w="724"/>
        <w:gridCol w:w="724"/>
        <w:gridCol w:w="724"/>
        <w:gridCol w:w="724"/>
        <w:gridCol w:w="724"/>
        <w:gridCol w:w="724"/>
        <w:gridCol w:w="724"/>
        <w:gridCol w:w="724"/>
        <w:gridCol w:w="724"/>
        <w:gridCol w:w="724"/>
      </w:tblGrid>
      <w:tr w:rsidR="00C5315F" w:rsidRPr="00754971" w14:paraId="1F035CA7" w14:textId="77777777" w:rsidTr="00072476">
        <w:trPr>
          <w:cantSplit/>
          <w:trHeight w:hRule="exact" w:val="443"/>
          <w:jc w:val="center"/>
        </w:trPr>
        <w:tc>
          <w:tcPr>
            <w:tcW w:w="962" w:type="dxa"/>
            <w:tcBorders>
              <w:top w:val="single" w:sz="0" w:space="0" w:color="FCD9E3"/>
              <w:left w:val="single" w:sz="0" w:space="0" w:color="FCD9E3"/>
              <w:bottom w:val="single" w:sz="8" w:space="0" w:color="231F20"/>
              <w:right w:val="single" w:sz="2" w:space="0" w:color="231F20"/>
            </w:tcBorders>
            <w:shd w:val="clear" w:color="auto" w:fill="FCD9E3"/>
            <w:tcMar>
              <w:top w:w="0" w:type="dxa"/>
              <w:left w:w="0" w:type="dxa"/>
              <w:bottom w:w="0" w:type="dxa"/>
              <w:right w:w="0" w:type="dxa"/>
            </w:tcMar>
          </w:tcPr>
          <w:p w14:paraId="40242168" w14:textId="77777777" w:rsidR="00C5315F" w:rsidRPr="00754971" w:rsidRDefault="00C5315F" w:rsidP="00072476">
            <w:pPr>
              <w:spacing w:before="57" w:after="0" w:line="268" w:lineRule="auto"/>
              <w:ind w:left="143" w:right="101"/>
              <w:jc w:val="center"/>
              <w:rPr>
                <w:rFonts w:ascii="Arial" w:eastAsia="Arial" w:hAnsi="Arial" w:cs="Arial"/>
                <w:b/>
                <w:bCs/>
                <w:color w:val="231F20"/>
                <w:w w:val="96"/>
                <w:sz w:val="15"/>
                <w:szCs w:val="15"/>
                <w:lang w:eastAsia="hr-HR"/>
              </w:rPr>
            </w:pPr>
            <w:r w:rsidRPr="00754971">
              <w:rPr>
                <w:rFonts w:ascii="Arial" w:eastAsia="Arial" w:hAnsi="Arial" w:cs="Arial"/>
                <w:b/>
                <w:bCs/>
                <w:color w:val="231F20"/>
                <w:spacing w:val="-1"/>
                <w:w w:val="99"/>
                <w:sz w:val="15"/>
                <w:szCs w:val="15"/>
                <w:lang w:eastAsia="hr-HR"/>
              </w:rPr>
              <w:t>Z</w:t>
            </w:r>
            <w:r w:rsidRPr="00754971">
              <w:rPr>
                <w:rFonts w:ascii="Arial" w:eastAsia="Arial" w:hAnsi="Arial" w:cs="Arial"/>
                <w:b/>
                <w:bCs/>
                <w:color w:val="231F20"/>
                <w:w w:val="92"/>
                <w:sz w:val="15"/>
                <w:szCs w:val="15"/>
                <w:lang w:eastAsia="hr-HR"/>
              </w:rPr>
              <w:t>on</w:t>
            </w:r>
            <w:r w:rsidRPr="00754971">
              <w:rPr>
                <w:rFonts w:ascii="Arial" w:eastAsia="Arial" w:hAnsi="Arial" w:cs="Arial"/>
                <w:b/>
                <w:bCs/>
                <w:color w:val="231F20"/>
                <w:w w:val="97"/>
                <w:sz w:val="15"/>
                <w:szCs w:val="15"/>
                <w:lang w:eastAsia="hr-HR"/>
              </w:rPr>
              <w:t>e</w:t>
            </w:r>
            <w:r w:rsidRPr="00754971">
              <w:rPr>
                <w:rFonts w:ascii="Arial" w:eastAsia="Arial" w:hAnsi="Arial" w:cs="Arial"/>
                <w:color w:val="231F20"/>
                <w:sz w:val="15"/>
                <w:szCs w:val="15"/>
                <w:lang w:eastAsia="hr-HR"/>
              </w:rPr>
              <w:t xml:space="preserve"> </w:t>
            </w:r>
            <w:r w:rsidRPr="00754971">
              <w:rPr>
                <w:rFonts w:ascii="Arial" w:eastAsia="Arial" w:hAnsi="Arial" w:cs="Arial"/>
                <w:b/>
                <w:bCs/>
                <w:color w:val="231F20"/>
                <w:w w:val="92"/>
                <w:sz w:val="15"/>
                <w:szCs w:val="15"/>
                <w:lang w:eastAsia="hr-HR"/>
              </w:rPr>
              <w:t>p</w:t>
            </w:r>
            <w:r w:rsidRPr="00754971">
              <w:rPr>
                <w:rFonts w:ascii="Arial" w:eastAsia="Arial" w:hAnsi="Arial" w:cs="Arial"/>
                <w:b/>
                <w:bCs/>
                <w:color w:val="231F20"/>
                <w:w w:val="96"/>
                <w:sz w:val="15"/>
                <w:szCs w:val="15"/>
                <w:lang w:eastAsia="hr-HR"/>
              </w:rPr>
              <w:t>a</w:t>
            </w:r>
            <w:r w:rsidRPr="00754971">
              <w:rPr>
                <w:rFonts w:ascii="Arial" w:eastAsia="Arial" w:hAnsi="Arial" w:cs="Arial"/>
                <w:b/>
                <w:bCs/>
                <w:color w:val="231F20"/>
                <w:w w:val="94"/>
                <w:sz w:val="15"/>
                <w:szCs w:val="15"/>
                <w:lang w:eastAsia="hr-HR"/>
              </w:rPr>
              <w:t>r</w:t>
            </w:r>
            <w:r w:rsidRPr="00754971">
              <w:rPr>
                <w:rFonts w:ascii="Arial" w:eastAsia="Arial" w:hAnsi="Arial" w:cs="Arial"/>
                <w:b/>
                <w:bCs/>
                <w:color w:val="231F20"/>
                <w:w w:val="96"/>
                <w:sz w:val="15"/>
                <w:szCs w:val="15"/>
                <w:lang w:eastAsia="hr-HR"/>
              </w:rPr>
              <w:t>k</w:t>
            </w:r>
            <w:r w:rsidRPr="00754971">
              <w:rPr>
                <w:rFonts w:ascii="Arial" w:eastAsia="Arial" w:hAnsi="Arial" w:cs="Arial"/>
                <w:b/>
                <w:bCs/>
                <w:color w:val="231F20"/>
                <w:w w:val="95"/>
                <w:sz w:val="15"/>
                <w:szCs w:val="15"/>
                <w:lang w:eastAsia="hr-HR"/>
              </w:rPr>
              <w:t>i</w:t>
            </w:r>
            <w:r w:rsidRPr="00754971">
              <w:rPr>
                <w:rFonts w:ascii="Arial" w:eastAsia="Arial" w:hAnsi="Arial" w:cs="Arial"/>
                <w:b/>
                <w:bCs/>
                <w:color w:val="231F20"/>
                <w:spacing w:val="-2"/>
                <w:w w:val="94"/>
                <w:sz w:val="15"/>
                <w:szCs w:val="15"/>
                <w:lang w:eastAsia="hr-HR"/>
              </w:rPr>
              <w:t>r</w:t>
            </w:r>
            <w:r w:rsidRPr="00754971">
              <w:rPr>
                <w:rFonts w:ascii="Arial" w:eastAsia="Arial" w:hAnsi="Arial" w:cs="Arial"/>
                <w:b/>
                <w:bCs/>
                <w:color w:val="231F20"/>
                <w:w w:val="96"/>
                <w:sz w:val="15"/>
                <w:szCs w:val="15"/>
                <w:lang w:eastAsia="hr-HR"/>
              </w:rPr>
              <w:t>a</w:t>
            </w:r>
            <w:r w:rsidRPr="00754971">
              <w:rPr>
                <w:rFonts w:ascii="Arial" w:eastAsia="Arial" w:hAnsi="Arial" w:cs="Arial"/>
                <w:b/>
                <w:bCs/>
                <w:color w:val="231F20"/>
                <w:w w:val="92"/>
                <w:sz w:val="15"/>
                <w:szCs w:val="15"/>
                <w:lang w:eastAsia="hr-HR"/>
              </w:rPr>
              <w:t>n</w:t>
            </w:r>
            <w:r w:rsidRPr="00754971">
              <w:rPr>
                <w:rFonts w:ascii="Arial" w:eastAsia="Arial" w:hAnsi="Arial" w:cs="Arial"/>
                <w:b/>
                <w:bCs/>
                <w:color w:val="231F20"/>
                <w:w w:val="94"/>
                <w:sz w:val="15"/>
                <w:szCs w:val="15"/>
                <w:lang w:eastAsia="hr-HR"/>
              </w:rPr>
              <w:t>j</w:t>
            </w:r>
            <w:r w:rsidRPr="00754971">
              <w:rPr>
                <w:rFonts w:ascii="Arial" w:eastAsia="Arial" w:hAnsi="Arial" w:cs="Arial"/>
                <w:b/>
                <w:bCs/>
                <w:color w:val="231F20"/>
                <w:w w:val="96"/>
                <w:sz w:val="15"/>
                <w:szCs w:val="15"/>
                <w:lang w:eastAsia="hr-HR"/>
              </w:rPr>
              <w:t>a</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45227A8F"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56C48961"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2010</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4CD72860"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7534D86B"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2011</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075F7025"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735DE4E0"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2012</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7422505F"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63723509"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2013</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2F698318"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7DD70DFA"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2014</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3E401CFE"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3CA508C7"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2015</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224E7F3B"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3873B21B"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2016</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2" w:space="0" w:color="231F20"/>
            </w:tcBorders>
            <w:shd w:val="clear" w:color="auto" w:fill="FCD9E3"/>
            <w:tcMar>
              <w:top w:w="0" w:type="dxa"/>
              <w:left w:w="0" w:type="dxa"/>
              <w:bottom w:w="0" w:type="dxa"/>
              <w:right w:w="0" w:type="dxa"/>
            </w:tcMar>
          </w:tcPr>
          <w:p w14:paraId="49848E13"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7D4B47B0"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2017</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0" w:space="0" w:color="FCD9E3"/>
            </w:tcBorders>
            <w:shd w:val="clear" w:color="auto" w:fill="FCD9E3"/>
            <w:tcMar>
              <w:top w:w="0" w:type="dxa"/>
              <w:left w:w="0" w:type="dxa"/>
              <w:bottom w:w="0" w:type="dxa"/>
              <w:right w:w="0" w:type="dxa"/>
            </w:tcMar>
          </w:tcPr>
          <w:p w14:paraId="4C0A3481" w14:textId="77777777" w:rsidR="00C5315F" w:rsidRPr="00754971" w:rsidRDefault="00C5315F" w:rsidP="00072476">
            <w:pPr>
              <w:spacing w:after="7" w:line="140" w:lineRule="exact"/>
              <w:rPr>
                <w:rFonts w:ascii="Times New Roman" w:eastAsia="Times New Roman" w:hAnsi="Times New Roman"/>
                <w:sz w:val="14"/>
                <w:szCs w:val="14"/>
                <w:lang w:eastAsia="hr-HR"/>
              </w:rPr>
            </w:pPr>
          </w:p>
          <w:p w14:paraId="3E8D2596" w14:textId="77777777" w:rsidR="00C5315F" w:rsidRPr="00754971" w:rsidRDefault="00C5315F" w:rsidP="00072476">
            <w:pPr>
              <w:spacing w:after="0" w:line="240" w:lineRule="auto"/>
              <w:ind w:left="168" w:right="-20"/>
              <w:rPr>
                <w:rFonts w:ascii="Arial" w:eastAsia="Arial" w:hAnsi="Arial" w:cs="Arial"/>
                <w:b/>
                <w:bCs/>
                <w:color w:val="231F20"/>
                <w:w w:val="105"/>
                <w:sz w:val="15"/>
                <w:szCs w:val="15"/>
                <w:lang w:eastAsia="hr-HR"/>
              </w:rPr>
            </w:pPr>
            <w:r w:rsidRPr="00754971">
              <w:rPr>
                <w:rFonts w:ascii="Arial" w:eastAsia="Arial" w:hAnsi="Arial" w:cs="Arial"/>
                <w:b/>
                <w:bCs/>
                <w:color w:val="231F20"/>
                <w:w w:val="103"/>
                <w:sz w:val="15"/>
                <w:szCs w:val="15"/>
                <w:lang w:eastAsia="hr-HR"/>
              </w:rPr>
              <w:t>2018</w:t>
            </w:r>
            <w:r w:rsidRPr="00754971">
              <w:rPr>
                <w:rFonts w:ascii="Arial" w:eastAsia="Arial" w:hAnsi="Arial" w:cs="Arial"/>
                <w:b/>
                <w:bCs/>
                <w:color w:val="231F20"/>
                <w:w w:val="105"/>
                <w:sz w:val="15"/>
                <w:szCs w:val="15"/>
                <w:lang w:eastAsia="hr-HR"/>
              </w:rPr>
              <w:t>.</w:t>
            </w:r>
          </w:p>
        </w:tc>
        <w:tc>
          <w:tcPr>
            <w:tcW w:w="724" w:type="dxa"/>
            <w:tcBorders>
              <w:top w:val="single" w:sz="0" w:space="0" w:color="FCD9E3"/>
              <w:left w:val="single" w:sz="2" w:space="0" w:color="231F20"/>
              <w:bottom w:val="single" w:sz="8" w:space="0" w:color="231F20"/>
              <w:right w:val="single" w:sz="0" w:space="0" w:color="FCD9E3"/>
            </w:tcBorders>
            <w:shd w:val="clear" w:color="auto" w:fill="FCD9E3"/>
            <w:vAlign w:val="center"/>
          </w:tcPr>
          <w:p w14:paraId="47E7B479" w14:textId="77777777" w:rsidR="00C5315F" w:rsidRPr="002B4233" w:rsidRDefault="00C5315F" w:rsidP="00072476">
            <w:pPr>
              <w:spacing w:after="0" w:line="240" w:lineRule="auto"/>
              <w:ind w:left="168" w:right="-20"/>
              <w:rPr>
                <w:rFonts w:ascii="Arial" w:eastAsia="Arial" w:hAnsi="Arial" w:cs="Arial"/>
                <w:b/>
                <w:bCs/>
                <w:color w:val="231F20"/>
                <w:w w:val="103"/>
                <w:sz w:val="15"/>
                <w:szCs w:val="15"/>
                <w:lang w:eastAsia="hr-HR"/>
              </w:rPr>
            </w:pPr>
            <w:r w:rsidRPr="002B4233">
              <w:rPr>
                <w:rFonts w:ascii="Arial" w:eastAsia="Arial" w:hAnsi="Arial" w:cs="Arial"/>
                <w:b/>
                <w:bCs/>
                <w:color w:val="231F20"/>
                <w:w w:val="103"/>
                <w:sz w:val="15"/>
                <w:szCs w:val="15"/>
                <w:lang w:eastAsia="hr-HR"/>
              </w:rPr>
              <w:t>2019.</w:t>
            </w:r>
          </w:p>
        </w:tc>
      </w:tr>
      <w:tr w:rsidR="00C5315F" w:rsidRPr="00754971" w14:paraId="73A5C065" w14:textId="77777777" w:rsidTr="00072476">
        <w:trPr>
          <w:cantSplit/>
          <w:trHeight w:hRule="exact" w:val="280"/>
          <w:jc w:val="center"/>
        </w:trPr>
        <w:tc>
          <w:tcPr>
            <w:tcW w:w="962" w:type="dxa"/>
            <w:tcBorders>
              <w:top w:val="single" w:sz="8" w:space="0" w:color="231F20"/>
              <w:bottom w:val="single" w:sz="2" w:space="0" w:color="918F8F"/>
              <w:right w:val="single" w:sz="2" w:space="0" w:color="231F20"/>
            </w:tcBorders>
            <w:tcMar>
              <w:top w:w="0" w:type="dxa"/>
              <w:left w:w="0" w:type="dxa"/>
              <w:bottom w:w="0" w:type="dxa"/>
              <w:right w:w="0" w:type="dxa"/>
            </w:tcMar>
          </w:tcPr>
          <w:p w14:paraId="5F062C36" w14:textId="77777777" w:rsidR="00C5315F" w:rsidRPr="00754971" w:rsidRDefault="00C5315F" w:rsidP="00072476">
            <w:pPr>
              <w:spacing w:before="66" w:after="0" w:line="240" w:lineRule="auto"/>
              <w:ind w:left="80" w:right="-20"/>
              <w:rPr>
                <w:rFonts w:ascii="Arial" w:eastAsia="Arial" w:hAnsi="Arial" w:cs="Arial"/>
                <w:b/>
                <w:bCs/>
                <w:color w:val="231F20"/>
                <w:w w:val="92"/>
                <w:sz w:val="15"/>
                <w:szCs w:val="15"/>
                <w:lang w:eastAsia="hr-HR"/>
              </w:rPr>
            </w:pPr>
            <w:r w:rsidRPr="00754971">
              <w:rPr>
                <w:rFonts w:ascii="Arial" w:eastAsia="Arial" w:hAnsi="Arial" w:cs="Arial"/>
                <w:b/>
                <w:bCs/>
                <w:color w:val="231F20"/>
                <w:w w:val="91"/>
                <w:sz w:val="15"/>
                <w:szCs w:val="15"/>
                <w:lang w:eastAsia="hr-HR"/>
              </w:rPr>
              <w:t>U</w:t>
            </w:r>
            <w:r w:rsidRPr="00754971">
              <w:rPr>
                <w:rFonts w:ascii="Arial" w:eastAsia="Arial" w:hAnsi="Arial" w:cs="Arial"/>
                <w:b/>
                <w:bCs/>
                <w:color w:val="231F20"/>
                <w:w w:val="96"/>
                <w:sz w:val="15"/>
                <w:szCs w:val="15"/>
                <w:lang w:eastAsia="hr-HR"/>
              </w:rPr>
              <w:t>k</w:t>
            </w:r>
            <w:r w:rsidRPr="00754971">
              <w:rPr>
                <w:rFonts w:ascii="Arial" w:eastAsia="Arial" w:hAnsi="Arial" w:cs="Arial"/>
                <w:b/>
                <w:bCs/>
                <w:color w:val="231F20"/>
                <w:w w:val="92"/>
                <w:sz w:val="15"/>
                <w:szCs w:val="15"/>
                <w:lang w:eastAsia="hr-HR"/>
              </w:rPr>
              <w:t>upno</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0ADB00A4" w14:textId="77777777" w:rsidR="00C5315F" w:rsidRPr="00754971" w:rsidRDefault="00C5315F" w:rsidP="00072476">
            <w:pPr>
              <w:spacing w:before="66" w:after="0" w:line="240" w:lineRule="auto"/>
              <w:ind w:left="177"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25</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622</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0EB45212" w14:textId="77777777" w:rsidR="00C5315F" w:rsidRPr="00754971" w:rsidRDefault="00C5315F" w:rsidP="00072476">
            <w:pPr>
              <w:spacing w:before="66" w:after="0" w:line="240" w:lineRule="auto"/>
              <w:ind w:left="177"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26</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061</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36BD42BF" w14:textId="77777777" w:rsidR="00C5315F" w:rsidRPr="00754971" w:rsidRDefault="00C5315F" w:rsidP="00072476">
            <w:pPr>
              <w:spacing w:before="66" w:after="0" w:line="240" w:lineRule="auto"/>
              <w:ind w:left="177"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25</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664</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15B67ACC" w14:textId="77777777" w:rsidR="00C5315F" w:rsidRPr="00754971" w:rsidRDefault="00C5315F" w:rsidP="00072476">
            <w:pPr>
              <w:spacing w:before="66" w:after="0" w:line="240" w:lineRule="auto"/>
              <w:ind w:left="177"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26</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451</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14919CAF" w14:textId="77777777" w:rsidR="00C5315F" w:rsidRPr="00754971" w:rsidRDefault="00C5315F" w:rsidP="00072476">
            <w:pPr>
              <w:spacing w:before="66" w:after="0" w:line="240" w:lineRule="auto"/>
              <w:ind w:left="177"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30</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502</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31349E5F" w14:textId="77777777" w:rsidR="00C5315F" w:rsidRPr="00754971" w:rsidRDefault="00C5315F" w:rsidP="00072476">
            <w:pPr>
              <w:spacing w:before="66" w:after="0" w:line="240" w:lineRule="auto"/>
              <w:ind w:left="177"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30</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618</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4AAC7036" w14:textId="77777777" w:rsidR="00C5315F" w:rsidRPr="00754971" w:rsidRDefault="00C5315F" w:rsidP="00072476">
            <w:pPr>
              <w:spacing w:before="66" w:after="0" w:line="240" w:lineRule="auto"/>
              <w:ind w:left="177"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33</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212</w:t>
            </w:r>
          </w:p>
        </w:tc>
        <w:tc>
          <w:tcPr>
            <w:tcW w:w="724" w:type="dxa"/>
            <w:tcBorders>
              <w:top w:val="single" w:sz="8" w:space="0" w:color="231F20"/>
              <w:left w:val="single" w:sz="2" w:space="0" w:color="231F20"/>
              <w:bottom w:val="single" w:sz="2" w:space="0" w:color="918F8F"/>
              <w:right w:val="single" w:sz="2" w:space="0" w:color="231F20"/>
            </w:tcBorders>
            <w:tcMar>
              <w:top w:w="0" w:type="dxa"/>
              <w:left w:w="0" w:type="dxa"/>
              <w:bottom w:w="0" w:type="dxa"/>
              <w:right w:w="0" w:type="dxa"/>
            </w:tcMar>
          </w:tcPr>
          <w:p w14:paraId="5459AF51" w14:textId="77777777" w:rsidR="00C5315F" w:rsidRPr="00754971" w:rsidRDefault="00C5315F" w:rsidP="00072476">
            <w:pPr>
              <w:spacing w:before="66" w:after="0" w:line="240" w:lineRule="auto"/>
              <w:ind w:left="178"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35</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105</w:t>
            </w:r>
          </w:p>
        </w:tc>
        <w:tc>
          <w:tcPr>
            <w:tcW w:w="724" w:type="dxa"/>
            <w:tcBorders>
              <w:top w:val="single" w:sz="8" w:space="0" w:color="231F20"/>
              <w:left w:val="single" w:sz="2" w:space="0" w:color="231F20"/>
              <w:bottom w:val="single" w:sz="2" w:space="0" w:color="918F8F"/>
            </w:tcBorders>
            <w:tcMar>
              <w:top w:w="0" w:type="dxa"/>
              <w:left w:w="0" w:type="dxa"/>
              <w:bottom w:w="0" w:type="dxa"/>
              <w:right w:w="0" w:type="dxa"/>
            </w:tcMar>
          </w:tcPr>
          <w:p w14:paraId="0FA79F41" w14:textId="77777777" w:rsidR="00C5315F" w:rsidRPr="00754971" w:rsidRDefault="00C5315F" w:rsidP="00072476">
            <w:pPr>
              <w:spacing w:before="66" w:after="0" w:line="240" w:lineRule="auto"/>
              <w:ind w:left="178" w:right="-20"/>
              <w:rPr>
                <w:rFonts w:ascii="Arial" w:eastAsia="Arial" w:hAnsi="Arial" w:cs="Arial"/>
                <w:b/>
                <w:bCs/>
                <w:color w:val="231F20"/>
                <w:w w:val="103"/>
                <w:sz w:val="15"/>
                <w:szCs w:val="15"/>
                <w:lang w:eastAsia="hr-HR"/>
              </w:rPr>
            </w:pPr>
            <w:r w:rsidRPr="00754971">
              <w:rPr>
                <w:rFonts w:ascii="Arial" w:eastAsia="Arial" w:hAnsi="Arial" w:cs="Arial"/>
                <w:b/>
                <w:bCs/>
                <w:color w:val="231F20"/>
                <w:w w:val="103"/>
                <w:sz w:val="15"/>
                <w:szCs w:val="15"/>
                <w:lang w:eastAsia="hr-HR"/>
              </w:rPr>
              <w:t>35</w:t>
            </w:r>
            <w:r w:rsidRPr="00754971">
              <w:rPr>
                <w:rFonts w:ascii="Arial" w:eastAsia="Arial" w:hAnsi="Arial" w:cs="Arial"/>
                <w:color w:val="231F20"/>
                <w:spacing w:val="-4"/>
                <w:sz w:val="15"/>
                <w:szCs w:val="15"/>
                <w:lang w:eastAsia="hr-HR"/>
              </w:rPr>
              <w:t xml:space="preserve"> </w:t>
            </w:r>
            <w:r w:rsidRPr="00754971">
              <w:rPr>
                <w:rFonts w:ascii="Arial" w:eastAsia="Arial" w:hAnsi="Arial" w:cs="Arial"/>
                <w:b/>
                <w:bCs/>
                <w:color w:val="231F20"/>
                <w:w w:val="103"/>
                <w:sz w:val="15"/>
                <w:szCs w:val="15"/>
                <w:lang w:eastAsia="hr-HR"/>
              </w:rPr>
              <w:t>937</w:t>
            </w:r>
          </w:p>
        </w:tc>
        <w:tc>
          <w:tcPr>
            <w:tcW w:w="724" w:type="dxa"/>
            <w:tcBorders>
              <w:top w:val="single" w:sz="8" w:space="0" w:color="231F20"/>
              <w:left w:val="single" w:sz="2" w:space="0" w:color="231F20"/>
              <w:bottom w:val="single" w:sz="2" w:space="0" w:color="918F8F"/>
            </w:tcBorders>
            <w:vAlign w:val="center"/>
          </w:tcPr>
          <w:p w14:paraId="2C953883" w14:textId="77777777" w:rsidR="00C5315F" w:rsidRPr="002B4233" w:rsidRDefault="00C5315F" w:rsidP="00072476">
            <w:pPr>
              <w:spacing w:before="66" w:after="0" w:line="240" w:lineRule="auto"/>
              <w:ind w:left="178" w:right="-20"/>
              <w:jc w:val="right"/>
              <w:rPr>
                <w:rFonts w:ascii="Arial" w:eastAsia="Arial" w:hAnsi="Arial" w:cs="Arial"/>
                <w:b/>
                <w:bCs/>
                <w:color w:val="231F20"/>
                <w:w w:val="103"/>
                <w:sz w:val="15"/>
                <w:szCs w:val="15"/>
                <w:lang w:eastAsia="hr-HR"/>
              </w:rPr>
            </w:pPr>
            <w:r w:rsidRPr="002B4233">
              <w:rPr>
                <w:rFonts w:ascii="Arial" w:eastAsia="Arial" w:hAnsi="Arial" w:cs="Arial"/>
                <w:b/>
                <w:bCs/>
                <w:color w:val="231F20"/>
                <w:w w:val="103"/>
                <w:sz w:val="15"/>
                <w:szCs w:val="15"/>
                <w:lang w:eastAsia="hr-HR"/>
              </w:rPr>
              <w:t>37 226</w:t>
            </w:r>
          </w:p>
        </w:tc>
      </w:tr>
      <w:tr w:rsidR="00C5315F" w:rsidRPr="00754971" w14:paraId="33CDF7F1" w14:textId="77777777" w:rsidTr="00072476">
        <w:trPr>
          <w:cantSplit/>
          <w:trHeight w:hRule="exact" w:val="272"/>
          <w:jc w:val="center"/>
        </w:trPr>
        <w:tc>
          <w:tcPr>
            <w:tcW w:w="962" w:type="dxa"/>
            <w:tcBorders>
              <w:top w:val="single" w:sz="2" w:space="0" w:color="918F8F"/>
              <w:left w:val="single" w:sz="0" w:space="0" w:color="FCD9E3"/>
              <w:bottom w:val="single" w:sz="2" w:space="0" w:color="918F8F"/>
              <w:right w:val="single" w:sz="2" w:space="0" w:color="231F20"/>
            </w:tcBorders>
            <w:shd w:val="clear" w:color="auto" w:fill="FCD9E3"/>
            <w:tcMar>
              <w:top w:w="0" w:type="dxa"/>
              <w:left w:w="0" w:type="dxa"/>
              <w:bottom w:w="0" w:type="dxa"/>
              <w:right w:w="0" w:type="dxa"/>
            </w:tcMar>
          </w:tcPr>
          <w:p w14:paraId="38D2D57B" w14:textId="77777777" w:rsidR="00C5315F" w:rsidRPr="00754971" w:rsidRDefault="00C5315F" w:rsidP="00072476">
            <w:pPr>
              <w:spacing w:before="59" w:after="0" w:line="240" w:lineRule="auto"/>
              <w:ind w:left="81" w:right="-20"/>
              <w:rPr>
                <w:rFonts w:ascii="Arial" w:eastAsia="Arial" w:hAnsi="Arial" w:cs="Arial"/>
                <w:color w:val="231F20"/>
                <w:w w:val="96"/>
                <w:sz w:val="15"/>
                <w:szCs w:val="15"/>
                <w:lang w:eastAsia="hr-HR"/>
              </w:rPr>
            </w:pPr>
            <w:r w:rsidRPr="00754971">
              <w:rPr>
                <w:rFonts w:ascii="Arial" w:eastAsia="Arial" w:hAnsi="Arial" w:cs="Arial"/>
                <w:color w:val="231F20"/>
                <w:w w:val="96"/>
                <w:sz w:val="15"/>
                <w:szCs w:val="15"/>
                <w:lang w:eastAsia="hr-HR"/>
              </w:rPr>
              <w:t>I</w:t>
            </w:r>
            <w:r w:rsidRPr="00754971">
              <w:rPr>
                <w:rFonts w:ascii="Arial" w:eastAsia="Arial" w:hAnsi="Arial" w:cs="Arial"/>
                <w:color w:val="231F20"/>
                <w:w w:val="86"/>
                <w:sz w:val="15"/>
                <w:szCs w:val="15"/>
                <w:lang w:eastAsia="hr-HR"/>
              </w:rPr>
              <w:t>.</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pacing w:val="-1"/>
                <w:w w:val="97"/>
                <w:sz w:val="15"/>
                <w:szCs w:val="15"/>
                <w:lang w:eastAsia="hr-HR"/>
              </w:rPr>
              <w:t>z</w:t>
            </w:r>
            <w:r w:rsidRPr="00754971">
              <w:rPr>
                <w:rFonts w:ascii="Arial" w:eastAsia="Arial" w:hAnsi="Arial" w:cs="Arial"/>
                <w:color w:val="231F20"/>
                <w:w w:val="101"/>
                <w:sz w:val="15"/>
                <w:szCs w:val="15"/>
                <w:lang w:eastAsia="hr-HR"/>
              </w:rPr>
              <w:t>o</w:t>
            </w:r>
            <w:r w:rsidRPr="00754971">
              <w:rPr>
                <w:rFonts w:ascii="Arial" w:eastAsia="Arial" w:hAnsi="Arial" w:cs="Arial"/>
                <w:color w:val="231F20"/>
                <w:w w:val="99"/>
                <w:sz w:val="15"/>
                <w:szCs w:val="15"/>
                <w:lang w:eastAsia="hr-HR"/>
              </w:rPr>
              <w:t>n</w:t>
            </w:r>
            <w:r w:rsidRPr="00754971">
              <w:rPr>
                <w:rFonts w:ascii="Arial" w:eastAsia="Arial" w:hAnsi="Arial" w:cs="Arial"/>
                <w:color w:val="231F20"/>
                <w:w w:val="96"/>
                <w:sz w:val="15"/>
                <w:szCs w:val="15"/>
                <w:lang w:eastAsia="hr-HR"/>
              </w:rPr>
              <w:t>a</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0B54B404" w14:textId="77777777" w:rsidR="00C5315F" w:rsidRPr="00754971" w:rsidRDefault="00C5315F" w:rsidP="00072476">
            <w:pPr>
              <w:spacing w:before="59" w:after="0" w:line="240" w:lineRule="auto"/>
              <w:ind w:left="276"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6</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595</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B8AB93F" w14:textId="77777777" w:rsidR="00C5315F" w:rsidRPr="00754971" w:rsidRDefault="00C5315F" w:rsidP="00072476">
            <w:pPr>
              <w:spacing w:before="59" w:after="0" w:line="240" w:lineRule="auto"/>
              <w:ind w:left="276"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6</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195</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23F17DC8" w14:textId="77777777" w:rsidR="00C5315F" w:rsidRPr="00754971" w:rsidRDefault="00C5315F" w:rsidP="00072476">
            <w:pPr>
              <w:spacing w:before="59" w:after="0" w:line="240" w:lineRule="auto"/>
              <w:ind w:left="276"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6</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262</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0273179C" w14:textId="77777777" w:rsidR="00C5315F" w:rsidRPr="00754971" w:rsidRDefault="00C5315F" w:rsidP="00072476">
            <w:pPr>
              <w:spacing w:before="59" w:after="0" w:line="240" w:lineRule="auto"/>
              <w:ind w:left="27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6</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276</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145D66C2" w14:textId="77777777" w:rsidR="00C5315F" w:rsidRPr="00754971" w:rsidRDefault="00C5315F" w:rsidP="00072476">
            <w:pPr>
              <w:spacing w:before="59" w:after="0" w:line="240" w:lineRule="auto"/>
              <w:ind w:left="27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540</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5E3BE4F6" w14:textId="77777777" w:rsidR="00C5315F" w:rsidRPr="00754971" w:rsidRDefault="00C5315F" w:rsidP="00072476">
            <w:pPr>
              <w:spacing w:before="59" w:after="0" w:line="240" w:lineRule="auto"/>
              <w:ind w:left="27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649</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ACBA2F6" w14:textId="77777777" w:rsidR="00C5315F" w:rsidRPr="00754971" w:rsidRDefault="00C5315F" w:rsidP="00072476">
            <w:pPr>
              <w:spacing w:before="59" w:after="0" w:line="240" w:lineRule="auto"/>
              <w:ind w:left="27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656</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13778EE" w14:textId="77777777" w:rsidR="00C5315F" w:rsidRPr="00754971" w:rsidRDefault="00C5315F" w:rsidP="00072476">
            <w:pPr>
              <w:spacing w:before="59" w:after="0" w:line="240" w:lineRule="auto"/>
              <w:ind w:left="27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683</w:t>
            </w:r>
          </w:p>
        </w:tc>
        <w:tc>
          <w:tcPr>
            <w:tcW w:w="724" w:type="dxa"/>
            <w:tcBorders>
              <w:top w:val="single" w:sz="2" w:space="0" w:color="918F8F"/>
              <w:left w:val="single" w:sz="2" w:space="0" w:color="231F20"/>
              <w:bottom w:val="single" w:sz="2" w:space="0" w:color="918F8F"/>
              <w:right w:val="single" w:sz="0" w:space="0" w:color="FCD9E3"/>
            </w:tcBorders>
            <w:shd w:val="clear" w:color="auto" w:fill="FCD9E3"/>
            <w:tcMar>
              <w:top w:w="0" w:type="dxa"/>
              <w:left w:w="0" w:type="dxa"/>
              <w:bottom w:w="0" w:type="dxa"/>
              <w:right w:w="0" w:type="dxa"/>
            </w:tcMar>
          </w:tcPr>
          <w:p w14:paraId="382719D4" w14:textId="77777777" w:rsidR="00C5315F" w:rsidRPr="00754971" w:rsidRDefault="00C5315F" w:rsidP="00072476">
            <w:pPr>
              <w:spacing w:before="59" w:after="0" w:line="240" w:lineRule="auto"/>
              <w:ind w:left="27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668</w:t>
            </w:r>
          </w:p>
        </w:tc>
        <w:tc>
          <w:tcPr>
            <w:tcW w:w="724" w:type="dxa"/>
            <w:tcBorders>
              <w:top w:val="single" w:sz="2" w:space="0" w:color="918F8F"/>
              <w:left w:val="single" w:sz="2" w:space="0" w:color="231F20"/>
              <w:bottom w:val="single" w:sz="2" w:space="0" w:color="918F8F"/>
              <w:right w:val="single" w:sz="0" w:space="0" w:color="FCD9E3"/>
            </w:tcBorders>
            <w:shd w:val="clear" w:color="auto" w:fill="FCD9E3"/>
            <w:vAlign w:val="center"/>
          </w:tcPr>
          <w:p w14:paraId="4F16ABE9" w14:textId="77777777" w:rsidR="00C5315F" w:rsidRPr="002B4233" w:rsidRDefault="00C5315F" w:rsidP="00072476">
            <w:pPr>
              <w:spacing w:before="66" w:after="0" w:line="240" w:lineRule="auto"/>
              <w:ind w:left="178" w:right="-20"/>
              <w:jc w:val="right"/>
              <w:rPr>
                <w:rFonts w:ascii="Arial" w:eastAsia="Arial" w:hAnsi="Arial" w:cs="Arial"/>
                <w:color w:val="231F20"/>
                <w:w w:val="103"/>
                <w:sz w:val="15"/>
                <w:szCs w:val="15"/>
                <w:lang w:eastAsia="hr-HR"/>
              </w:rPr>
            </w:pPr>
            <w:r w:rsidRPr="002B4233">
              <w:rPr>
                <w:rFonts w:ascii="Arial" w:eastAsia="Arial" w:hAnsi="Arial" w:cs="Arial"/>
                <w:color w:val="231F20"/>
                <w:w w:val="103"/>
                <w:sz w:val="15"/>
                <w:szCs w:val="15"/>
                <w:lang w:eastAsia="hr-HR"/>
              </w:rPr>
              <w:t>7 977</w:t>
            </w:r>
          </w:p>
        </w:tc>
      </w:tr>
      <w:tr w:rsidR="00C5315F" w:rsidRPr="00754971" w14:paraId="10F6BB3B" w14:textId="77777777" w:rsidTr="00072476">
        <w:trPr>
          <w:cantSplit/>
          <w:trHeight w:hRule="exact" w:val="272"/>
          <w:jc w:val="center"/>
        </w:trPr>
        <w:tc>
          <w:tcPr>
            <w:tcW w:w="962" w:type="dxa"/>
            <w:tcBorders>
              <w:top w:val="single" w:sz="2" w:space="0" w:color="918F8F"/>
              <w:bottom w:val="single" w:sz="2" w:space="0" w:color="918F8F"/>
              <w:right w:val="single" w:sz="2" w:space="0" w:color="231F20"/>
            </w:tcBorders>
            <w:tcMar>
              <w:top w:w="0" w:type="dxa"/>
              <w:left w:w="0" w:type="dxa"/>
              <w:bottom w:w="0" w:type="dxa"/>
              <w:right w:w="0" w:type="dxa"/>
            </w:tcMar>
          </w:tcPr>
          <w:p w14:paraId="7FAD9A69" w14:textId="77777777" w:rsidR="00C5315F" w:rsidRPr="00754971" w:rsidRDefault="00C5315F" w:rsidP="00072476">
            <w:pPr>
              <w:spacing w:before="59" w:after="0" w:line="240" w:lineRule="auto"/>
              <w:ind w:left="81" w:right="-20"/>
              <w:rPr>
                <w:rFonts w:ascii="Arial" w:eastAsia="Arial" w:hAnsi="Arial" w:cs="Arial"/>
                <w:color w:val="231F20"/>
                <w:w w:val="96"/>
                <w:sz w:val="15"/>
                <w:szCs w:val="15"/>
                <w:lang w:eastAsia="hr-HR"/>
              </w:rPr>
            </w:pPr>
            <w:r w:rsidRPr="00754971">
              <w:rPr>
                <w:rFonts w:ascii="Arial" w:eastAsia="Arial" w:hAnsi="Arial" w:cs="Arial"/>
                <w:color w:val="231F20"/>
                <w:w w:val="96"/>
                <w:sz w:val="15"/>
                <w:szCs w:val="15"/>
                <w:lang w:eastAsia="hr-HR"/>
              </w:rPr>
              <w:t>I</w:t>
            </w:r>
            <w:r w:rsidRPr="00754971">
              <w:rPr>
                <w:rFonts w:ascii="Arial" w:eastAsia="Arial" w:hAnsi="Arial" w:cs="Arial"/>
                <w:color w:val="231F20"/>
                <w:w w:val="86"/>
                <w:sz w:val="15"/>
                <w:szCs w:val="15"/>
                <w:lang w:eastAsia="hr-HR"/>
              </w:rPr>
              <w:t>.</w:t>
            </w:r>
            <w:r w:rsidRPr="00754971">
              <w:rPr>
                <w:rFonts w:ascii="Arial" w:eastAsia="Arial" w:hAnsi="Arial" w:cs="Arial"/>
                <w:color w:val="231F20"/>
                <w:sz w:val="15"/>
                <w:szCs w:val="15"/>
                <w:lang w:eastAsia="hr-HR"/>
              </w:rPr>
              <w:t>1</w:t>
            </w:r>
            <w:r w:rsidRPr="00754971">
              <w:rPr>
                <w:rFonts w:ascii="Arial" w:eastAsia="Arial" w:hAnsi="Arial" w:cs="Arial"/>
                <w:color w:val="231F20"/>
                <w:w w:val="86"/>
                <w:sz w:val="15"/>
                <w:szCs w:val="15"/>
                <w:lang w:eastAsia="hr-HR"/>
              </w:rPr>
              <w:t>.</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pacing w:val="-1"/>
                <w:w w:val="97"/>
                <w:sz w:val="15"/>
                <w:szCs w:val="15"/>
                <w:lang w:eastAsia="hr-HR"/>
              </w:rPr>
              <w:t>z</w:t>
            </w:r>
            <w:r w:rsidRPr="00754971">
              <w:rPr>
                <w:rFonts w:ascii="Arial" w:eastAsia="Arial" w:hAnsi="Arial" w:cs="Arial"/>
                <w:color w:val="231F20"/>
                <w:w w:val="101"/>
                <w:sz w:val="15"/>
                <w:szCs w:val="15"/>
                <w:lang w:eastAsia="hr-HR"/>
              </w:rPr>
              <w:t>o</w:t>
            </w:r>
            <w:r w:rsidRPr="00754971">
              <w:rPr>
                <w:rFonts w:ascii="Arial" w:eastAsia="Arial" w:hAnsi="Arial" w:cs="Arial"/>
                <w:color w:val="231F20"/>
                <w:w w:val="99"/>
                <w:sz w:val="15"/>
                <w:szCs w:val="15"/>
                <w:lang w:eastAsia="hr-HR"/>
              </w:rPr>
              <w:t>n</w:t>
            </w:r>
            <w:r w:rsidRPr="00754971">
              <w:rPr>
                <w:rFonts w:ascii="Arial" w:eastAsia="Arial" w:hAnsi="Arial" w:cs="Arial"/>
                <w:color w:val="231F20"/>
                <w:w w:val="96"/>
                <w:sz w:val="15"/>
                <w:szCs w:val="15"/>
                <w:lang w:eastAsia="hr-HR"/>
              </w:rPr>
              <w:t>a</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4209A162"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06811488"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20FD5669"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31E8CC0B"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4AE889ED"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56003152" w14:textId="77777777" w:rsidR="00C5315F" w:rsidRPr="00754971" w:rsidRDefault="00C5315F" w:rsidP="00072476">
            <w:pPr>
              <w:spacing w:before="59" w:after="0" w:line="240" w:lineRule="auto"/>
              <w:ind w:left="39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213</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60710A07" w14:textId="77777777" w:rsidR="00C5315F" w:rsidRPr="00754971" w:rsidRDefault="00C5315F" w:rsidP="00072476">
            <w:pPr>
              <w:spacing w:before="59" w:after="0" w:line="240" w:lineRule="auto"/>
              <w:ind w:left="39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213</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6B9A9651" w14:textId="77777777" w:rsidR="00C5315F" w:rsidRPr="00754971" w:rsidRDefault="00C5315F" w:rsidP="00072476">
            <w:pPr>
              <w:spacing w:before="59" w:after="0" w:line="240" w:lineRule="auto"/>
              <w:ind w:left="39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213</w:t>
            </w:r>
          </w:p>
        </w:tc>
        <w:tc>
          <w:tcPr>
            <w:tcW w:w="724" w:type="dxa"/>
            <w:tcBorders>
              <w:top w:val="single" w:sz="2" w:space="0" w:color="918F8F"/>
              <w:left w:val="single" w:sz="2" w:space="0" w:color="231F20"/>
              <w:bottom w:val="single" w:sz="2" w:space="0" w:color="918F8F"/>
            </w:tcBorders>
            <w:tcMar>
              <w:top w:w="0" w:type="dxa"/>
              <w:left w:w="0" w:type="dxa"/>
              <w:bottom w:w="0" w:type="dxa"/>
              <w:right w:w="0" w:type="dxa"/>
            </w:tcMar>
          </w:tcPr>
          <w:p w14:paraId="24859139" w14:textId="77777777" w:rsidR="00C5315F" w:rsidRPr="00754971" w:rsidRDefault="00C5315F" w:rsidP="00072476">
            <w:pPr>
              <w:spacing w:before="59" w:after="0" w:line="240" w:lineRule="auto"/>
              <w:ind w:left="39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213</w:t>
            </w:r>
          </w:p>
        </w:tc>
        <w:tc>
          <w:tcPr>
            <w:tcW w:w="724" w:type="dxa"/>
            <w:tcBorders>
              <w:top w:val="single" w:sz="2" w:space="0" w:color="918F8F"/>
              <w:left w:val="single" w:sz="2" w:space="0" w:color="231F20"/>
              <w:bottom w:val="single" w:sz="2" w:space="0" w:color="918F8F"/>
            </w:tcBorders>
            <w:vAlign w:val="center"/>
          </w:tcPr>
          <w:p w14:paraId="3320EB7C" w14:textId="77777777" w:rsidR="00C5315F" w:rsidRPr="002B4233" w:rsidRDefault="00C5315F" w:rsidP="00072476">
            <w:pPr>
              <w:spacing w:before="66" w:after="0" w:line="240" w:lineRule="auto"/>
              <w:ind w:left="178" w:right="-20"/>
              <w:jc w:val="right"/>
              <w:rPr>
                <w:rFonts w:ascii="Arial" w:eastAsia="Arial" w:hAnsi="Arial" w:cs="Arial"/>
                <w:color w:val="231F20"/>
                <w:w w:val="103"/>
                <w:sz w:val="15"/>
                <w:szCs w:val="15"/>
                <w:lang w:eastAsia="hr-HR"/>
              </w:rPr>
            </w:pPr>
            <w:r w:rsidRPr="002B4233">
              <w:rPr>
                <w:rFonts w:ascii="Arial" w:eastAsia="Arial" w:hAnsi="Arial" w:cs="Arial"/>
                <w:color w:val="231F20"/>
                <w:w w:val="103"/>
                <w:sz w:val="15"/>
                <w:szCs w:val="15"/>
                <w:lang w:eastAsia="hr-HR"/>
              </w:rPr>
              <w:t>213</w:t>
            </w:r>
          </w:p>
        </w:tc>
      </w:tr>
      <w:tr w:rsidR="00C5315F" w:rsidRPr="00754971" w14:paraId="51A53D01" w14:textId="77777777" w:rsidTr="00072476">
        <w:trPr>
          <w:cantSplit/>
          <w:trHeight w:hRule="exact" w:val="272"/>
          <w:jc w:val="center"/>
        </w:trPr>
        <w:tc>
          <w:tcPr>
            <w:tcW w:w="962" w:type="dxa"/>
            <w:tcBorders>
              <w:top w:val="single" w:sz="2" w:space="0" w:color="918F8F"/>
              <w:left w:val="single" w:sz="0" w:space="0" w:color="FCD9E3"/>
              <w:bottom w:val="single" w:sz="2" w:space="0" w:color="918F8F"/>
              <w:right w:val="single" w:sz="2" w:space="0" w:color="231F20"/>
            </w:tcBorders>
            <w:shd w:val="clear" w:color="auto" w:fill="FCD9E3"/>
            <w:tcMar>
              <w:top w:w="0" w:type="dxa"/>
              <w:left w:w="0" w:type="dxa"/>
              <w:bottom w:w="0" w:type="dxa"/>
              <w:right w:w="0" w:type="dxa"/>
            </w:tcMar>
          </w:tcPr>
          <w:p w14:paraId="64798F56" w14:textId="77777777" w:rsidR="00C5315F" w:rsidRPr="00754971" w:rsidRDefault="00C5315F" w:rsidP="00072476">
            <w:pPr>
              <w:spacing w:before="59" w:after="0" w:line="240" w:lineRule="auto"/>
              <w:ind w:left="82" w:right="-20"/>
              <w:rPr>
                <w:rFonts w:ascii="Arial" w:eastAsia="Arial" w:hAnsi="Arial" w:cs="Arial"/>
                <w:color w:val="231F20"/>
                <w:w w:val="96"/>
                <w:sz w:val="15"/>
                <w:szCs w:val="15"/>
                <w:lang w:eastAsia="hr-HR"/>
              </w:rPr>
            </w:pPr>
            <w:r w:rsidRPr="00754971">
              <w:rPr>
                <w:rFonts w:ascii="Arial" w:eastAsia="Arial" w:hAnsi="Arial" w:cs="Arial"/>
                <w:color w:val="231F20"/>
                <w:w w:val="96"/>
                <w:sz w:val="15"/>
                <w:szCs w:val="15"/>
                <w:lang w:eastAsia="hr-HR"/>
              </w:rPr>
              <w:t>I</w:t>
            </w:r>
            <w:r w:rsidRPr="00754971">
              <w:rPr>
                <w:rFonts w:ascii="Arial" w:eastAsia="Arial" w:hAnsi="Arial" w:cs="Arial"/>
                <w:color w:val="231F20"/>
                <w:w w:val="86"/>
                <w:sz w:val="15"/>
                <w:szCs w:val="15"/>
                <w:lang w:eastAsia="hr-HR"/>
              </w:rPr>
              <w:t>.</w:t>
            </w:r>
            <w:r w:rsidRPr="00754971">
              <w:rPr>
                <w:rFonts w:ascii="Arial" w:eastAsia="Arial" w:hAnsi="Arial" w:cs="Arial"/>
                <w:color w:val="231F20"/>
                <w:sz w:val="15"/>
                <w:szCs w:val="15"/>
                <w:lang w:eastAsia="hr-HR"/>
              </w:rPr>
              <w:t>2</w:t>
            </w:r>
            <w:r w:rsidRPr="00754971">
              <w:rPr>
                <w:rFonts w:ascii="Arial" w:eastAsia="Arial" w:hAnsi="Arial" w:cs="Arial"/>
                <w:color w:val="231F20"/>
                <w:w w:val="86"/>
                <w:sz w:val="15"/>
                <w:szCs w:val="15"/>
                <w:lang w:eastAsia="hr-HR"/>
              </w:rPr>
              <w:t>.</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pacing w:val="-1"/>
                <w:w w:val="97"/>
                <w:sz w:val="15"/>
                <w:szCs w:val="15"/>
                <w:lang w:eastAsia="hr-HR"/>
              </w:rPr>
              <w:t>z</w:t>
            </w:r>
            <w:r w:rsidRPr="00754971">
              <w:rPr>
                <w:rFonts w:ascii="Arial" w:eastAsia="Arial" w:hAnsi="Arial" w:cs="Arial"/>
                <w:color w:val="231F20"/>
                <w:w w:val="101"/>
                <w:sz w:val="15"/>
                <w:szCs w:val="15"/>
                <w:lang w:eastAsia="hr-HR"/>
              </w:rPr>
              <w:t>o</w:t>
            </w:r>
            <w:r w:rsidRPr="00754971">
              <w:rPr>
                <w:rFonts w:ascii="Arial" w:eastAsia="Arial" w:hAnsi="Arial" w:cs="Arial"/>
                <w:color w:val="231F20"/>
                <w:w w:val="99"/>
                <w:sz w:val="15"/>
                <w:szCs w:val="15"/>
                <w:lang w:eastAsia="hr-HR"/>
              </w:rPr>
              <w:t>n</w:t>
            </w:r>
            <w:r w:rsidRPr="00754971">
              <w:rPr>
                <w:rFonts w:ascii="Arial" w:eastAsia="Arial" w:hAnsi="Arial" w:cs="Arial"/>
                <w:color w:val="231F20"/>
                <w:w w:val="96"/>
                <w:sz w:val="15"/>
                <w:szCs w:val="15"/>
                <w:lang w:eastAsia="hr-HR"/>
              </w:rPr>
              <w:t>a</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267CCC55"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1CB7968C"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A173F24" w14:textId="77777777" w:rsidR="00C5315F" w:rsidRPr="00754971" w:rsidRDefault="00C5315F" w:rsidP="00072476">
            <w:pPr>
              <w:spacing w:before="59" w:after="0" w:line="240" w:lineRule="auto"/>
              <w:ind w:left="603"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8DE3073" w14:textId="77777777" w:rsidR="00C5315F" w:rsidRPr="00754971" w:rsidRDefault="00C5315F" w:rsidP="00072476">
            <w:pPr>
              <w:spacing w:before="59" w:after="0" w:line="240" w:lineRule="auto"/>
              <w:ind w:left="604"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EF5ACF3" w14:textId="77777777" w:rsidR="00C5315F" w:rsidRPr="00754971" w:rsidRDefault="00C5315F" w:rsidP="00072476">
            <w:pPr>
              <w:spacing w:before="59" w:after="0" w:line="240" w:lineRule="auto"/>
              <w:ind w:left="604"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1F8EC2D" w14:textId="77777777" w:rsidR="00C5315F" w:rsidRPr="00754971" w:rsidRDefault="00C5315F" w:rsidP="00072476">
            <w:pPr>
              <w:spacing w:before="59" w:after="0" w:line="240" w:lineRule="auto"/>
              <w:ind w:left="604"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589449A" w14:textId="77777777" w:rsidR="00C5315F" w:rsidRPr="00754971" w:rsidRDefault="00C5315F" w:rsidP="00072476">
            <w:pPr>
              <w:spacing w:before="59" w:after="0" w:line="240" w:lineRule="auto"/>
              <w:ind w:left="604"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6E19A202" w14:textId="77777777" w:rsidR="00C5315F" w:rsidRPr="00754971" w:rsidRDefault="00C5315F" w:rsidP="00072476">
            <w:pPr>
              <w:spacing w:before="59" w:after="0" w:line="240" w:lineRule="auto"/>
              <w:ind w:left="39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225</w:t>
            </w:r>
          </w:p>
        </w:tc>
        <w:tc>
          <w:tcPr>
            <w:tcW w:w="724" w:type="dxa"/>
            <w:tcBorders>
              <w:top w:val="single" w:sz="2" w:space="0" w:color="918F8F"/>
              <w:left w:val="single" w:sz="2" w:space="0" w:color="231F20"/>
              <w:bottom w:val="single" w:sz="2" w:space="0" w:color="918F8F"/>
              <w:right w:val="single" w:sz="0" w:space="0" w:color="FCD9E3"/>
            </w:tcBorders>
            <w:shd w:val="clear" w:color="auto" w:fill="FCD9E3"/>
            <w:tcMar>
              <w:top w:w="0" w:type="dxa"/>
              <w:left w:w="0" w:type="dxa"/>
              <w:bottom w:w="0" w:type="dxa"/>
              <w:right w:w="0" w:type="dxa"/>
            </w:tcMar>
          </w:tcPr>
          <w:p w14:paraId="68690D4D" w14:textId="77777777" w:rsidR="00C5315F" w:rsidRPr="00754971" w:rsidRDefault="00C5315F" w:rsidP="00072476">
            <w:pPr>
              <w:spacing w:before="59" w:after="0" w:line="240" w:lineRule="auto"/>
              <w:ind w:left="397"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225</w:t>
            </w:r>
          </w:p>
        </w:tc>
        <w:tc>
          <w:tcPr>
            <w:tcW w:w="724" w:type="dxa"/>
            <w:tcBorders>
              <w:top w:val="single" w:sz="2" w:space="0" w:color="918F8F"/>
              <w:left w:val="single" w:sz="2" w:space="0" w:color="231F20"/>
              <w:bottom w:val="single" w:sz="2" w:space="0" w:color="918F8F"/>
              <w:right w:val="single" w:sz="0" w:space="0" w:color="FCD9E3"/>
            </w:tcBorders>
            <w:shd w:val="clear" w:color="auto" w:fill="FCD9E3"/>
            <w:vAlign w:val="center"/>
          </w:tcPr>
          <w:p w14:paraId="21303670" w14:textId="77777777" w:rsidR="00C5315F" w:rsidRPr="002B4233" w:rsidRDefault="00C5315F" w:rsidP="00072476">
            <w:pPr>
              <w:spacing w:before="66" w:after="0" w:line="240" w:lineRule="auto"/>
              <w:ind w:left="178" w:right="-20"/>
              <w:jc w:val="right"/>
              <w:rPr>
                <w:rFonts w:ascii="Arial" w:eastAsia="Arial" w:hAnsi="Arial" w:cs="Arial"/>
                <w:color w:val="231F20"/>
                <w:w w:val="103"/>
                <w:sz w:val="15"/>
                <w:szCs w:val="15"/>
                <w:lang w:eastAsia="hr-HR"/>
              </w:rPr>
            </w:pPr>
            <w:r w:rsidRPr="002B4233">
              <w:rPr>
                <w:rFonts w:ascii="Arial" w:eastAsia="Arial" w:hAnsi="Arial" w:cs="Arial"/>
                <w:color w:val="231F20"/>
                <w:w w:val="103"/>
                <w:sz w:val="15"/>
                <w:szCs w:val="15"/>
                <w:lang w:eastAsia="hr-HR"/>
              </w:rPr>
              <w:t>225</w:t>
            </w:r>
          </w:p>
        </w:tc>
      </w:tr>
      <w:tr w:rsidR="00C5315F" w:rsidRPr="00754971" w14:paraId="72439F32" w14:textId="77777777" w:rsidTr="00072476">
        <w:trPr>
          <w:cantSplit/>
          <w:trHeight w:hRule="exact" w:val="272"/>
          <w:jc w:val="center"/>
        </w:trPr>
        <w:tc>
          <w:tcPr>
            <w:tcW w:w="962" w:type="dxa"/>
            <w:tcBorders>
              <w:top w:val="single" w:sz="2" w:space="0" w:color="918F8F"/>
              <w:bottom w:val="single" w:sz="2" w:space="0" w:color="918F8F"/>
              <w:right w:val="single" w:sz="2" w:space="0" w:color="231F20"/>
            </w:tcBorders>
            <w:tcMar>
              <w:top w:w="0" w:type="dxa"/>
              <w:left w:w="0" w:type="dxa"/>
              <w:bottom w:w="0" w:type="dxa"/>
              <w:right w:w="0" w:type="dxa"/>
            </w:tcMar>
          </w:tcPr>
          <w:p w14:paraId="4B2232CB" w14:textId="77777777" w:rsidR="00C5315F" w:rsidRPr="00754971" w:rsidRDefault="00C5315F" w:rsidP="00072476">
            <w:pPr>
              <w:spacing w:before="59" w:after="0" w:line="240" w:lineRule="auto"/>
              <w:ind w:left="82" w:right="-20"/>
              <w:rPr>
                <w:rFonts w:ascii="Arial" w:eastAsia="Arial" w:hAnsi="Arial" w:cs="Arial"/>
                <w:color w:val="231F20"/>
                <w:w w:val="96"/>
                <w:sz w:val="15"/>
                <w:szCs w:val="15"/>
                <w:lang w:eastAsia="hr-HR"/>
              </w:rPr>
            </w:pPr>
            <w:r w:rsidRPr="00754971">
              <w:rPr>
                <w:rFonts w:ascii="Arial" w:eastAsia="Arial" w:hAnsi="Arial" w:cs="Arial"/>
                <w:color w:val="231F20"/>
                <w:w w:val="96"/>
                <w:sz w:val="15"/>
                <w:szCs w:val="15"/>
                <w:lang w:eastAsia="hr-HR"/>
              </w:rPr>
              <w:t>II</w:t>
            </w:r>
            <w:r w:rsidRPr="00754971">
              <w:rPr>
                <w:rFonts w:ascii="Arial" w:eastAsia="Arial" w:hAnsi="Arial" w:cs="Arial"/>
                <w:color w:val="231F20"/>
                <w:w w:val="86"/>
                <w:sz w:val="15"/>
                <w:szCs w:val="15"/>
                <w:lang w:eastAsia="hr-HR"/>
              </w:rPr>
              <w:t>.</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pacing w:val="-1"/>
                <w:w w:val="97"/>
                <w:sz w:val="15"/>
                <w:szCs w:val="15"/>
                <w:lang w:eastAsia="hr-HR"/>
              </w:rPr>
              <w:t>z</w:t>
            </w:r>
            <w:r w:rsidRPr="00754971">
              <w:rPr>
                <w:rFonts w:ascii="Arial" w:eastAsia="Arial" w:hAnsi="Arial" w:cs="Arial"/>
                <w:color w:val="231F20"/>
                <w:w w:val="101"/>
                <w:sz w:val="15"/>
                <w:szCs w:val="15"/>
                <w:lang w:eastAsia="hr-HR"/>
              </w:rPr>
              <w:t>o</w:t>
            </w:r>
            <w:r w:rsidRPr="00754971">
              <w:rPr>
                <w:rFonts w:ascii="Arial" w:eastAsia="Arial" w:hAnsi="Arial" w:cs="Arial"/>
                <w:color w:val="231F20"/>
                <w:w w:val="99"/>
                <w:sz w:val="15"/>
                <w:szCs w:val="15"/>
                <w:lang w:eastAsia="hr-HR"/>
              </w:rPr>
              <w:t>n</w:t>
            </w:r>
            <w:r w:rsidRPr="00754971">
              <w:rPr>
                <w:rFonts w:ascii="Arial" w:eastAsia="Arial" w:hAnsi="Arial" w:cs="Arial"/>
                <w:color w:val="231F20"/>
                <w:w w:val="96"/>
                <w:sz w:val="15"/>
                <w:szCs w:val="15"/>
                <w:lang w:eastAsia="hr-HR"/>
              </w:rPr>
              <w:t>a</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7A037101"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13</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331</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71133CB4"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13</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980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0A0CC3A6"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13</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741</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26BA6D54"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14</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495</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590107EE"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817</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179A1C31"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373</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0E383867"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17</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672</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1DD88E87"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18</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039</w:t>
            </w:r>
          </w:p>
        </w:tc>
        <w:tc>
          <w:tcPr>
            <w:tcW w:w="724" w:type="dxa"/>
            <w:tcBorders>
              <w:top w:val="single" w:sz="2" w:space="0" w:color="918F8F"/>
              <w:left w:val="single" w:sz="2" w:space="0" w:color="231F20"/>
              <w:bottom w:val="single" w:sz="2" w:space="0" w:color="918F8F"/>
            </w:tcBorders>
            <w:tcMar>
              <w:top w:w="0" w:type="dxa"/>
              <w:left w:w="0" w:type="dxa"/>
              <w:bottom w:w="0" w:type="dxa"/>
              <w:right w:w="0" w:type="dxa"/>
            </w:tcMar>
          </w:tcPr>
          <w:p w14:paraId="17E092FC" w14:textId="77777777" w:rsidR="00C5315F" w:rsidRPr="00754971" w:rsidRDefault="00C5315F" w:rsidP="00072476">
            <w:pPr>
              <w:spacing w:before="59" w:after="0" w:line="240" w:lineRule="auto"/>
              <w:ind w:left="195"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18</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258</w:t>
            </w:r>
          </w:p>
        </w:tc>
        <w:tc>
          <w:tcPr>
            <w:tcW w:w="724" w:type="dxa"/>
            <w:tcBorders>
              <w:top w:val="single" w:sz="2" w:space="0" w:color="918F8F"/>
              <w:left w:val="single" w:sz="2" w:space="0" w:color="231F20"/>
              <w:bottom w:val="single" w:sz="2" w:space="0" w:color="918F8F"/>
            </w:tcBorders>
            <w:vAlign w:val="center"/>
          </w:tcPr>
          <w:p w14:paraId="1D737B08" w14:textId="77777777" w:rsidR="00C5315F" w:rsidRPr="002B4233" w:rsidRDefault="00C5315F" w:rsidP="00072476">
            <w:pPr>
              <w:spacing w:before="66" w:after="0" w:line="240" w:lineRule="auto"/>
              <w:ind w:left="178" w:right="-20"/>
              <w:jc w:val="right"/>
              <w:rPr>
                <w:rFonts w:ascii="Arial" w:eastAsia="Arial" w:hAnsi="Arial" w:cs="Arial"/>
                <w:color w:val="231F20"/>
                <w:w w:val="103"/>
                <w:sz w:val="15"/>
                <w:szCs w:val="15"/>
                <w:lang w:eastAsia="hr-HR"/>
              </w:rPr>
            </w:pPr>
            <w:r w:rsidRPr="002B4233">
              <w:rPr>
                <w:rFonts w:ascii="Arial" w:eastAsia="Arial" w:hAnsi="Arial" w:cs="Arial"/>
                <w:color w:val="231F20"/>
                <w:w w:val="103"/>
                <w:sz w:val="15"/>
                <w:szCs w:val="15"/>
                <w:lang w:eastAsia="hr-HR"/>
              </w:rPr>
              <w:t>19 143</w:t>
            </w:r>
          </w:p>
        </w:tc>
      </w:tr>
      <w:tr w:rsidR="00C5315F" w:rsidRPr="00754971" w14:paraId="36B341E0" w14:textId="77777777" w:rsidTr="00072476">
        <w:trPr>
          <w:cantSplit/>
          <w:trHeight w:hRule="exact" w:val="272"/>
          <w:jc w:val="center"/>
        </w:trPr>
        <w:tc>
          <w:tcPr>
            <w:tcW w:w="962" w:type="dxa"/>
            <w:tcBorders>
              <w:top w:val="single" w:sz="2" w:space="0" w:color="918F8F"/>
              <w:left w:val="single" w:sz="0" w:space="0" w:color="FCD9E3"/>
              <w:bottom w:val="single" w:sz="2" w:space="0" w:color="918F8F"/>
              <w:right w:val="single" w:sz="2" w:space="0" w:color="231F20"/>
            </w:tcBorders>
            <w:shd w:val="clear" w:color="auto" w:fill="FCD9E3"/>
            <w:tcMar>
              <w:top w:w="0" w:type="dxa"/>
              <w:left w:w="0" w:type="dxa"/>
              <w:bottom w:w="0" w:type="dxa"/>
              <w:right w:w="0" w:type="dxa"/>
            </w:tcMar>
          </w:tcPr>
          <w:p w14:paraId="273F3155" w14:textId="77777777" w:rsidR="00C5315F" w:rsidRPr="00754971" w:rsidRDefault="00C5315F" w:rsidP="00072476">
            <w:pPr>
              <w:spacing w:before="59" w:after="0" w:line="240" w:lineRule="auto"/>
              <w:ind w:left="83" w:right="-20"/>
              <w:rPr>
                <w:rFonts w:ascii="Arial" w:eastAsia="Arial" w:hAnsi="Arial" w:cs="Arial"/>
                <w:color w:val="231F20"/>
                <w:w w:val="96"/>
                <w:sz w:val="15"/>
                <w:szCs w:val="15"/>
                <w:lang w:eastAsia="hr-HR"/>
              </w:rPr>
            </w:pPr>
            <w:r w:rsidRPr="00754971">
              <w:rPr>
                <w:rFonts w:ascii="Arial" w:eastAsia="Arial" w:hAnsi="Arial" w:cs="Arial"/>
                <w:color w:val="231F20"/>
                <w:w w:val="96"/>
                <w:sz w:val="15"/>
                <w:szCs w:val="15"/>
                <w:lang w:eastAsia="hr-HR"/>
              </w:rPr>
              <w:t>III</w:t>
            </w:r>
            <w:r w:rsidRPr="00754971">
              <w:rPr>
                <w:rFonts w:ascii="Arial" w:eastAsia="Arial" w:hAnsi="Arial" w:cs="Arial"/>
                <w:color w:val="231F20"/>
                <w:w w:val="86"/>
                <w:sz w:val="15"/>
                <w:szCs w:val="15"/>
                <w:lang w:eastAsia="hr-HR"/>
              </w:rPr>
              <w:t>.</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pacing w:val="-1"/>
                <w:w w:val="97"/>
                <w:sz w:val="15"/>
                <w:szCs w:val="15"/>
                <w:lang w:eastAsia="hr-HR"/>
              </w:rPr>
              <w:t>z</w:t>
            </w:r>
            <w:r w:rsidRPr="00754971">
              <w:rPr>
                <w:rFonts w:ascii="Arial" w:eastAsia="Arial" w:hAnsi="Arial" w:cs="Arial"/>
                <w:color w:val="231F20"/>
                <w:w w:val="101"/>
                <w:sz w:val="15"/>
                <w:szCs w:val="15"/>
                <w:lang w:eastAsia="hr-HR"/>
              </w:rPr>
              <w:t>o</w:t>
            </w:r>
            <w:r w:rsidRPr="00754971">
              <w:rPr>
                <w:rFonts w:ascii="Arial" w:eastAsia="Arial" w:hAnsi="Arial" w:cs="Arial"/>
                <w:color w:val="231F20"/>
                <w:w w:val="99"/>
                <w:sz w:val="15"/>
                <w:szCs w:val="15"/>
                <w:lang w:eastAsia="hr-HR"/>
              </w:rPr>
              <w:t>n</w:t>
            </w:r>
            <w:r w:rsidRPr="00754971">
              <w:rPr>
                <w:rFonts w:ascii="Arial" w:eastAsia="Arial" w:hAnsi="Arial" w:cs="Arial"/>
                <w:color w:val="231F20"/>
                <w:w w:val="96"/>
                <w:sz w:val="15"/>
                <w:szCs w:val="15"/>
                <w:lang w:eastAsia="hr-HR"/>
              </w:rPr>
              <w:t>a</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E546092" w14:textId="77777777" w:rsidR="00C5315F" w:rsidRPr="00754971" w:rsidRDefault="00C5315F" w:rsidP="00072476">
            <w:pPr>
              <w:spacing w:before="59" w:after="0" w:line="240" w:lineRule="auto"/>
              <w:ind w:left="278"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4</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246</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609A0F2" w14:textId="77777777" w:rsidR="00C5315F" w:rsidRPr="00754971" w:rsidRDefault="00C5315F" w:rsidP="00072476">
            <w:pPr>
              <w:spacing w:before="59" w:after="0" w:line="240" w:lineRule="auto"/>
              <w:ind w:left="278"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4</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436</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A7050EE" w14:textId="77777777" w:rsidR="00C5315F" w:rsidRPr="00754971" w:rsidRDefault="00C5315F" w:rsidP="00072476">
            <w:pPr>
              <w:spacing w:before="59" w:after="0" w:line="240" w:lineRule="auto"/>
              <w:ind w:left="278"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4</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211</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41DDC5AE"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4</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230</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3F56A91"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620</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29062C05"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626</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6CD392A8"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4</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531</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0BAE24E1"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5</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719</w:t>
            </w:r>
          </w:p>
        </w:tc>
        <w:tc>
          <w:tcPr>
            <w:tcW w:w="724" w:type="dxa"/>
            <w:tcBorders>
              <w:top w:val="single" w:sz="2" w:space="0" w:color="918F8F"/>
              <w:left w:val="single" w:sz="2" w:space="0" w:color="231F20"/>
              <w:bottom w:val="single" w:sz="2" w:space="0" w:color="918F8F"/>
              <w:right w:val="single" w:sz="0" w:space="0" w:color="FCD9E3"/>
            </w:tcBorders>
            <w:shd w:val="clear" w:color="auto" w:fill="FCD9E3"/>
            <w:tcMar>
              <w:top w:w="0" w:type="dxa"/>
              <w:left w:w="0" w:type="dxa"/>
              <w:bottom w:w="0" w:type="dxa"/>
              <w:right w:w="0" w:type="dxa"/>
            </w:tcMar>
          </w:tcPr>
          <w:p w14:paraId="32C98A4E"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5</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847</w:t>
            </w:r>
          </w:p>
        </w:tc>
        <w:tc>
          <w:tcPr>
            <w:tcW w:w="724" w:type="dxa"/>
            <w:tcBorders>
              <w:top w:val="single" w:sz="2" w:space="0" w:color="918F8F"/>
              <w:left w:val="single" w:sz="2" w:space="0" w:color="231F20"/>
              <w:bottom w:val="single" w:sz="2" w:space="0" w:color="918F8F"/>
              <w:right w:val="single" w:sz="0" w:space="0" w:color="FCD9E3"/>
            </w:tcBorders>
            <w:shd w:val="clear" w:color="auto" w:fill="FCD9E3"/>
            <w:vAlign w:val="center"/>
          </w:tcPr>
          <w:p w14:paraId="78CB9F82" w14:textId="77777777" w:rsidR="00C5315F" w:rsidRPr="002B4233" w:rsidRDefault="00C5315F" w:rsidP="00072476">
            <w:pPr>
              <w:spacing w:before="66" w:after="0" w:line="240" w:lineRule="auto"/>
              <w:ind w:left="178" w:right="-20"/>
              <w:jc w:val="right"/>
              <w:rPr>
                <w:rFonts w:ascii="Arial" w:eastAsia="Arial" w:hAnsi="Arial" w:cs="Arial"/>
                <w:color w:val="231F20"/>
                <w:w w:val="103"/>
                <w:sz w:val="15"/>
                <w:szCs w:val="15"/>
                <w:lang w:eastAsia="hr-HR"/>
              </w:rPr>
            </w:pPr>
            <w:r w:rsidRPr="002B4233">
              <w:rPr>
                <w:rFonts w:ascii="Arial" w:eastAsia="Arial" w:hAnsi="Arial" w:cs="Arial"/>
                <w:color w:val="231F20"/>
                <w:w w:val="103"/>
                <w:sz w:val="15"/>
                <w:szCs w:val="15"/>
                <w:lang w:eastAsia="hr-HR"/>
              </w:rPr>
              <w:t>5 942</w:t>
            </w:r>
          </w:p>
        </w:tc>
      </w:tr>
      <w:tr w:rsidR="00C5315F" w:rsidRPr="00754971" w14:paraId="7B5EBA22" w14:textId="77777777" w:rsidTr="00072476">
        <w:trPr>
          <w:cantSplit/>
          <w:trHeight w:hRule="exact" w:val="272"/>
          <w:jc w:val="center"/>
        </w:trPr>
        <w:tc>
          <w:tcPr>
            <w:tcW w:w="962" w:type="dxa"/>
            <w:tcBorders>
              <w:top w:val="single" w:sz="2" w:space="0" w:color="918F8F"/>
              <w:bottom w:val="single" w:sz="2" w:space="0" w:color="918F8F"/>
              <w:right w:val="single" w:sz="2" w:space="0" w:color="231F20"/>
            </w:tcBorders>
            <w:tcMar>
              <w:top w:w="0" w:type="dxa"/>
              <w:left w:w="0" w:type="dxa"/>
              <w:bottom w:w="0" w:type="dxa"/>
              <w:right w:w="0" w:type="dxa"/>
            </w:tcMar>
          </w:tcPr>
          <w:p w14:paraId="15F30DC3" w14:textId="77777777" w:rsidR="00C5315F" w:rsidRPr="00754971" w:rsidRDefault="00C5315F" w:rsidP="00072476">
            <w:pPr>
              <w:spacing w:before="59" w:after="0" w:line="240" w:lineRule="auto"/>
              <w:ind w:left="83" w:right="-20"/>
              <w:rPr>
                <w:rFonts w:ascii="Arial" w:eastAsia="Arial" w:hAnsi="Arial" w:cs="Arial"/>
                <w:color w:val="231F20"/>
                <w:w w:val="96"/>
                <w:sz w:val="15"/>
                <w:szCs w:val="15"/>
                <w:lang w:eastAsia="hr-HR"/>
              </w:rPr>
            </w:pPr>
            <w:r w:rsidRPr="00754971">
              <w:rPr>
                <w:rFonts w:ascii="Arial" w:eastAsia="Arial" w:hAnsi="Arial" w:cs="Arial"/>
                <w:color w:val="231F20"/>
                <w:w w:val="96"/>
                <w:sz w:val="15"/>
                <w:szCs w:val="15"/>
                <w:lang w:eastAsia="hr-HR"/>
              </w:rPr>
              <w:t>I</w:t>
            </w:r>
            <w:r w:rsidRPr="00754971">
              <w:rPr>
                <w:rFonts w:ascii="Arial" w:eastAsia="Arial" w:hAnsi="Arial" w:cs="Arial"/>
                <w:color w:val="231F20"/>
                <w:spacing w:val="-16"/>
                <w:w w:val="93"/>
                <w:sz w:val="15"/>
                <w:szCs w:val="15"/>
                <w:lang w:eastAsia="hr-HR"/>
              </w:rPr>
              <w:t>V</w:t>
            </w:r>
            <w:r w:rsidRPr="00754971">
              <w:rPr>
                <w:rFonts w:ascii="Arial" w:eastAsia="Arial" w:hAnsi="Arial" w:cs="Arial"/>
                <w:color w:val="231F20"/>
                <w:w w:val="86"/>
                <w:sz w:val="15"/>
                <w:szCs w:val="15"/>
                <w:lang w:eastAsia="hr-HR"/>
              </w:rPr>
              <w:t>.</w:t>
            </w:r>
            <w:r w:rsidRPr="00754971">
              <w:rPr>
                <w:rFonts w:ascii="Arial" w:eastAsia="Arial" w:hAnsi="Arial" w:cs="Arial"/>
                <w:color w:val="231F20"/>
                <w:sz w:val="15"/>
                <w:szCs w:val="15"/>
                <w:lang w:eastAsia="hr-HR"/>
              </w:rPr>
              <w:t>1</w:t>
            </w:r>
            <w:r w:rsidRPr="00754971">
              <w:rPr>
                <w:rFonts w:ascii="Arial" w:eastAsia="Arial" w:hAnsi="Arial" w:cs="Arial"/>
                <w:color w:val="231F20"/>
                <w:w w:val="86"/>
                <w:sz w:val="15"/>
                <w:szCs w:val="15"/>
                <w:lang w:eastAsia="hr-HR"/>
              </w:rPr>
              <w:t>.</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pacing w:val="-1"/>
                <w:w w:val="97"/>
                <w:sz w:val="15"/>
                <w:szCs w:val="15"/>
                <w:lang w:eastAsia="hr-HR"/>
              </w:rPr>
              <w:t>z</w:t>
            </w:r>
            <w:r w:rsidRPr="00754971">
              <w:rPr>
                <w:rFonts w:ascii="Arial" w:eastAsia="Arial" w:hAnsi="Arial" w:cs="Arial"/>
                <w:color w:val="231F20"/>
                <w:w w:val="101"/>
                <w:sz w:val="15"/>
                <w:szCs w:val="15"/>
                <w:lang w:eastAsia="hr-HR"/>
              </w:rPr>
              <w:t>o</w:t>
            </w:r>
            <w:r w:rsidRPr="00754971">
              <w:rPr>
                <w:rFonts w:ascii="Arial" w:eastAsia="Arial" w:hAnsi="Arial" w:cs="Arial"/>
                <w:color w:val="231F20"/>
                <w:w w:val="99"/>
                <w:sz w:val="15"/>
                <w:szCs w:val="15"/>
                <w:lang w:eastAsia="hr-HR"/>
              </w:rPr>
              <w:t>n</w:t>
            </w:r>
            <w:r w:rsidRPr="00754971">
              <w:rPr>
                <w:rFonts w:ascii="Arial" w:eastAsia="Arial" w:hAnsi="Arial" w:cs="Arial"/>
                <w:color w:val="231F20"/>
                <w:w w:val="96"/>
                <w:sz w:val="15"/>
                <w:szCs w:val="15"/>
                <w:lang w:eastAsia="hr-HR"/>
              </w:rPr>
              <w:t>a</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2863AE15"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450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131A36F8"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450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6FBB8BAD"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450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08EA65E9"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450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23544B14"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660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73D0F0EA"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410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31B7391E"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410</w:t>
            </w:r>
          </w:p>
        </w:tc>
        <w:tc>
          <w:tcPr>
            <w:tcW w:w="724" w:type="dxa"/>
            <w:tcBorders>
              <w:top w:val="single" w:sz="2" w:space="0" w:color="918F8F"/>
              <w:left w:val="single" w:sz="2" w:space="0" w:color="231F20"/>
              <w:bottom w:val="single" w:sz="2" w:space="0" w:color="918F8F"/>
              <w:right w:val="single" w:sz="2" w:space="0" w:color="231F20"/>
            </w:tcBorders>
            <w:tcMar>
              <w:top w:w="0" w:type="dxa"/>
              <w:left w:w="0" w:type="dxa"/>
              <w:bottom w:w="0" w:type="dxa"/>
              <w:right w:w="0" w:type="dxa"/>
            </w:tcMar>
          </w:tcPr>
          <w:p w14:paraId="5D171454"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410</w:t>
            </w:r>
          </w:p>
        </w:tc>
        <w:tc>
          <w:tcPr>
            <w:tcW w:w="724" w:type="dxa"/>
            <w:tcBorders>
              <w:top w:val="single" w:sz="2" w:space="0" w:color="918F8F"/>
              <w:left w:val="single" w:sz="2" w:space="0" w:color="231F20"/>
              <w:bottom w:val="single" w:sz="2" w:space="0" w:color="918F8F"/>
            </w:tcBorders>
            <w:tcMar>
              <w:top w:w="0" w:type="dxa"/>
              <w:left w:w="0" w:type="dxa"/>
              <w:bottom w:w="0" w:type="dxa"/>
              <w:right w:w="0" w:type="dxa"/>
            </w:tcMar>
          </w:tcPr>
          <w:p w14:paraId="5973D1F3" w14:textId="77777777" w:rsidR="00C5315F" w:rsidRPr="00754971" w:rsidRDefault="00C5315F" w:rsidP="00072476">
            <w:pPr>
              <w:spacing w:before="59" w:after="0" w:line="240" w:lineRule="auto"/>
              <w:ind w:left="27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410</w:t>
            </w:r>
          </w:p>
        </w:tc>
        <w:tc>
          <w:tcPr>
            <w:tcW w:w="724" w:type="dxa"/>
            <w:tcBorders>
              <w:top w:val="single" w:sz="2" w:space="0" w:color="918F8F"/>
              <w:left w:val="single" w:sz="2" w:space="0" w:color="231F20"/>
              <w:bottom w:val="single" w:sz="2" w:space="0" w:color="918F8F"/>
            </w:tcBorders>
            <w:vAlign w:val="center"/>
          </w:tcPr>
          <w:p w14:paraId="4B4A45A5" w14:textId="77777777" w:rsidR="00C5315F" w:rsidRPr="002B4233" w:rsidRDefault="00C5315F" w:rsidP="00072476">
            <w:pPr>
              <w:spacing w:before="66" w:after="0" w:line="240" w:lineRule="auto"/>
              <w:ind w:left="178" w:right="-20"/>
              <w:jc w:val="right"/>
              <w:rPr>
                <w:rFonts w:ascii="Arial" w:eastAsia="Arial" w:hAnsi="Arial" w:cs="Arial"/>
                <w:color w:val="231F20"/>
                <w:w w:val="103"/>
                <w:sz w:val="15"/>
                <w:szCs w:val="15"/>
                <w:lang w:eastAsia="hr-HR"/>
              </w:rPr>
            </w:pPr>
            <w:r w:rsidRPr="002B4233">
              <w:rPr>
                <w:rFonts w:ascii="Arial" w:eastAsia="Arial" w:hAnsi="Arial" w:cs="Arial"/>
                <w:color w:val="231F20"/>
                <w:w w:val="103"/>
                <w:sz w:val="15"/>
                <w:szCs w:val="15"/>
                <w:lang w:eastAsia="hr-HR"/>
              </w:rPr>
              <w:t>1 410</w:t>
            </w:r>
          </w:p>
        </w:tc>
      </w:tr>
      <w:tr w:rsidR="00C5315F" w:rsidRPr="00754971" w14:paraId="74BCED5F" w14:textId="77777777" w:rsidTr="00072476">
        <w:trPr>
          <w:cantSplit/>
          <w:trHeight w:hRule="exact" w:val="272"/>
          <w:jc w:val="center"/>
        </w:trPr>
        <w:tc>
          <w:tcPr>
            <w:tcW w:w="962" w:type="dxa"/>
            <w:tcBorders>
              <w:top w:val="single" w:sz="2" w:space="0" w:color="918F8F"/>
              <w:left w:val="single" w:sz="0" w:space="0" w:color="FCD9E3"/>
              <w:bottom w:val="single" w:sz="2" w:space="0" w:color="918F8F"/>
              <w:right w:val="single" w:sz="2" w:space="0" w:color="231F20"/>
            </w:tcBorders>
            <w:shd w:val="clear" w:color="auto" w:fill="FCD9E3"/>
            <w:tcMar>
              <w:top w:w="0" w:type="dxa"/>
              <w:left w:w="0" w:type="dxa"/>
              <w:bottom w:w="0" w:type="dxa"/>
              <w:right w:w="0" w:type="dxa"/>
            </w:tcMar>
          </w:tcPr>
          <w:p w14:paraId="7C179978" w14:textId="77777777" w:rsidR="00C5315F" w:rsidRPr="00754971" w:rsidRDefault="00C5315F" w:rsidP="00072476">
            <w:pPr>
              <w:spacing w:before="59" w:after="0" w:line="240" w:lineRule="auto"/>
              <w:ind w:left="84" w:right="-20"/>
              <w:rPr>
                <w:rFonts w:ascii="Arial" w:eastAsia="Arial" w:hAnsi="Arial" w:cs="Arial"/>
                <w:color w:val="231F20"/>
                <w:w w:val="96"/>
                <w:sz w:val="15"/>
                <w:szCs w:val="15"/>
                <w:lang w:eastAsia="hr-HR"/>
              </w:rPr>
            </w:pPr>
            <w:r w:rsidRPr="00754971">
              <w:rPr>
                <w:rFonts w:ascii="Arial" w:eastAsia="Arial" w:hAnsi="Arial" w:cs="Arial"/>
                <w:color w:val="231F20"/>
                <w:w w:val="96"/>
                <w:sz w:val="15"/>
                <w:szCs w:val="15"/>
                <w:lang w:eastAsia="hr-HR"/>
              </w:rPr>
              <w:t>I</w:t>
            </w:r>
            <w:r w:rsidRPr="00754971">
              <w:rPr>
                <w:rFonts w:ascii="Arial" w:eastAsia="Arial" w:hAnsi="Arial" w:cs="Arial"/>
                <w:color w:val="231F20"/>
                <w:spacing w:val="-16"/>
                <w:w w:val="93"/>
                <w:sz w:val="15"/>
                <w:szCs w:val="15"/>
                <w:lang w:eastAsia="hr-HR"/>
              </w:rPr>
              <w:t>V</w:t>
            </w:r>
            <w:r w:rsidRPr="00754971">
              <w:rPr>
                <w:rFonts w:ascii="Arial" w:eastAsia="Arial" w:hAnsi="Arial" w:cs="Arial"/>
                <w:color w:val="231F20"/>
                <w:w w:val="86"/>
                <w:sz w:val="15"/>
                <w:szCs w:val="15"/>
                <w:lang w:eastAsia="hr-HR"/>
              </w:rPr>
              <w:t>.</w:t>
            </w:r>
            <w:r w:rsidRPr="00754971">
              <w:rPr>
                <w:rFonts w:ascii="Arial" w:eastAsia="Arial" w:hAnsi="Arial" w:cs="Arial"/>
                <w:color w:val="231F20"/>
                <w:sz w:val="15"/>
                <w:szCs w:val="15"/>
                <w:lang w:eastAsia="hr-HR"/>
              </w:rPr>
              <w:t>2</w:t>
            </w:r>
            <w:r w:rsidRPr="00754971">
              <w:rPr>
                <w:rFonts w:ascii="Arial" w:eastAsia="Arial" w:hAnsi="Arial" w:cs="Arial"/>
                <w:color w:val="231F20"/>
                <w:w w:val="86"/>
                <w:sz w:val="15"/>
                <w:szCs w:val="15"/>
                <w:lang w:eastAsia="hr-HR"/>
              </w:rPr>
              <w:t>.</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pacing w:val="-1"/>
                <w:w w:val="97"/>
                <w:sz w:val="15"/>
                <w:szCs w:val="15"/>
                <w:lang w:eastAsia="hr-HR"/>
              </w:rPr>
              <w:t>z</w:t>
            </w:r>
            <w:r w:rsidRPr="00754971">
              <w:rPr>
                <w:rFonts w:ascii="Arial" w:eastAsia="Arial" w:hAnsi="Arial" w:cs="Arial"/>
                <w:color w:val="231F20"/>
                <w:w w:val="101"/>
                <w:sz w:val="15"/>
                <w:szCs w:val="15"/>
                <w:lang w:eastAsia="hr-HR"/>
              </w:rPr>
              <w:t>o</w:t>
            </w:r>
            <w:r w:rsidRPr="00754971">
              <w:rPr>
                <w:rFonts w:ascii="Arial" w:eastAsia="Arial" w:hAnsi="Arial" w:cs="Arial"/>
                <w:color w:val="231F20"/>
                <w:w w:val="99"/>
                <w:sz w:val="15"/>
                <w:szCs w:val="15"/>
                <w:lang w:eastAsia="hr-HR"/>
              </w:rPr>
              <w:t>n</w:t>
            </w:r>
            <w:r w:rsidRPr="00754971">
              <w:rPr>
                <w:rFonts w:ascii="Arial" w:eastAsia="Arial" w:hAnsi="Arial" w:cs="Arial"/>
                <w:color w:val="231F20"/>
                <w:w w:val="96"/>
                <w:sz w:val="15"/>
                <w:szCs w:val="15"/>
                <w:lang w:eastAsia="hr-HR"/>
              </w:rPr>
              <w:t>a</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06778D2" w14:textId="77777777" w:rsidR="00C5315F" w:rsidRPr="00754971" w:rsidRDefault="00C5315F" w:rsidP="00072476">
            <w:pPr>
              <w:spacing w:before="59" w:after="0" w:line="240" w:lineRule="auto"/>
              <w:ind w:left="606"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0C92DD3E" w14:textId="77777777" w:rsidR="00C5315F" w:rsidRPr="00754971" w:rsidRDefault="00C5315F" w:rsidP="00072476">
            <w:pPr>
              <w:spacing w:before="59" w:after="0" w:line="240" w:lineRule="auto"/>
              <w:ind w:left="606"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93E5BE7" w14:textId="77777777" w:rsidR="00C5315F" w:rsidRPr="00754971" w:rsidRDefault="00C5315F" w:rsidP="00072476">
            <w:pPr>
              <w:spacing w:before="59" w:after="0" w:line="240" w:lineRule="auto"/>
              <w:ind w:left="606"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68589896" w14:textId="77777777" w:rsidR="00C5315F" w:rsidRPr="00754971" w:rsidRDefault="00C5315F" w:rsidP="00072476">
            <w:pPr>
              <w:spacing w:before="59" w:after="0" w:line="240" w:lineRule="auto"/>
              <w:ind w:left="606" w:right="-20"/>
              <w:rPr>
                <w:rFonts w:ascii="Arial" w:eastAsia="Arial" w:hAnsi="Arial" w:cs="Arial"/>
                <w:color w:val="231F20"/>
                <w:w w:val="86"/>
                <w:sz w:val="15"/>
                <w:szCs w:val="15"/>
                <w:lang w:eastAsia="hr-HR"/>
              </w:rPr>
            </w:pPr>
            <w:r w:rsidRPr="00754971">
              <w:rPr>
                <w:rFonts w:ascii="Arial" w:eastAsia="Arial" w:hAnsi="Arial" w:cs="Arial"/>
                <w:color w:val="231F20"/>
                <w:w w:val="86"/>
                <w:sz w:val="15"/>
                <w:szCs w:val="15"/>
                <w:lang w:eastAsia="hr-HR"/>
              </w:rPr>
              <w:t>-</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29E2B372" w14:textId="77777777" w:rsidR="00C5315F" w:rsidRPr="00754971" w:rsidRDefault="00C5315F" w:rsidP="00072476">
            <w:pPr>
              <w:spacing w:before="59" w:after="0" w:line="240" w:lineRule="auto"/>
              <w:ind w:left="399"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865</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790AE70A" w14:textId="77777777" w:rsidR="00C5315F" w:rsidRPr="00754971" w:rsidRDefault="00C5315F" w:rsidP="00072476">
            <w:pPr>
              <w:spacing w:before="59" w:after="0" w:line="240" w:lineRule="auto"/>
              <w:ind w:left="280"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347</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324E678A" w14:textId="77777777" w:rsidR="00C5315F" w:rsidRPr="00754971" w:rsidRDefault="00C5315F" w:rsidP="00072476">
            <w:pPr>
              <w:spacing w:before="59" w:after="0" w:line="240" w:lineRule="auto"/>
              <w:ind w:left="280"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730</w:t>
            </w:r>
          </w:p>
        </w:tc>
        <w:tc>
          <w:tcPr>
            <w:tcW w:w="724" w:type="dxa"/>
            <w:tcBorders>
              <w:top w:val="single" w:sz="2" w:space="0" w:color="918F8F"/>
              <w:left w:val="single" w:sz="2" w:space="0" w:color="231F20"/>
              <w:bottom w:val="single" w:sz="2" w:space="0" w:color="918F8F"/>
              <w:right w:val="single" w:sz="2" w:space="0" w:color="231F20"/>
            </w:tcBorders>
            <w:shd w:val="clear" w:color="auto" w:fill="FCD9E3"/>
            <w:tcMar>
              <w:top w:w="0" w:type="dxa"/>
              <w:left w:w="0" w:type="dxa"/>
              <w:bottom w:w="0" w:type="dxa"/>
              <w:right w:w="0" w:type="dxa"/>
            </w:tcMar>
          </w:tcPr>
          <w:p w14:paraId="04E6EB2F" w14:textId="77777777" w:rsidR="00C5315F" w:rsidRPr="00754971" w:rsidRDefault="00C5315F" w:rsidP="00072476">
            <w:pPr>
              <w:spacing w:before="59" w:after="0" w:line="240" w:lineRule="auto"/>
              <w:ind w:left="280"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1</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816</w:t>
            </w:r>
          </w:p>
        </w:tc>
        <w:tc>
          <w:tcPr>
            <w:tcW w:w="724" w:type="dxa"/>
            <w:tcBorders>
              <w:top w:val="single" w:sz="2" w:space="0" w:color="918F8F"/>
              <w:left w:val="single" w:sz="2" w:space="0" w:color="231F20"/>
              <w:bottom w:val="single" w:sz="2" w:space="0" w:color="918F8F"/>
              <w:right w:val="single" w:sz="0" w:space="0" w:color="FCD9E3"/>
            </w:tcBorders>
            <w:shd w:val="clear" w:color="auto" w:fill="FCD9E3"/>
            <w:tcMar>
              <w:top w:w="0" w:type="dxa"/>
              <w:left w:w="0" w:type="dxa"/>
              <w:bottom w:w="0" w:type="dxa"/>
              <w:right w:w="0" w:type="dxa"/>
            </w:tcMar>
          </w:tcPr>
          <w:p w14:paraId="29D91995" w14:textId="77777777" w:rsidR="00C5315F" w:rsidRPr="00754971" w:rsidRDefault="00C5315F" w:rsidP="00072476">
            <w:pPr>
              <w:spacing w:before="59" w:after="0" w:line="240" w:lineRule="auto"/>
              <w:ind w:left="280" w:right="-20"/>
              <w:rPr>
                <w:rFonts w:ascii="Arial" w:eastAsia="Arial" w:hAnsi="Arial" w:cs="Arial"/>
                <w:color w:val="231F20"/>
                <w:sz w:val="15"/>
                <w:szCs w:val="15"/>
                <w:lang w:eastAsia="hr-HR"/>
              </w:rPr>
            </w:pPr>
            <w:r w:rsidRPr="00754971">
              <w:rPr>
                <w:rFonts w:ascii="Arial" w:eastAsia="Arial" w:hAnsi="Arial" w:cs="Arial"/>
                <w:color w:val="231F20"/>
                <w:sz w:val="15"/>
                <w:szCs w:val="15"/>
                <w:lang w:eastAsia="hr-HR"/>
              </w:rPr>
              <w:t>2</w:t>
            </w:r>
            <w:r w:rsidRPr="00754971">
              <w:rPr>
                <w:rFonts w:ascii="Arial" w:eastAsia="Arial" w:hAnsi="Arial" w:cs="Arial"/>
                <w:color w:val="231F20"/>
                <w:spacing w:val="-5"/>
                <w:sz w:val="15"/>
                <w:szCs w:val="15"/>
                <w:lang w:eastAsia="hr-HR"/>
              </w:rPr>
              <w:t xml:space="preserve"> </w:t>
            </w:r>
            <w:r w:rsidRPr="00754971">
              <w:rPr>
                <w:rFonts w:ascii="Arial" w:eastAsia="Arial" w:hAnsi="Arial" w:cs="Arial"/>
                <w:color w:val="231F20"/>
                <w:sz w:val="15"/>
                <w:szCs w:val="15"/>
                <w:lang w:eastAsia="hr-HR"/>
              </w:rPr>
              <w:t>316</w:t>
            </w:r>
          </w:p>
        </w:tc>
        <w:tc>
          <w:tcPr>
            <w:tcW w:w="724" w:type="dxa"/>
            <w:tcBorders>
              <w:top w:val="single" w:sz="2" w:space="0" w:color="918F8F"/>
              <w:left w:val="single" w:sz="2" w:space="0" w:color="231F20"/>
              <w:bottom w:val="single" w:sz="2" w:space="0" w:color="918F8F"/>
              <w:right w:val="single" w:sz="0" w:space="0" w:color="FCD9E3"/>
            </w:tcBorders>
            <w:shd w:val="clear" w:color="auto" w:fill="FCD9E3"/>
            <w:vAlign w:val="center"/>
          </w:tcPr>
          <w:p w14:paraId="08B722C1" w14:textId="77777777" w:rsidR="00C5315F" w:rsidRPr="002B4233" w:rsidRDefault="00C5315F" w:rsidP="00072476">
            <w:pPr>
              <w:spacing w:before="66" w:after="0" w:line="240" w:lineRule="auto"/>
              <w:ind w:left="178" w:right="-20"/>
              <w:jc w:val="right"/>
              <w:rPr>
                <w:rFonts w:ascii="Arial" w:eastAsia="Arial" w:hAnsi="Arial" w:cs="Arial"/>
                <w:color w:val="231F20"/>
                <w:w w:val="103"/>
                <w:sz w:val="15"/>
                <w:szCs w:val="15"/>
                <w:lang w:eastAsia="hr-HR"/>
              </w:rPr>
            </w:pPr>
            <w:r w:rsidRPr="002B4233">
              <w:rPr>
                <w:rFonts w:ascii="Arial" w:eastAsia="Arial" w:hAnsi="Arial" w:cs="Arial"/>
                <w:color w:val="231F20"/>
                <w:w w:val="103"/>
                <w:sz w:val="15"/>
                <w:szCs w:val="15"/>
                <w:lang w:eastAsia="hr-HR"/>
              </w:rPr>
              <w:t>2 316</w:t>
            </w:r>
          </w:p>
        </w:tc>
      </w:tr>
    </w:tbl>
    <w:p w14:paraId="0EEB5C9C" w14:textId="77777777" w:rsidR="00C5315F" w:rsidRPr="000131DB" w:rsidRDefault="00C5315F" w:rsidP="00C5315F">
      <w:pPr>
        <w:spacing w:line="240" w:lineRule="auto"/>
        <w:jc w:val="both"/>
        <w:rPr>
          <w:rFonts w:cs="Calibri"/>
          <w:sz w:val="20"/>
          <w:szCs w:val="20"/>
        </w:rPr>
      </w:pPr>
      <w:r w:rsidRPr="000131DB">
        <w:rPr>
          <w:rFonts w:cs="Calibri"/>
          <w:sz w:val="20"/>
          <w:szCs w:val="20"/>
        </w:rPr>
        <w:t>Izvor: Statistički ljetopis Grada Zagreba za 20</w:t>
      </w:r>
      <w:r>
        <w:rPr>
          <w:rFonts w:cs="Calibri"/>
          <w:sz w:val="20"/>
          <w:szCs w:val="20"/>
        </w:rPr>
        <w:t>20</w:t>
      </w:r>
      <w:r w:rsidRPr="000131DB">
        <w:rPr>
          <w:rFonts w:cs="Calibri"/>
          <w:sz w:val="20"/>
          <w:szCs w:val="20"/>
        </w:rPr>
        <w:t>. godinu</w:t>
      </w:r>
    </w:p>
    <w:p w14:paraId="764C9354" w14:textId="77777777" w:rsidR="00C5315F" w:rsidRDefault="00C5315F" w:rsidP="00C5315F">
      <w:pPr>
        <w:spacing w:after="3" w:line="266" w:lineRule="auto"/>
        <w:ind w:right="246"/>
        <w:jc w:val="both"/>
        <w:rPr>
          <w:rFonts w:cs="Calibri"/>
          <w:color w:val="000000"/>
          <w:lang w:eastAsia="hr-HR"/>
        </w:rPr>
      </w:pPr>
    </w:p>
    <w:p w14:paraId="53451CDE" w14:textId="642BA21B" w:rsidR="00C5315F" w:rsidRDefault="00C5315F" w:rsidP="00F72738">
      <w:pPr>
        <w:spacing w:after="3" w:line="266" w:lineRule="auto"/>
        <w:ind w:left="19" w:right="246" w:hanging="10"/>
        <w:jc w:val="both"/>
        <w:rPr>
          <w:rFonts w:cs="Calibri"/>
          <w:color w:val="000000"/>
          <w:lang w:eastAsia="hr-HR"/>
        </w:rPr>
      </w:pPr>
      <w:r w:rsidRPr="000C506C">
        <w:rPr>
          <w:rFonts w:cs="Calibri"/>
          <w:color w:val="000000"/>
          <w:lang w:eastAsia="hr-HR"/>
        </w:rPr>
        <w:t>Ukupni kapacitet javnih garaža je 7.</w:t>
      </w:r>
      <w:r>
        <w:rPr>
          <w:rFonts w:cs="Calibri"/>
          <w:color w:val="000000"/>
          <w:lang w:eastAsia="hr-HR"/>
        </w:rPr>
        <w:t>780</w:t>
      </w:r>
      <w:r w:rsidRPr="000C506C">
        <w:rPr>
          <w:rFonts w:cs="Calibri"/>
          <w:color w:val="000000"/>
          <w:lang w:eastAsia="hr-HR"/>
        </w:rPr>
        <w:t xml:space="preserve"> parkirna mjesta. </w:t>
      </w:r>
      <w:r w:rsidRPr="00D103A8">
        <w:rPr>
          <w:rFonts w:cs="Calibri"/>
          <w:color w:val="000000"/>
          <w:lang w:eastAsia="hr-HR"/>
        </w:rPr>
        <w:t>Javne garaže na području Grada Zagreba navedene su u Tablici br</w:t>
      </w:r>
      <w:r w:rsidR="00C62E3E">
        <w:rPr>
          <w:rFonts w:cs="Calibri"/>
          <w:color w:val="000000"/>
          <w:lang w:eastAsia="hr-HR"/>
        </w:rPr>
        <w:t xml:space="preserve">oj </w:t>
      </w:r>
      <w:r w:rsidR="00682389">
        <w:rPr>
          <w:rFonts w:cs="Calibri"/>
          <w:color w:val="000000"/>
          <w:lang w:eastAsia="hr-HR"/>
        </w:rPr>
        <w:t>32</w:t>
      </w:r>
      <w:r w:rsidR="00C62E3E">
        <w:rPr>
          <w:rFonts w:cs="Calibri"/>
          <w:color w:val="000000"/>
          <w:lang w:eastAsia="hr-HR"/>
        </w:rPr>
        <w:t>.</w:t>
      </w:r>
    </w:p>
    <w:p w14:paraId="385FB16D" w14:textId="77777777" w:rsidR="00682389" w:rsidRDefault="00682389" w:rsidP="00C5315F">
      <w:pPr>
        <w:spacing w:after="3" w:line="266" w:lineRule="auto"/>
        <w:ind w:left="19" w:right="246" w:hanging="10"/>
        <w:jc w:val="both"/>
        <w:rPr>
          <w:rFonts w:cs="Calibri"/>
          <w:color w:val="000000"/>
          <w:lang w:eastAsia="hr-HR"/>
        </w:rPr>
      </w:pPr>
    </w:p>
    <w:p w14:paraId="1D716012" w14:textId="707627E8" w:rsidR="00C5315F" w:rsidRDefault="00682389" w:rsidP="00E2286C">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31</w:t>
      </w:r>
      <w:r w:rsidR="00751C19">
        <w:rPr>
          <w:noProof/>
        </w:rPr>
        <w:fldChar w:fldCharType="end"/>
      </w:r>
      <w:r>
        <w:t xml:space="preserve">. </w:t>
      </w:r>
      <w:r w:rsidRPr="00523E80">
        <w:t>Javne garaže u Gradu Zagrebu</w:t>
      </w:r>
    </w:p>
    <w:tbl>
      <w:tblPr>
        <w:tblW w:w="9004" w:type="dxa"/>
        <w:tblInd w:w="12" w:type="dxa"/>
        <w:tblCellMar>
          <w:top w:w="40" w:type="dxa"/>
          <w:left w:w="0" w:type="dxa"/>
          <w:right w:w="115" w:type="dxa"/>
        </w:tblCellMar>
        <w:tblLook w:val="04A0" w:firstRow="1" w:lastRow="0" w:firstColumn="1" w:lastColumn="0" w:noHBand="0" w:noVBand="1"/>
      </w:tblPr>
      <w:tblGrid>
        <w:gridCol w:w="2864"/>
        <w:gridCol w:w="4390"/>
        <w:gridCol w:w="1750"/>
      </w:tblGrid>
      <w:tr w:rsidR="00C5315F" w:rsidRPr="000C506C" w14:paraId="79DCB404" w14:textId="77777777" w:rsidTr="00072476">
        <w:trPr>
          <w:trHeight w:val="258"/>
        </w:trPr>
        <w:tc>
          <w:tcPr>
            <w:tcW w:w="2864" w:type="dxa"/>
            <w:tcBorders>
              <w:top w:val="single" w:sz="8" w:space="0" w:color="5B9BD5"/>
              <w:left w:val="single" w:sz="8" w:space="0" w:color="5B9BD5"/>
              <w:bottom w:val="single" w:sz="8" w:space="0" w:color="5B9BD5"/>
              <w:right w:val="nil"/>
            </w:tcBorders>
            <w:shd w:val="clear" w:color="auto" w:fill="0070C0"/>
          </w:tcPr>
          <w:p w14:paraId="217F49D7"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Naziv javne garaže </w:t>
            </w:r>
          </w:p>
        </w:tc>
        <w:tc>
          <w:tcPr>
            <w:tcW w:w="4390" w:type="dxa"/>
            <w:tcBorders>
              <w:top w:val="single" w:sz="8" w:space="0" w:color="5B9BD5"/>
              <w:left w:val="nil"/>
              <w:bottom w:val="single" w:sz="8" w:space="0" w:color="5B9BD5"/>
              <w:right w:val="nil"/>
            </w:tcBorders>
            <w:shd w:val="clear" w:color="auto" w:fill="0070C0"/>
          </w:tcPr>
          <w:p w14:paraId="2B407288"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Lokacija </w:t>
            </w:r>
          </w:p>
        </w:tc>
        <w:tc>
          <w:tcPr>
            <w:tcW w:w="1750" w:type="dxa"/>
            <w:tcBorders>
              <w:top w:val="single" w:sz="8" w:space="0" w:color="5B9BD5"/>
              <w:left w:val="nil"/>
              <w:bottom w:val="single" w:sz="8" w:space="0" w:color="5B9BD5"/>
              <w:right w:val="single" w:sz="8" w:space="0" w:color="5B9BD5"/>
            </w:tcBorders>
            <w:shd w:val="clear" w:color="auto" w:fill="0070C0"/>
          </w:tcPr>
          <w:p w14:paraId="62769270"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Kapacitet (PM) </w:t>
            </w:r>
          </w:p>
        </w:tc>
      </w:tr>
      <w:tr w:rsidR="00C5315F" w:rsidRPr="000C506C" w14:paraId="56A86E98" w14:textId="77777777" w:rsidTr="00072476">
        <w:trPr>
          <w:trHeight w:val="218"/>
        </w:trPr>
        <w:tc>
          <w:tcPr>
            <w:tcW w:w="2864" w:type="dxa"/>
            <w:tcBorders>
              <w:top w:val="single" w:sz="8" w:space="0" w:color="5B9BD5"/>
              <w:left w:val="single" w:sz="8" w:space="0" w:color="5B9BD5"/>
              <w:bottom w:val="single" w:sz="8" w:space="0" w:color="5B9BD5"/>
              <w:right w:val="nil"/>
            </w:tcBorders>
          </w:tcPr>
          <w:p w14:paraId="22F2FBC9"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Avenue Mall Zagreb </w:t>
            </w:r>
          </w:p>
        </w:tc>
        <w:tc>
          <w:tcPr>
            <w:tcW w:w="4390" w:type="dxa"/>
            <w:tcBorders>
              <w:top w:val="single" w:sz="8" w:space="0" w:color="5B9BD5"/>
              <w:left w:val="nil"/>
              <w:bottom w:val="single" w:sz="8" w:space="0" w:color="5B9BD5"/>
              <w:right w:val="nil"/>
            </w:tcBorders>
          </w:tcPr>
          <w:p w14:paraId="5EB20B16"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Avenija Dubrovnik 16, Zagreb </w:t>
            </w:r>
          </w:p>
        </w:tc>
        <w:tc>
          <w:tcPr>
            <w:tcW w:w="1750" w:type="dxa"/>
            <w:tcBorders>
              <w:top w:val="single" w:sz="8" w:space="0" w:color="5B9BD5"/>
              <w:left w:val="nil"/>
              <w:bottom w:val="single" w:sz="8" w:space="0" w:color="5B9BD5"/>
              <w:right w:val="single" w:sz="8" w:space="0" w:color="5B9BD5"/>
            </w:tcBorders>
          </w:tcPr>
          <w:p w14:paraId="6F602641"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1.000 </w:t>
            </w:r>
          </w:p>
        </w:tc>
      </w:tr>
      <w:tr w:rsidR="00C5315F" w:rsidRPr="000C506C" w14:paraId="1513C1A0"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16A7951D"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Branimir centar </w:t>
            </w:r>
          </w:p>
        </w:tc>
        <w:tc>
          <w:tcPr>
            <w:tcW w:w="4390" w:type="dxa"/>
            <w:tcBorders>
              <w:top w:val="single" w:sz="8" w:space="0" w:color="5B9BD5"/>
              <w:left w:val="nil"/>
              <w:bottom w:val="single" w:sz="8" w:space="0" w:color="5B9BD5"/>
              <w:right w:val="nil"/>
            </w:tcBorders>
          </w:tcPr>
          <w:p w14:paraId="36102F7C"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Ulica Kneza Branimira 29, Zagreb </w:t>
            </w:r>
          </w:p>
        </w:tc>
        <w:tc>
          <w:tcPr>
            <w:tcW w:w="1750" w:type="dxa"/>
            <w:tcBorders>
              <w:top w:val="single" w:sz="8" w:space="0" w:color="5B9BD5"/>
              <w:left w:val="nil"/>
              <w:bottom w:val="single" w:sz="8" w:space="0" w:color="5B9BD5"/>
              <w:right w:val="single" w:sz="8" w:space="0" w:color="5B9BD5"/>
            </w:tcBorders>
          </w:tcPr>
          <w:p w14:paraId="25FA797F"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421 </w:t>
            </w:r>
          </w:p>
        </w:tc>
      </w:tr>
      <w:tr w:rsidR="00C5315F" w:rsidRPr="000C506C" w14:paraId="3C35A2A3"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31F7CB5A"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Centar Cvjetni </w:t>
            </w:r>
          </w:p>
        </w:tc>
        <w:tc>
          <w:tcPr>
            <w:tcW w:w="4390" w:type="dxa"/>
            <w:tcBorders>
              <w:top w:val="single" w:sz="8" w:space="0" w:color="5B9BD5"/>
              <w:left w:val="nil"/>
              <w:bottom w:val="single" w:sz="8" w:space="0" w:color="5B9BD5"/>
              <w:right w:val="nil"/>
            </w:tcBorders>
          </w:tcPr>
          <w:p w14:paraId="0A410654"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Varšavska 6, Zagreb </w:t>
            </w:r>
          </w:p>
        </w:tc>
        <w:tc>
          <w:tcPr>
            <w:tcW w:w="1750" w:type="dxa"/>
            <w:tcBorders>
              <w:top w:val="single" w:sz="8" w:space="0" w:color="5B9BD5"/>
              <w:left w:val="nil"/>
              <w:bottom w:val="single" w:sz="8" w:space="0" w:color="5B9BD5"/>
              <w:right w:val="single" w:sz="8" w:space="0" w:color="5B9BD5"/>
            </w:tcBorders>
          </w:tcPr>
          <w:p w14:paraId="7B9C74B1"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320 </w:t>
            </w:r>
          </w:p>
        </w:tc>
      </w:tr>
      <w:tr w:rsidR="00C5315F" w:rsidRPr="000C506C" w14:paraId="5704736A" w14:textId="77777777" w:rsidTr="00072476">
        <w:trPr>
          <w:trHeight w:val="214"/>
        </w:trPr>
        <w:tc>
          <w:tcPr>
            <w:tcW w:w="2864" w:type="dxa"/>
            <w:tcBorders>
              <w:top w:val="single" w:sz="8" w:space="0" w:color="5B9BD5"/>
              <w:left w:val="single" w:sz="8" w:space="0" w:color="5B9BD5"/>
              <w:bottom w:val="single" w:sz="8" w:space="0" w:color="5B9BD5"/>
              <w:right w:val="nil"/>
            </w:tcBorders>
          </w:tcPr>
          <w:p w14:paraId="70AD1643"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Hypo centar </w:t>
            </w:r>
          </w:p>
        </w:tc>
        <w:tc>
          <w:tcPr>
            <w:tcW w:w="4390" w:type="dxa"/>
            <w:tcBorders>
              <w:top w:val="single" w:sz="8" w:space="0" w:color="5B9BD5"/>
              <w:left w:val="nil"/>
              <w:bottom w:val="single" w:sz="8" w:space="0" w:color="5B9BD5"/>
              <w:right w:val="nil"/>
            </w:tcBorders>
          </w:tcPr>
          <w:p w14:paraId="3B3BFA62"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Slavonska avenija 6, Zagreb </w:t>
            </w:r>
          </w:p>
        </w:tc>
        <w:tc>
          <w:tcPr>
            <w:tcW w:w="1750" w:type="dxa"/>
            <w:tcBorders>
              <w:top w:val="single" w:sz="8" w:space="0" w:color="5B9BD5"/>
              <w:left w:val="nil"/>
              <w:bottom w:val="single" w:sz="8" w:space="0" w:color="5B9BD5"/>
              <w:right w:val="single" w:sz="8" w:space="0" w:color="5B9BD5"/>
            </w:tcBorders>
          </w:tcPr>
          <w:p w14:paraId="070146C4"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726 </w:t>
            </w:r>
          </w:p>
        </w:tc>
      </w:tr>
      <w:tr w:rsidR="00C5315F" w:rsidRPr="000C506C" w14:paraId="22527671"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60CC9BC6"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Importanne centar </w:t>
            </w:r>
          </w:p>
        </w:tc>
        <w:tc>
          <w:tcPr>
            <w:tcW w:w="4390" w:type="dxa"/>
            <w:tcBorders>
              <w:top w:val="single" w:sz="8" w:space="0" w:color="5B9BD5"/>
              <w:left w:val="nil"/>
              <w:bottom w:val="single" w:sz="8" w:space="0" w:color="5B9BD5"/>
              <w:right w:val="nil"/>
            </w:tcBorders>
          </w:tcPr>
          <w:p w14:paraId="2480D4D8"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Trg Ante Starčević 7, Zagreb </w:t>
            </w:r>
          </w:p>
        </w:tc>
        <w:tc>
          <w:tcPr>
            <w:tcW w:w="1750" w:type="dxa"/>
            <w:tcBorders>
              <w:top w:val="single" w:sz="8" w:space="0" w:color="5B9BD5"/>
              <w:left w:val="nil"/>
              <w:bottom w:val="single" w:sz="8" w:space="0" w:color="5B9BD5"/>
              <w:right w:val="single" w:sz="8" w:space="0" w:color="5B9BD5"/>
            </w:tcBorders>
          </w:tcPr>
          <w:p w14:paraId="7D723B1B"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500 </w:t>
            </w:r>
          </w:p>
        </w:tc>
      </w:tr>
      <w:tr w:rsidR="00C5315F" w:rsidRPr="000C506C" w14:paraId="714E400B"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50969BCD"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Importanne Galleria </w:t>
            </w:r>
          </w:p>
        </w:tc>
        <w:tc>
          <w:tcPr>
            <w:tcW w:w="4390" w:type="dxa"/>
            <w:tcBorders>
              <w:top w:val="single" w:sz="8" w:space="0" w:color="5B9BD5"/>
              <w:left w:val="nil"/>
              <w:bottom w:val="single" w:sz="8" w:space="0" w:color="5B9BD5"/>
              <w:right w:val="nil"/>
            </w:tcBorders>
          </w:tcPr>
          <w:p w14:paraId="3CE3DDA4"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Iblerov trg 10, Zagreb </w:t>
            </w:r>
          </w:p>
        </w:tc>
        <w:tc>
          <w:tcPr>
            <w:tcW w:w="1750" w:type="dxa"/>
            <w:tcBorders>
              <w:top w:val="single" w:sz="8" w:space="0" w:color="5B9BD5"/>
              <w:left w:val="nil"/>
              <w:bottom w:val="single" w:sz="8" w:space="0" w:color="5B9BD5"/>
              <w:right w:val="single" w:sz="8" w:space="0" w:color="5B9BD5"/>
            </w:tcBorders>
          </w:tcPr>
          <w:p w14:paraId="0CBAB213"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500 </w:t>
            </w:r>
          </w:p>
        </w:tc>
      </w:tr>
      <w:tr w:rsidR="00C5315F" w:rsidRPr="000C506C" w14:paraId="7302AB61" w14:textId="77777777" w:rsidTr="00072476">
        <w:trPr>
          <w:trHeight w:val="214"/>
        </w:trPr>
        <w:tc>
          <w:tcPr>
            <w:tcW w:w="2864" w:type="dxa"/>
            <w:tcBorders>
              <w:top w:val="single" w:sz="8" w:space="0" w:color="5B9BD5"/>
              <w:left w:val="single" w:sz="8" w:space="0" w:color="5B9BD5"/>
              <w:bottom w:val="single" w:sz="8" w:space="0" w:color="5B9BD5"/>
              <w:right w:val="nil"/>
            </w:tcBorders>
          </w:tcPr>
          <w:p w14:paraId="61FBC83A"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Garaža International </w:t>
            </w:r>
          </w:p>
        </w:tc>
        <w:tc>
          <w:tcPr>
            <w:tcW w:w="4390" w:type="dxa"/>
            <w:tcBorders>
              <w:top w:val="single" w:sz="8" w:space="0" w:color="5B9BD5"/>
              <w:left w:val="nil"/>
              <w:bottom w:val="single" w:sz="8" w:space="0" w:color="5B9BD5"/>
              <w:right w:val="nil"/>
            </w:tcBorders>
          </w:tcPr>
          <w:p w14:paraId="133D3802"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Miramarska 24, Zagreb </w:t>
            </w:r>
          </w:p>
        </w:tc>
        <w:tc>
          <w:tcPr>
            <w:tcW w:w="1750" w:type="dxa"/>
            <w:tcBorders>
              <w:top w:val="single" w:sz="8" w:space="0" w:color="5B9BD5"/>
              <w:left w:val="nil"/>
              <w:bottom w:val="single" w:sz="8" w:space="0" w:color="5B9BD5"/>
              <w:right w:val="single" w:sz="8" w:space="0" w:color="5B9BD5"/>
            </w:tcBorders>
          </w:tcPr>
          <w:p w14:paraId="2E9A5D86"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444 </w:t>
            </w:r>
          </w:p>
        </w:tc>
      </w:tr>
      <w:tr w:rsidR="00C5315F" w:rsidRPr="000C506C" w14:paraId="16BA5B81"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48758FF0"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Kaptol centar </w:t>
            </w:r>
          </w:p>
        </w:tc>
        <w:tc>
          <w:tcPr>
            <w:tcW w:w="4390" w:type="dxa"/>
            <w:tcBorders>
              <w:top w:val="single" w:sz="8" w:space="0" w:color="5B9BD5"/>
              <w:left w:val="nil"/>
              <w:bottom w:val="single" w:sz="8" w:space="0" w:color="5B9BD5"/>
              <w:right w:val="nil"/>
            </w:tcBorders>
          </w:tcPr>
          <w:p w14:paraId="611FD303"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Nova Ves 17, Zagreb </w:t>
            </w:r>
          </w:p>
        </w:tc>
        <w:tc>
          <w:tcPr>
            <w:tcW w:w="1750" w:type="dxa"/>
            <w:tcBorders>
              <w:top w:val="single" w:sz="8" w:space="0" w:color="5B9BD5"/>
              <w:left w:val="nil"/>
              <w:bottom w:val="single" w:sz="8" w:space="0" w:color="5B9BD5"/>
              <w:right w:val="single" w:sz="8" w:space="0" w:color="5B9BD5"/>
            </w:tcBorders>
          </w:tcPr>
          <w:p w14:paraId="1CEEF85A"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512 </w:t>
            </w:r>
          </w:p>
        </w:tc>
      </w:tr>
      <w:tr w:rsidR="00C5315F" w:rsidRPr="000C506C" w14:paraId="0B0BFBD3"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0655304B"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Kvaternikova </w:t>
            </w:r>
          </w:p>
        </w:tc>
        <w:tc>
          <w:tcPr>
            <w:tcW w:w="4390" w:type="dxa"/>
            <w:tcBorders>
              <w:top w:val="single" w:sz="8" w:space="0" w:color="5B9BD5"/>
              <w:left w:val="nil"/>
              <w:bottom w:val="single" w:sz="8" w:space="0" w:color="5B9BD5"/>
              <w:right w:val="nil"/>
            </w:tcBorders>
          </w:tcPr>
          <w:p w14:paraId="0D2A6B37"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Kvaternikov trg bb, Zagreb </w:t>
            </w:r>
          </w:p>
        </w:tc>
        <w:tc>
          <w:tcPr>
            <w:tcW w:w="1750" w:type="dxa"/>
            <w:tcBorders>
              <w:top w:val="single" w:sz="8" w:space="0" w:color="5B9BD5"/>
              <w:left w:val="nil"/>
              <w:bottom w:val="single" w:sz="8" w:space="0" w:color="5B9BD5"/>
              <w:right w:val="single" w:sz="8" w:space="0" w:color="5B9BD5"/>
            </w:tcBorders>
          </w:tcPr>
          <w:p w14:paraId="2F5FD8C6"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354 </w:t>
            </w:r>
          </w:p>
        </w:tc>
      </w:tr>
      <w:tr w:rsidR="00C5315F" w:rsidRPr="000C506C" w14:paraId="5F02DFEF"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65C88399"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Langova </w:t>
            </w:r>
          </w:p>
        </w:tc>
        <w:tc>
          <w:tcPr>
            <w:tcW w:w="4390" w:type="dxa"/>
            <w:tcBorders>
              <w:top w:val="single" w:sz="8" w:space="0" w:color="5B9BD5"/>
              <w:left w:val="nil"/>
              <w:bottom w:val="single" w:sz="8" w:space="0" w:color="5B9BD5"/>
              <w:right w:val="nil"/>
            </w:tcBorders>
          </w:tcPr>
          <w:p w14:paraId="586D7C64"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Langov trg bb, Zagreb </w:t>
            </w:r>
          </w:p>
        </w:tc>
        <w:tc>
          <w:tcPr>
            <w:tcW w:w="1750" w:type="dxa"/>
            <w:tcBorders>
              <w:top w:val="single" w:sz="8" w:space="0" w:color="5B9BD5"/>
              <w:left w:val="nil"/>
              <w:bottom w:val="single" w:sz="8" w:space="0" w:color="5B9BD5"/>
              <w:right w:val="single" w:sz="8" w:space="0" w:color="5B9BD5"/>
            </w:tcBorders>
          </w:tcPr>
          <w:p w14:paraId="7B49F32C"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305 </w:t>
            </w:r>
          </w:p>
        </w:tc>
      </w:tr>
      <w:tr w:rsidR="00C5315F" w:rsidRPr="000C506C" w14:paraId="1D0D8EC8" w14:textId="77777777" w:rsidTr="00072476">
        <w:trPr>
          <w:trHeight w:val="214"/>
        </w:trPr>
        <w:tc>
          <w:tcPr>
            <w:tcW w:w="2864" w:type="dxa"/>
            <w:tcBorders>
              <w:top w:val="single" w:sz="8" w:space="0" w:color="5B9BD5"/>
              <w:left w:val="single" w:sz="8" w:space="0" w:color="5B9BD5"/>
              <w:bottom w:val="single" w:sz="8" w:space="0" w:color="5B9BD5"/>
              <w:right w:val="nil"/>
            </w:tcBorders>
          </w:tcPr>
          <w:p w14:paraId="0C55C4E5"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Petrinjska </w:t>
            </w:r>
          </w:p>
        </w:tc>
        <w:tc>
          <w:tcPr>
            <w:tcW w:w="4390" w:type="dxa"/>
            <w:tcBorders>
              <w:top w:val="single" w:sz="8" w:space="0" w:color="5B9BD5"/>
              <w:left w:val="nil"/>
              <w:bottom w:val="single" w:sz="8" w:space="0" w:color="5B9BD5"/>
              <w:right w:val="nil"/>
            </w:tcBorders>
          </w:tcPr>
          <w:p w14:paraId="516F3C57"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Petrinjska ulica 59, Zagreb </w:t>
            </w:r>
          </w:p>
        </w:tc>
        <w:tc>
          <w:tcPr>
            <w:tcW w:w="1750" w:type="dxa"/>
            <w:tcBorders>
              <w:top w:val="single" w:sz="8" w:space="0" w:color="5B9BD5"/>
              <w:left w:val="nil"/>
              <w:bottom w:val="single" w:sz="8" w:space="0" w:color="5B9BD5"/>
              <w:right w:val="single" w:sz="8" w:space="0" w:color="5B9BD5"/>
            </w:tcBorders>
          </w:tcPr>
          <w:p w14:paraId="336AA375"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134 </w:t>
            </w:r>
          </w:p>
        </w:tc>
      </w:tr>
      <w:tr w:rsidR="00C5315F" w:rsidRPr="000C506C" w14:paraId="418A4883"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2C2B48E1"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Gorica </w:t>
            </w:r>
          </w:p>
        </w:tc>
        <w:tc>
          <w:tcPr>
            <w:tcW w:w="4390" w:type="dxa"/>
            <w:tcBorders>
              <w:top w:val="single" w:sz="8" w:space="0" w:color="5B9BD5"/>
              <w:left w:val="nil"/>
              <w:bottom w:val="single" w:sz="8" w:space="0" w:color="5B9BD5"/>
              <w:right w:val="nil"/>
            </w:tcBorders>
          </w:tcPr>
          <w:p w14:paraId="13979863"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Martićeva 69, Zagreb </w:t>
            </w:r>
          </w:p>
        </w:tc>
        <w:tc>
          <w:tcPr>
            <w:tcW w:w="1750" w:type="dxa"/>
            <w:tcBorders>
              <w:top w:val="single" w:sz="8" w:space="0" w:color="5B9BD5"/>
              <w:left w:val="nil"/>
              <w:bottom w:val="single" w:sz="8" w:space="0" w:color="5B9BD5"/>
              <w:right w:val="single" w:sz="8" w:space="0" w:color="5B9BD5"/>
            </w:tcBorders>
          </w:tcPr>
          <w:p w14:paraId="39BDCDBB"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370 </w:t>
            </w:r>
          </w:p>
        </w:tc>
      </w:tr>
      <w:tr w:rsidR="00C5315F" w:rsidRPr="000C506C" w14:paraId="3967E346"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710CB1AA"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Rebro - bolnica Rebro </w:t>
            </w:r>
          </w:p>
        </w:tc>
        <w:tc>
          <w:tcPr>
            <w:tcW w:w="4390" w:type="dxa"/>
            <w:tcBorders>
              <w:top w:val="single" w:sz="8" w:space="0" w:color="5B9BD5"/>
              <w:left w:val="nil"/>
              <w:bottom w:val="single" w:sz="8" w:space="0" w:color="5B9BD5"/>
              <w:right w:val="nil"/>
            </w:tcBorders>
          </w:tcPr>
          <w:p w14:paraId="0F08AC10"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Kišpatićeva 12, Zagreb </w:t>
            </w:r>
          </w:p>
        </w:tc>
        <w:tc>
          <w:tcPr>
            <w:tcW w:w="1750" w:type="dxa"/>
            <w:tcBorders>
              <w:top w:val="single" w:sz="8" w:space="0" w:color="5B9BD5"/>
              <w:left w:val="nil"/>
              <w:bottom w:val="single" w:sz="8" w:space="0" w:color="5B9BD5"/>
              <w:right w:val="single" w:sz="8" w:space="0" w:color="5B9BD5"/>
            </w:tcBorders>
          </w:tcPr>
          <w:p w14:paraId="5ABDAB77"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664 </w:t>
            </w:r>
          </w:p>
        </w:tc>
      </w:tr>
      <w:tr w:rsidR="00C5315F" w:rsidRPr="000C506C" w14:paraId="110ADED2" w14:textId="77777777" w:rsidTr="00072476">
        <w:trPr>
          <w:trHeight w:val="214"/>
        </w:trPr>
        <w:tc>
          <w:tcPr>
            <w:tcW w:w="2864" w:type="dxa"/>
            <w:tcBorders>
              <w:top w:val="single" w:sz="8" w:space="0" w:color="5B9BD5"/>
              <w:left w:val="single" w:sz="8" w:space="0" w:color="5B9BD5"/>
              <w:bottom w:val="single" w:sz="8" w:space="0" w:color="5B9BD5"/>
              <w:right w:val="nil"/>
            </w:tcBorders>
          </w:tcPr>
          <w:p w14:paraId="6186D59C"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Svetice </w:t>
            </w:r>
          </w:p>
        </w:tc>
        <w:tc>
          <w:tcPr>
            <w:tcW w:w="4390" w:type="dxa"/>
            <w:tcBorders>
              <w:top w:val="single" w:sz="8" w:space="0" w:color="5B9BD5"/>
              <w:left w:val="nil"/>
              <w:bottom w:val="single" w:sz="8" w:space="0" w:color="5B9BD5"/>
              <w:right w:val="nil"/>
            </w:tcBorders>
          </w:tcPr>
          <w:p w14:paraId="0CBDB211"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Budakova bb, Zagreb </w:t>
            </w:r>
          </w:p>
        </w:tc>
        <w:tc>
          <w:tcPr>
            <w:tcW w:w="1750" w:type="dxa"/>
            <w:tcBorders>
              <w:top w:val="single" w:sz="8" w:space="0" w:color="5B9BD5"/>
              <w:left w:val="nil"/>
              <w:bottom w:val="single" w:sz="8" w:space="0" w:color="5B9BD5"/>
              <w:right w:val="single" w:sz="8" w:space="0" w:color="5B9BD5"/>
            </w:tcBorders>
          </w:tcPr>
          <w:p w14:paraId="6464FB55"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115 </w:t>
            </w:r>
          </w:p>
        </w:tc>
      </w:tr>
      <w:tr w:rsidR="00C5315F" w:rsidRPr="000C506C" w14:paraId="5F269687"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6912EA30"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Point centar Vrbani </w:t>
            </w:r>
          </w:p>
        </w:tc>
        <w:tc>
          <w:tcPr>
            <w:tcW w:w="4390" w:type="dxa"/>
            <w:tcBorders>
              <w:top w:val="single" w:sz="8" w:space="0" w:color="5B9BD5"/>
              <w:left w:val="nil"/>
              <w:bottom w:val="single" w:sz="8" w:space="0" w:color="5B9BD5"/>
              <w:right w:val="nil"/>
            </w:tcBorders>
          </w:tcPr>
          <w:p w14:paraId="15AF33B8"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Rudeška ulica 169a, Zagreb </w:t>
            </w:r>
          </w:p>
        </w:tc>
        <w:tc>
          <w:tcPr>
            <w:tcW w:w="1750" w:type="dxa"/>
            <w:tcBorders>
              <w:top w:val="single" w:sz="8" w:space="0" w:color="5B9BD5"/>
              <w:left w:val="nil"/>
              <w:bottom w:val="single" w:sz="8" w:space="0" w:color="5B9BD5"/>
              <w:right w:val="single" w:sz="8" w:space="0" w:color="5B9BD5"/>
            </w:tcBorders>
          </w:tcPr>
          <w:p w14:paraId="7D5FCC1E"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508 </w:t>
            </w:r>
          </w:p>
        </w:tc>
      </w:tr>
      <w:tr w:rsidR="00C5315F" w:rsidRPr="000C506C" w14:paraId="29C5B3E6"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6669AE27"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Tuškanac </w:t>
            </w:r>
          </w:p>
        </w:tc>
        <w:tc>
          <w:tcPr>
            <w:tcW w:w="4390" w:type="dxa"/>
            <w:tcBorders>
              <w:top w:val="single" w:sz="8" w:space="0" w:color="5B9BD5"/>
              <w:left w:val="nil"/>
              <w:bottom w:val="single" w:sz="8" w:space="0" w:color="5B9BD5"/>
              <w:right w:val="nil"/>
            </w:tcBorders>
          </w:tcPr>
          <w:p w14:paraId="7F4B0AB2"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Tuškanac bb, Zagreb </w:t>
            </w:r>
          </w:p>
        </w:tc>
        <w:tc>
          <w:tcPr>
            <w:tcW w:w="1750" w:type="dxa"/>
            <w:tcBorders>
              <w:top w:val="single" w:sz="8" w:space="0" w:color="5B9BD5"/>
              <w:left w:val="nil"/>
              <w:bottom w:val="single" w:sz="8" w:space="0" w:color="5B9BD5"/>
              <w:right w:val="single" w:sz="8" w:space="0" w:color="5B9BD5"/>
            </w:tcBorders>
          </w:tcPr>
          <w:p w14:paraId="7CE64A84"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465 </w:t>
            </w:r>
          </w:p>
        </w:tc>
      </w:tr>
      <w:tr w:rsidR="00C5315F" w:rsidRPr="000C506C" w14:paraId="3C23FF87"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20934178"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i/>
                <w:color w:val="000000"/>
                <w:lang w:eastAsia="hr-HR"/>
              </w:rPr>
              <w:t xml:space="preserve">Jelkovec 1 </w:t>
            </w:r>
          </w:p>
        </w:tc>
        <w:tc>
          <w:tcPr>
            <w:tcW w:w="4390" w:type="dxa"/>
            <w:tcBorders>
              <w:top w:val="single" w:sz="8" w:space="0" w:color="5B9BD5"/>
              <w:left w:val="nil"/>
              <w:bottom w:val="single" w:sz="8" w:space="0" w:color="5B9BD5"/>
              <w:right w:val="nil"/>
            </w:tcBorders>
          </w:tcPr>
          <w:p w14:paraId="4C4353F0"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144. brigade Hrvatske vojske 4, Sesvete </w:t>
            </w:r>
          </w:p>
        </w:tc>
        <w:tc>
          <w:tcPr>
            <w:tcW w:w="1750" w:type="dxa"/>
            <w:tcBorders>
              <w:top w:val="single" w:sz="8" w:space="0" w:color="5B9BD5"/>
              <w:left w:val="nil"/>
              <w:bottom w:val="single" w:sz="8" w:space="0" w:color="5B9BD5"/>
              <w:right w:val="single" w:sz="8" w:space="0" w:color="5B9BD5"/>
            </w:tcBorders>
          </w:tcPr>
          <w:p w14:paraId="4DF7F2A2"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i/>
                <w:color w:val="000000"/>
                <w:lang w:eastAsia="hr-HR"/>
              </w:rPr>
              <w:t xml:space="preserve">205 </w:t>
            </w:r>
          </w:p>
        </w:tc>
      </w:tr>
      <w:tr w:rsidR="00C5315F" w:rsidRPr="000C506C" w14:paraId="2510E639"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4C0EAD3E" w14:textId="77777777" w:rsidR="00C5315F" w:rsidRPr="000C506C" w:rsidRDefault="00C5315F" w:rsidP="00072476">
            <w:pPr>
              <w:spacing w:after="3" w:line="266" w:lineRule="auto"/>
              <w:ind w:left="19" w:right="246" w:hanging="10"/>
              <w:jc w:val="both"/>
              <w:rPr>
                <w:rFonts w:cs="Calibri"/>
                <w:b/>
                <w:i/>
                <w:color w:val="000000"/>
                <w:lang w:eastAsia="hr-HR"/>
              </w:rPr>
            </w:pPr>
            <w:r>
              <w:rPr>
                <w:rFonts w:cs="Calibri"/>
                <w:b/>
                <w:i/>
                <w:color w:val="000000"/>
                <w:lang w:eastAsia="hr-HR"/>
              </w:rPr>
              <w:t>Jelkovec 2</w:t>
            </w:r>
          </w:p>
        </w:tc>
        <w:tc>
          <w:tcPr>
            <w:tcW w:w="4390" w:type="dxa"/>
            <w:tcBorders>
              <w:top w:val="single" w:sz="8" w:space="0" w:color="5B9BD5"/>
              <w:left w:val="nil"/>
              <w:bottom w:val="single" w:sz="8" w:space="0" w:color="5B9BD5"/>
              <w:right w:val="nil"/>
            </w:tcBorders>
          </w:tcPr>
          <w:p w14:paraId="6A18FD23" w14:textId="77777777" w:rsidR="00C5315F" w:rsidRPr="000C506C" w:rsidRDefault="00C5315F" w:rsidP="00072476">
            <w:pPr>
              <w:spacing w:after="3" w:line="266" w:lineRule="auto"/>
              <w:ind w:left="19" w:right="246" w:hanging="10"/>
              <w:jc w:val="both"/>
              <w:rPr>
                <w:rFonts w:cs="Calibri"/>
                <w:i/>
                <w:color w:val="000000"/>
                <w:lang w:eastAsia="hr-HR"/>
              </w:rPr>
            </w:pPr>
            <w:r w:rsidRPr="00BF0C6F">
              <w:rPr>
                <w:rFonts w:cs="Calibri"/>
                <w:i/>
                <w:color w:val="000000"/>
                <w:lang w:eastAsia="hr-HR"/>
              </w:rPr>
              <w:t>144. brigade Hrvatske vojske 4, Sesvete</w:t>
            </w:r>
          </w:p>
        </w:tc>
        <w:tc>
          <w:tcPr>
            <w:tcW w:w="1750" w:type="dxa"/>
            <w:tcBorders>
              <w:top w:val="single" w:sz="8" w:space="0" w:color="5B9BD5"/>
              <w:left w:val="nil"/>
              <w:bottom w:val="single" w:sz="8" w:space="0" w:color="5B9BD5"/>
              <w:right w:val="single" w:sz="8" w:space="0" w:color="5B9BD5"/>
            </w:tcBorders>
          </w:tcPr>
          <w:p w14:paraId="5BB40AD8" w14:textId="77777777" w:rsidR="00C5315F" w:rsidRPr="000C506C" w:rsidRDefault="00C5315F" w:rsidP="00072476">
            <w:pPr>
              <w:spacing w:after="3" w:line="266" w:lineRule="auto"/>
              <w:ind w:left="19" w:right="246" w:hanging="10"/>
              <w:jc w:val="both"/>
              <w:rPr>
                <w:rFonts w:cs="Calibri"/>
                <w:i/>
                <w:color w:val="000000"/>
                <w:lang w:eastAsia="hr-HR"/>
              </w:rPr>
            </w:pPr>
            <w:r>
              <w:rPr>
                <w:rFonts w:cs="Calibri"/>
                <w:i/>
                <w:color w:val="000000"/>
                <w:lang w:eastAsia="hr-HR"/>
              </w:rPr>
              <w:t>237</w:t>
            </w:r>
          </w:p>
        </w:tc>
      </w:tr>
      <w:tr w:rsidR="00C5315F" w:rsidRPr="000C506C" w14:paraId="223215DE" w14:textId="77777777" w:rsidTr="00072476">
        <w:trPr>
          <w:trHeight w:val="216"/>
        </w:trPr>
        <w:tc>
          <w:tcPr>
            <w:tcW w:w="2864" w:type="dxa"/>
            <w:tcBorders>
              <w:top w:val="single" w:sz="8" w:space="0" w:color="5B9BD5"/>
              <w:left w:val="single" w:sz="8" w:space="0" w:color="5B9BD5"/>
              <w:bottom w:val="single" w:sz="8" w:space="0" w:color="5B9BD5"/>
              <w:right w:val="nil"/>
            </w:tcBorders>
          </w:tcPr>
          <w:p w14:paraId="145CE5D0"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b/>
                <w:color w:val="000000"/>
                <w:lang w:eastAsia="hr-HR"/>
              </w:rPr>
              <w:t xml:space="preserve"> </w:t>
            </w:r>
          </w:p>
        </w:tc>
        <w:tc>
          <w:tcPr>
            <w:tcW w:w="4390" w:type="dxa"/>
            <w:tcBorders>
              <w:top w:val="single" w:sz="8" w:space="0" w:color="5B9BD5"/>
              <w:left w:val="nil"/>
              <w:bottom w:val="single" w:sz="8" w:space="0" w:color="5B9BD5"/>
              <w:right w:val="nil"/>
            </w:tcBorders>
          </w:tcPr>
          <w:p w14:paraId="4AE90C84"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 xml:space="preserve"> </w:t>
            </w:r>
          </w:p>
        </w:tc>
        <w:tc>
          <w:tcPr>
            <w:tcW w:w="1750" w:type="dxa"/>
            <w:tcBorders>
              <w:top w:val="single" w:sz="8" w:space="0" w:color="5B9BD5"/>
              <w:left w:val="nil"/>
              <w:bottom w:val="single" w:sz="8" w:space="0" w:color="5B9BD5"/>
              <w:right w:val="single" w:sz="8" w:space="0" w:color="5B9BD5"/>
            </w:tcBorders>
          </w:tcPr>
          <w:p w14:paraId="69920761" w14:textId="77777777" w:rsidR="00C5315F" w:rsidRPr="000C506C" w:rsidRDefault="00C5315F" w:rsidP="00072476">
            <w:pPr>
              <w:spacing w:after="3" w:line="266" w:lineRule="auto"/>
              <w:ind w:left="19" w:right="246" w:hanging="10"/>
              <w:jc w:val="both"/>
              <w:rPr>
                <w:rFonts w:cs="Calibri"/>
                <w:color w:val="000000"/>
                <w:lang w:eastAsia="hr-HR"/>
              </w:rPr>
            </w:pPr>
            <w:r w:rsidRPr="000C506C">
              <w:rPr>
                <w:rFonts w:cs="Calibri"/>
                <w:color w:val="000000"/>
                <w:lang w:eastAsia="hr-HR"/>
              </w:rPr>
              <w:t>7.</w:t>
            </w:r>
            <w:r>
              <w:rPr>
                <w:rFonts w:cs="Calibri"/>
                <w:color w:val="000000"/>
                <w:lang w:eastAsia="hr-HR"/>
              </w:rPr>
              <w:t>780</w:t>
            </w:r>
          </w:p>
        </w:tc>
      </w:tr>
    </w:tbl>
    <w:p w14:paraId="767DA243" w14:textId="77777777" w:rsidR="00C5315F" w:rsidRDefault="00C5315F" w:rsidP="00C5315F">
      <w:pPr>
        <w:spacing w:line="240" w:lineRule="auto"/>
        <w:jc w:val="both"/>
        <w:rPr>
          <w:rFonts w:cs="Calibri"/>
        </w:rPr>
      </w:pPr>
      <w:r>
        <w:rPr>
          <w:rFonts w:cs="Calibri"/>
        </w:rPr>
        <w:t>Izvor: Zagrebački holding d.o.o. – podružnica Zagrebparking</w:t>
      </w:r>
    </w:p>
    <w:p w14:paraId="4CC6E285" w14:textId="78F6BF7F" w:rsidR="00C5315F" w:rsidRDefault="00C5315F" w:rsidP="00C5315F">
      <w:pPr>
        <w:spacing w:line="240" w:lineRule="auto"/>
        <w:jc w:val="both"/>
        <w:rPr>
          <w:rFonts w:cs="Calibri"/>
        </w:rPr>
      </w:pPr>
      <w:r w:rsidRPr="000C506C">
        <w:rPr>
          <w:rFonts w:cs="Calibri"/>
        </w:rPr>
        <w:t>Očigledno je da popunjenost javnih garaža raste s vremenom, što opravdava njihovu izgradnju i povećanu potražnju za parkirnim mjestima</w:t>
      </w:r>
    </w:p>
    <w:p w14:paraId="2D1D553D" w14:textId="77777777" w:rsidR="00F72738" w:rsidRDefault="00F72738" w:rsidP="00C5315F">
      <w:pPr>
        <w:spacing w:line="240" w:lineRule="auto"/>
        <w:jc w:val="both"/>
        <w:rPr>
          <w:rFonts w:cs="Calibri"/>
        </w:rPr>
      </w:pPr>
    </w:p>
    <w:p w14:paraId="04ECDDAA" w14:textId="5D28E3AF" w:rsidR="00C5315F" w:rsidRDefault="00C62E3E" w:rsidP="00E2286C">
      <w:pPr>
        <w:pStyle w:val="Opisslike"/>
        <w:rPr>
          <w:rFonts w:cs="Calibri"/>
        </w:rPr>
      </w:pPr>
      <w:r>
        <w:t xml:space="preserve">Tablica </w:t>
      </w:r>
      <w:r w:rsidR="00751C19">
        <w:fldChar w:fldCharType="begin"/>
      </w:r>
      <w:r w:rsidR="00751C19">
        <w:instrText xml:space="preserve"> SEQ Tablica \* ARABIC </w:instrText>
      </w:r>
      <w:r w:rsidR="00751C19">
        <w:fldChar w:fldCharType="separate"/>
      </w:r>
      <w:r w:rsidR="00803E25">
        <w:rPr>
          <w:noProof/>
        </w:rPr>
        <w:t>32</w:t>
      </w:r>
      <w:r w:rsidR="00751C19">
        <w:rPr>
          <w:noProof/>
        </w:rPr>
        <w:fldChar w:fldCharType="end"/>
      </w:r>
      <w:r>
        <w:t xml:space="preserve">. </w:t>
      </w:r>
      <w:r w:rsidRPr="00253931">
        <w:t xml:space="preserve">Godišnja </w:t>
      </w:r>
      <w:r w:rsidR="0094159C">
        <w:t xml:space="preserve"> popunjenost</w:t>
      </w:r>
      <w:r w:rsidRPr="00253931">
        <w:t xml:space="preserve"> u javnim garažama kojima upravlja Zagreb</w:t>
      </w:r>
      <w:r>
        <w:t xml:space="preserve"> </w:t>
      </w:r>
      <w:r w:rsidRPr="00253931">
        <w:t>parking 201</w:t>
      </w:r>
      <w:r w:rsidR="0094159C">
        <w:t>7</w:t>
      </w:r>
      <w:r w:rsidRPr="00253931">
        <w:t>.</w:t>
      </w:r>
      <w:r>
        <w:t xml:space="preserve"> </w:t>
      </w:r>
      <w:r w:rsidRPr="00253931">
        <w:t>-</w:t>
      </w:r>
      <w:r>
        <w:t xml:space="preserve"> </w:t>
      </w:r>
      <w:r w:rsidRPr="00253931">
        <w:t>20</w:t>
      </w:r>
      <w:r w:rsidR="0094159C">
        <w:t>21</w:t>
      </w:r>
      <w:r w:rsidRPr="00253931">
        <w:t>.</w:t>
      </w:r>
      <w:r w:rsidR="003E7BB1" w:rsidRPr="003E7BB1">
        <w:t xml:space="preserve"> </w:t>
      </w:r>
      <w:r w:rsidR="003E7BB1" w:rsidRPr="00253931">
        <w:t>-</w:t>
      </w:r>
      <w:r w:rsidR="003E7BB1">
        <w:t xml:space="preserve"> </w:t>
      </w:r>
      <w:r w:rsidR="003E7BB1" w:rsidRPr="00253931">
        <w:t>2016.</w:t>
      </w:r>
    </w:p>
    <w:tbl>
      <w:tblPr>
        <w:tblW w:w="9342" w:type="dxa"/>
        <w:tblInd w:w="-5" w:type="dxa"/>
        <w:tblLook w:val="04A0" w:firstRow="1" w:lastRow="0" w:firstColumn="1" w:lastColumn="0" w:noHBand="0" w:noVBand="1"/>
      </w:tblPr>
      <w:tblGrid>
        <w:gridCol w:w="2160"/>
        <w:gridCol w:w="1282"/>
        <w:gridCol w:w="1180"/>
        <w:gridCol w:w="1180"/>
        <w:gridCol w:w="1180"/>
        <w:gridCol w:w="1180"/>
        <w:gridCol w:w="1180"/>
      </w:tblGrid>
      <w:tr w:rsidR="0094159C" w:rsidRPr="001C4F96" w14:paraId="6F160847" w14:textId="77777777" w:rsidTr="0094159C">
        <w:trPr>
          <w:trHeight w:val="476"/>
        </w:trPr>
        <w:tc>
          <w:tcPr>
            <w:tcW w:w="2160" w:type="dxa"/>
            <w:vMerge w:val="restar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25D064BF" w14:textId="77777777" w:rsidR="0094159C" w:rsidRPr="001C4F96" w:rsidRDefault="0094159C" w:rsidP="005F7633">
            <w:pPr>
              <w:spacing w:after="0" w:line="240" w:lineRule="auto"/>
              <w:jc w:val="center"/>
              <w:rPr>
                <w:rFonts w:ascii="Calibri" w:eastAsia="Times New Roman" w:hAnsi="Calibri" w:cs="Calibri"/>
                <w:color w:val="FFFFFF"/>
                <w:sz w:val="24"/>
                <w:szCs w:val="24"/>
                <w:lang w:eastAsia="hr-HR"/>
              </w:rPr>
            </w:pPr>
            <w:r w:rsidRPr="001C4F96">
              <w:rPr>
                <w:rFonts w:ascii="Calibri" w:eastAsia="Times New Roman" w:hAnsi="Calibri" w:cs="Calibri"/>
                <w:color w:val="FFFFFF"/>
                <w:sz w:val="24"/>
                <w:szCs w:val="24"/>
                <w:lang w:eastAsia="hr-HR"/>
              </w:rPr>
              <w:t>NAZIV GARAŽE</w:t>
            </w:r>
          </w:p>
        </w:tc>
        <w:tc>
          <w:tcPr>
            <w:tcW w:w="1282"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46B5B88C" w14:textId="77777777" w:rsidR="0094159C" w:rsidRPr="001C4F96" w:rsidRDefault="0094159C" w:rsidP="005F7633">
            <w:pPr>
              <w:spacing w:after="0" w:line="240" w:lineRule="auto"/>
              <w:jc w:val="center"/>
              <w:rPr>
                <w:rFonts w:ascii="Calibri" w:eastAsia="Times New Roman" w:hAnsi="Calibri" w:cs="Calibri"/>
                <w:color w:val="FFFFFF"/>
                <w:sz w:val="24"/>
                <w:szCs w:val="24"/>
                <w:lang w:eastAsia="hr-HR"/>
              </w:rPr>
            </w:pPr>
            <w:r w:rsidRPr="001C4F96">
              <w:rPr>
                <w:rFonts w:ascii="Calibri" w:eastAsia="Times New Roman" w:hAnsi="Calibri" w:cs="Calibri"/>
                <w:color w:val="FFFFFF"/>
                <w:sz w:val="24"/>
                <w:szCs w:val="24"/>
                <w:lang w:eastAsia="hr-HR"/>
              </w:rPr>
              <w:t xml:space="preserve">KAPACITET </w:t>
            </w:r>
            <w:r w:rsidRPr="001C4F96">
              <w:rPr>
                <w:rFonts w:ascii="Calibri" w:eastAsia="Times New Roman" w:hAnsi="Calibri" w:cs="Calibri"/>
                <w:color w:val="FFFFFF"/>
                <w:sz w:val="24"/>
                <w:szCs w:val="24"/>
                <w:lang w:eastAsia="hr-HR"/>
              </w:rPr>
              <w:br/>
              <w:t>GARAŽE</w:t>
            </w:r>
            <w:r>
              <w:rPr>
                <w:rFonts w:ascii="Calibri" w:eastAsia="Times New Roman" w:hAnsi="Calibri" w:cs="Calibri"/>
                <w:color w:val="FFFFFF"/>
                <w:sz w:val="24"/>
                <w:szCs w:val="24"/>
                <w:lang w:eastAsia="hr-HR"/>
              </w:rPr>
              <w:t xml:space="preserve"> (PM)</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44759F70" w14:textId="77777777" w:rsidR="0094159C" w:rsidRPr="001C4F96" w:rsidRDefault="0094159C" w:rsidP="005F7633">
            <w:pPr>
              <w:spacing w:after="0" w:line="240" w:lineRule="auto"/>
              <w:jc w:val="center"/>
              <w:rPr>
                <w:rFonts w:ascii="Calibri" w:eastAsia="Times New Roman" w:hAnsi="Calibri" w:cs="Calibri"/>
                <w:color w:val="FFFFFF"/>
                <w:sz w:val="24"/>
                <w:szCs w:val="24"/>
                <w:lang w:eastAsia="hr-HR"/>
              </w:rPr>
            </w:pPr>
            <w:r w:rsidRPr="001C4F96">
              <w:rPr>
                <w:rFonts w:ascii="Calibri" w:eastAsia="Times New Roman" w:hAnsi="Calibri" w:cs="Calibri"/>
                <w:color w:val="FFFFFF"/>
                <w:sz w:val="24"/>
                <w:szCs w:val="24"/>
                <w:lang w:eastAsia="hr-HR"/>
              </w:rPr>
              <w:t>2017.</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6F725796" w14:textId="77777777" w:rsidR="0094159C" w:rsidRPr="001C4F96" w:rsidRDefault="0094159C" w:rsidP="005F7633">
            <w:pPr>
              <w:spacing w:after="0" w:line="240" w:lineRule="auto"/>
              <w:jc w:val="center"/>
              <w:rPr>
                <w:rFonts w:ascii="Calibri" w:eastAsia="Times New Roman" w:hAnsi="Calibri" w:cs="Calibri"/>
                <w:color w:val="FFFFFF"/>
                <w:sz w:val="24"/>
                <w:szCs w:val="24"/>
                <w:lang w:eastAsia="hr-HR"/>
              </w:rPr>
            </w:pPr>
            <w:r w:rsidRPr="001C4F96">
              <w:rPr>
                <w:rFonts w:ascii="Calibri" w:eastAsia="Times New Roman" w:hAnsi="Calibri" w:cs="Calibri"/>
                <w:color w:val="FFFFFF"/>
                <w:sz w:val="24"/>
                <w:szCs w:val="24"/>
                <w:lang w:eastAsia="hr-HR"/>
              </w:rPr>
              <w:t>2018.</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109715C6" w14:textId="77777777" w:rsidR="0094159C" w:rsidRPr="001C4F96" w:rsidRDefault="0094159C" w:rsidP="005F7633">
            <w:pPr>
              <w:spacing w:after="0" w:line="240" w:lineRule="auto"/>
              <w:jc w:val="center"/>
              <w:rPr>
                <w:rFonts w:ascii="Calibri" w:eastAsia="Times New Roman" w:hAnsi="Calibri" w:cs="Calibri"/>
                <w:color w:val="FFFFFF"/>
                <w:sz w:val="24"/>
                <w:szCs w:val="24"/>
                <w:lang w:eastAsia="hr-HR"/>
              </w:rPr>
            </w:pPr>
            <w:r w:rsidRPr="001C4F96">
              <w:rPr>
                <w:rFonts w:ascii="Calibri" w:eastAsia="Times New Roman" w:hAnsi="Calibri" w:cs="Calibri"/>
                <w:color w:val="FFFFFF"/>
                <w:sz w:val="24"/>
                <w:szCs w:val="24"/>
                <w:lang w:eastAsia="hr-HR"/>
              </w:rPr>
              <w:t>2019.</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0F2AFF36" w14:textId="77777777" w:rsidR="0094159C" w:rsidRPr="001C4F96" w:rsidRDefault="0094159C" w:rsidP="005F7633">
            <w:pPr>
              <w:spacing w:after="0" w:line="240" w:lineRule="auto"/>
              <w:jc w:val="center"/>
              <w:rPr>
                <w:rFonts w:ascii="Calibri" w:eastAsia="Times New Roman" w:hAnsi="Calibri" w:cs="Calibri"/>
                <w:color w:val="FFFFFF"/>
                <w:sz w:val="24"/>
                <w:szCs w:val="24"/>
                <w:lang w:eastAsia="hr-HR"/>
              </w:rPr>
            </w:pPr>
            <w:r w:rsidRPr="001C4F96">
              <w:rPr>
                <w:rFonts w:ascii="Calibri" w:eastAsia="Times New Roman" w:hAnsi="Calibri" w:cs="Calibri"/>
                <w:color w:val="FFFFFF"/>
                <w:sz w:val="24"/>
                <w:szCs w:val="24"/>
                <w:lang w:eastAsia="hr-HR"/>
              </w:rPr>
              <w:t>2020.</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1F497D"/>
            <w:vAlign w:val="center"/>
            <w:hideMark/>
          </w:tcPr>
          <w:p w14:paraId="7F8D6985" w14:textId="77777777" w:rsidR="0094159C" w:rsidRPr="001C4F96" w:rsidRDefault="0094159C" w:rsidP="005F7633">
            <w:pPr>
              <w:spacing w:after="0" w:line="240" w:lineRule="auto"/>
              <w:jc w:val="center"/>
              <w:rPr>
                <w:rFonts w:ascii="Calibri" w:eastAsia="Times New Roman" w:hAnsi="Calibri" w:cs="Calibri"/>
                <w:color w:val="FFFFFF"/>
                <w:sz w:val="24"/>
                <w:szCs w:val="24"/>
                <w:lang w:eastAsia="hr-HR"/>
              </w:rPr>
            </w:pPr>
            <w:r w:rsidRPr="001C4F96">
              <w:rPr>
                <w:rFonts w:ascii="Calibri" w:eastAsia="Times New Roman" w:hAnsi="Calibri" w:cs="Calibri"/>
                <w:color w:val="FFFFFF"/>
                <w:sz w:val="24"/>
                <w:szCs w:val="24"/>
                <w:lang w:eastAsia="hr-HR"/>
              </w:rPr>
              <w:t>2021.</w:t>
            </w:r>
          </w:p>
        </w:tc>
      </w:tr>
      <w:tr w:rsidR="0094159C" w:rsidRPr="001C4F96" w14:paraId="2BE4DE41" w14:textId="77777777" w:rsidTr="0094159C">
        <w:trPr>
          <w:trHeight w:val="476"/>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3B487A76" w14:textId="77777777" w:rsidR="0094159C" w:rsidRPr="001C4F96" w:rsidRDefault="0094159C" w:rsidP="005F7633">
            <w:pPr>
              <w:spacing w:after="0" w:line="240" w:lineRule="auto"/>
              <w:rPr>
                <w:rFonts w:ascii="Calibri" w:eastAsia="Times New Roman" w:hAnsi="Calibri" w:cs="Calibri"/>
                <w:color w:val="FFFFFF"/>
                <w:sz w:val="24"/>
                <w:szCs w:val="24"/>
                <w:lang w:eastAsia="hr-HR"/>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668EE5A5" w14:textId="77777777" w:rsidR="0094159C" w:rsidRPr="001C4F96" w:rsidRDefault="0094159C" w:rsidP="005F7633">
            <w:pPr>
              <w:spacing w:after="0" w:line="240" w:lineRule="auto"/>
              <w:rPr>
                <w:rFonts w:ascii="Calibri" w:eastAsia="Times New Roman" w:hAnsi="Calibri" w:cs="Calibri"/>
                <w:color w:val="FFFFFF"/>
                <w:sz w:val="24"/>
                <w:szCs w:val="24"/>
                <w:lang w:eastAsia="hr-H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30CD08C" w14:textId="77777777" w:rsidR="0094159C" w:rsidRPr="001C4F96" w:rsidRDefault="0094159C" w:rsidP="005F7633">
            <w:pPr>
              <w:spacing w:after="0" w:line="240" w:lineRule="auto"/>
              <w:rPr>
                <w:rFonts w:ascii="Calibri" w:eastAsia="Times New Roman" w:hAnsi="Calibri" w:cs="Calibri"/>
                <w:color w:val="FFFFFF"/>
                <w:sz w:val="24"/>
                <w:szCs w:val="24"/>
                <w:lang w:eastAsia="hr-H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DA94A05" w14:textId="77777777" w:rsidR="0094159C" w:rsidRPr="001C4F96" w:rsidRDefault="0094159C" w:rsidP="005F7633">
            <w:pPr>
              <w:spacing w:after="0" w:line="240" w:lineRule="auto"/>
              <w:rPr>
                <w:rFonts w:ascii="Calibri" w:eastAsia="Times New Roman" w:hAnsi="Calibri" w:cs="Calibri"/>
                <w:color w:val="FFFFFF"/>
                <w:sz w:val="24"/>
                <w:szCs w:val="24"/>
                <w:lang w:eastAsia="hr-H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289A6BE" w14:textId="77777777" w:rsidR="0094159C" w:rsidRPr="001C4F96" w:rsidRDefault="0094159C" w:rsidP="005F7633">
            <w:pPr>
              <w:spacing w:after="0" w:line="240" w:lineRule="auto"/>
              <w:rPr>
                <w:rFonts w:ascii="Calibri" w:eastAsia="Times New Roman" w:hAnsi="Calibri" w:cs="Calibri"/>
                <w:color w:val="FFFFFF"/>
                <w:sz w:val="24"/>
                <w:szCs w:val="24"/>
                <w:lang w:eastAsia="hr-H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5CE837E" w14:textId="77777777" w:rsidR="0094159C" w:rsidRPr="001C4F96" w:rsidRDefault="0094159C" w:rsidP="005F7633">
            <w:pPr>
              <w:spacing w:after="0" w:line="240" w:lineRule="auto"/>
              <w:rPr>
                <w:rFonts w:ascii="Calibri" w:eastAsia="Times New Roman" w:hAnsi="Calibri" w:cs="Calibri"/>
                <w:color w:val="FFFFFF"/>
                <w:sz w:val="24"/>
                <w:szCs w:val="24"/>
                <w:lang w:eastAsia="hr-H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E9742A8" w14:textId="77777777" w:rsidR="0094159C" w:rsidRPr="001C4F96" w:rsidRDefault="0094159C" w:rsidP="005F7633">
            <w:pPr>
              <w:spacing w:after="0" w:line="240" w:lineRule="auto"/>
              <w:rPr>
                <w:rFonts w:ascii="Calibri" w:eastAsia="Times New Roman" w:hAnsi="Calibri" w:cs="Calibri"/>
                <w:color w:val="FFFFFF"/>
                <w:sz w:val="24"/>
                <w:szCs w:val="24"/>
                <w:lang w:eastAsia="hr-HR"/>
              </w:rPr>
            </w:pPr>
          </w:p>
        </w:tc>
      </w:tr>
      <w:tr w:rsidR="0094159C" w:rsidRPr="001C4F96" w14:paraId="18ACC214"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62F3870"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GORICA</w:t>
            </w:r>
          </w:p>
        </w:tc>
        <w:tc>
          <w:tcPr>
            <w:tcW w:w="1282" w:type="dxa"/>
            <w:tcBorders>
              <w:top w:val="nil"/>
              <w:left w:val="nil"/>
              <w:bottom w:val="single" w:sz="4" w:space="0" w:color="auto"/>
              <w:right w:val="single" w:sz="4" w:space="0" w:color="auto"/>
            </w:tcBorders>
            <w:shd w:val="clear" w:color="auto" w:fill="auto"/>
            <w:noWrap/>
            <w:vAlign w:val="center"/>
            <w:hideMark/>
          </w:tcPr>
          <w:p w14:paraId="5C94C57A"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370</w:t>
            </w:r>
          </w:p>
        </w:tc>
        <w:tc>
          <w:tcPr>
            <w:tcW w:w="1180" w:type="dxa"/>
            <w:tcBorders>
              <w:top w:val="nil"/>
              <w:left w:val="nil"/>
              <w:bottom w:val="single" w:sz="4" w:space="0" w:color="auto"/>
              <w:right w:val="single" w:sz="4" w:space="0" w:color="auto"/>
            </w:tcBorders>
            <w:shd w:val="clear" w:color="auto" w:fill="auto"/>
            <w:noWrap/>
            <w:vAlign w:val="center"/>
            <w:hideMark/>
          </w:tcPr>
          <w:p w14:paraId="5268BA47"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87,7%</w:t>
            </w:r>
          </w:p>
        </w:tc>
        <w:tc>
          <w:tcPr>
            <w:tcW w:w="1180" w:type="dxa"/>
            <w:tcBorders>
              <w:top w:val="nil"/>
              <w:left w:val="nil"/>
              <w:bottom w:val="single" w:sz="4" w:space="0" w:color="auto"/>
              <w:right w:val="single" w:sz="4" w:space="0" w:color="auto"/>
            </w:tcBorders>
            <w:shd w:val="clear" w:color="auto" w:fill="auto"/>
            <w:noWrap/>
            <w:vAlign w:val="center"/>
            <w:hideMark/>
          </w:tcPr>
          <w:p w14:paraId="16BF114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97,5%</w:t>
            </w:r>
          </w:p>
        </w:tc>
        <w:tc>
          <w:tcPr>
            <w:tcW w:w="1180" w:type="dxa"/>
            <w:tcBorders>
              <w:top w:val="nil"/>
              <w:left w:val="nil"/>
              <w:bottom w:val="single" w:sz="4" w:space="0" w:color="auto"/>
              <w:right w:val="single" w:sz="4" w:space="0" w:color="auto"/>
            </w:tcBorders>
            <w:shd w:val="clear" w:color="auto" w:fill="auto"/>
            <w:noWrap/>
            <w:vAlign w:val="center"/>
            <w:hideMark/>
          </w:tcPr>
          <w:p w14:paraId="3B06C8AE"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99,6%</w:t>
            </w:r>
          </w:p>
        </w:tc>
        <w:tc>
          <w:tcPr>
            <w:tcW w:w="1180" w:type="dxa"/>
            <w:tcBorders>
              <w:top w:val="nil"/>
              <w:left w:val="nil"/>
              <w:bottom w:val="single" w:sz="4" w:space="0" w:color="auto"/>
              <w:right w:val="single" w:sz="4" w:space="0" w:color="auto"/>
            </w:tcBorders>
            <w:shd w:val="clear" w:color="auto" w:fill="auto"/>
            <w:noWrap/>
            <w:vAlign w:val="center"/>
            <w:hideMark/>
          </w:tcPr>
          <w:p w14:paraId="0E4D86AB"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89,2%</w:t>
            </w:r>
          </w:p>
        </w:tc>
        <w:tc>
          <w:tcPr>
            <w:tcW w:w="1180" w:type="dxa"/>
            <w:tcBorders>
              <w:top w:val="nil"/>
              <w:left w:val="nil"/>
              <w:bottom w:val="single" w:sz="4" w:space="0" w:color="auto"/>
              <w:right w:val="single" w:sz="4" w:space="0" w:color="auto"/>
            </w:tcBorders>
            <w:shd w:val="clear" w:color="auto" w:fill="auto"/>
            <w:noWrap/>
            <w:vAlign w:val="center"/>
            <w:hideMark/>
          </w:tcPr>
          <w:p w14:paraId="4F33FE3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105,3%</w:t>
            </w:r>
          </w:p>
        </w:tc>
      </w:tr>
      <w:tr w:rsidR="0094159C" w:rsidRPr="001C4F96" w14:paraId="5067B1BA"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69E25EC"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KVATERNIKOV TRG</w:t>
            </w:r>
          </w:p>
        </w:tc>
        <w:tc>
          <w:tcPr>
            <w:tcW w:w="1282" w:type="dxa"/>
            <w:tcBorders>
              <w:top w:val="nil"/>
              <w:left w:val="nil"/>
              <w:bottom w:val="single" w:sz="4" w:space="0" w:color="auto"/>
              <w:right w:val="single" w:sz="4" w:space="0" w:color="auto"/>
            </w:tcBorders>
            <w:shd w:val="clear" w:color="auto" w:fill="auto"/>
            <w:noWrap/>
            <w:vAlign w:val="center"/>
            <w:hideMark/>
          </w:tcPr>
          <w:p w14:paraId="6C21B276"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354</w:t>
            </w:r>
          </w:p>
        </w:tc>
        <w:tc>
          <w:tcPr>
            <w:tcW w:w="1180" w:type="dxa"/>
            <w:tcBorders>
              <w:top w:val="nil"/>
              <w:left w:val="nil"/>
              <w:bottom w:val="single" w:sz="4" w:space="0" w:color="auto"/>
              <w:right w:val="single" w:sz="4" w:space="0" w:color="auto"/>
            </w:tcBorders>
            <w:shd w:val="clear" w:color="auto" w:fill="auto"/>
            <w:noWrap/>
            <w:vAlign w:val="center"/>
            <w:hideMark/>
          </w:tcPr>
          <w:p w14:paraId="63C85000"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86,5%</w:t>
            </w:r>
          </w:p>
        </w:tc>
        <w:tc>
          <w:tcPr>
            <w:tcW w:w="1180" w:type="dxa"/>
            <w:tcBorders>
              <w:top w:val="nil"/>
              <w:left w:val="nil"/>
              <w:bottom w:val="single" w:sz="4" w:space="0" w:color="auto"/>
              <w:right w:val="single" w:sz="4" w:space="0" w:color="auto"/>
            </w:tcBorders>
            <w:shd w:val="clear" w:color="auto" w:fill="auto"/>
            <w:noWrap/>
            <w:vAlign w:val="center"/>
            <w:hideMark/>
          </w:tcPr>
          <w:p w14:paraId="16B20903"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100,0%</w:t>
            </w:r>
          </w:p>
        </w:tc>
        <w:tc>
          <w:tcPr>
            <w:tcW w:w="1180" w:type="dxa"/>
            <w:tcBorders>
              <w:top w:val="nil"/>
              <w:left w:val="nil"/>
              <w:bottom w:val="single" w:sz="4" w:space="0" w:color="auto"/>
              <w:right w:val="single" w:sz="4" w:space="0" w:color="auto"/>
            </w:tcBorders>
            <w:shd w:val="clear" w:color="auto" w:fill="auto"/>
            <w:noWrap/>
            <w:vAlign w:val="center"/>
            <w:hideMark/>
          </w:tcPr>
          <w:p w14:paraId="471078FA"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102,1%</w:t>
            </w:r>
          </w:p>
        </w:tc>
        <w:tc>
          <w:tcPr>
            <w:tcW w:w="1180" w:type="dxa"/>
            <w:tcBorders>
              <w:top w:val="nil"/>
              <w:left w:val="nil"/>
              <w:bottom w:val="single" w:sz="4" w:space="0" w:color="auto"/>
              <w:right w:val="single" w:sz="4" w:space="0" w:color="auto"/>
            </w:tcBorders>
            <w:shd w:val="clear" w:color="auto" w:fill="auto"/>
            <w:noWrap/>
            <w:vAlign w:val="center"/>
            <w:hideMark/>
          </w:tcPr>
          <w:p w14:paraId="5DFDF432"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114,6%</w:t>
            </w:r>
          </w:p>
        </w:tc>
        <w:tc>
          <w:tcPr>
            <w:tcW w:w="1180" w:type="dxa"/>
            <w:tcBorders>
              <w:top w:val="nil"/>
              <w:left w:val="nil"/>
              <w:bottom w:val="single" w:sz="4" w:space="0" w:color="auto"/>
              <w:right w:val="single" w:sz="4" w:space="0" w:color="auto"/>
            </w:tcBorders>
            <w:shd w:val="clear" w:color="auto" w:fill="auto"/>
            <w:noWrap/>
            <w:vAlign w:val="center"/>
            <w:hideMark/>
          </w:tcPr>
          <w:p w14:paraId="728E1926"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132,0%</w:t>
            </w:r>
          </w:p>
        </w:tc>
      </w:tr>
      <w:tr w:rsidR="0094159C" w:rsidRPr="001C4F96" w14:paraId="40F11AC3"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51A0E34"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LANGOV TRG</w:t>
            </w:r>
          </w:p>
        </w:tc>
        <w:tc>
          <w:tcPr>
            <w:tcW w:w="1282" w:type="dxa"/>
            <w:tcBorders>
              <w:top w:val="nil"/>
              <w:left w:val="nil"/>
              <w:bottom w:val="single" w:sz="4" w:space="0" w:color="auto"/>
              <w:right w:val="single" w:sz="4" w:space="0" w:color="auto"/>
            </w:tcBorders>
            <w:shd w:val="clear" w:color="auto" w:fill="auto"/>
            <w:noWrap/>
            <w:vAlign w:val="center"/>
            <w:hideMark/>
          </w:tcPr>
          <w:p w14:paraId="439FAE5E"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305</w:t>
            </w:r>
          </w:p>
        </w:tc>
        <w:tc>
          <w:tcPr>
            <w:tcW w:w="1180" w:type="dxa"/>
            <w:tcBorders>
              <w:top w:val="nil"/>
              <w:left w:val="nil"/>
              <w:bottom w:val="single" w:sz="4" w:space="0" w:color="auto"/>
              <w:right w:val="single" w:sz="4" w:space="0" w:color="auto"/>
            </w:tcBorders>
            <w:shd w:val="clear" w:color="auto" w:fill="auto"/>
            <w:noWrap/>
            <w:vAlign w:val="center"/>
            <w:hideMark/>
          </w:tcPr>
          <w:p w14:paraId="5FF11EF1"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72,4%</w:t>
            </w:r>
          </w:p>
        </w:tc>
        <w:tc>
          <w:tcPr>
            <w:tcW w:w="1180" w:type="dxa"/>
            <w:tcBorders>
              <w:top w:val="nil"/>
              <w:left w:val="nil"/>
              <w:bottom w:val="single" w:sz="4" w:space="0" w:color="auto"/>
              <w:right w:val="single" w:sz="4" w:space="0" w:color="auto"/>
            </w:tcBorders>
            <w:shd w:val="clear" w:color="auto" w:fill="auto"/>
            <w:noWrap/>
            <w:vAlign w:val="center"/>
            <w:hideMark/>
          </w:tcPr>
          <w:p w14:paraId="403CF8BD"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73,2%</w:t>
            </w:r>
          </w:p>
        </w:tc>
        <w:tc>
          <w:tcPr>
            <w:tcW w:w="1180" w:type="dxa"/>
            <w:tcBorders>
              <w:top w:val="nil"/>
              <w:left w:val="nil"/>
              <w:bottom w:val="single" w:sz="4" w:space="0" w:color="auto"/>
              <w:right w:val="single" w:sz="4" w:space="0" w:color="auto"/>
            </w:tcBorders>
            <w:shd w:val="clear" w:color="auto" w:fill="auto"/>
            <w:noWrap/>
            <w:vAlign w:val="center"/>
            <w:hideMark/>
          </w:tcPr>
          <w:p w14:paraId="7E1F47CB"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78,7%</w:t>
            </w:r>
          </w:p>
        </w:tc>
        <w:tc>
          <w:tcPr>
            <w:tcW w:w="1180" w:type="dxa"/>
            <w:tcBorders>
              <w:top w:val="nil"/>
              <w:left w:val="nil"/>
              <w:bottom w:val="single" w:sz="4" w:space="0" w:color="auto"/>
              <w:right w:val="single" w:sz="4" w:space="0" w:color="auto"/>
            </w:tcBorders>
            <w:shd w:val="clear" w:color="auto" w:fill="auto"/>
            <w:noWrap/>
            <w:vAlign w:val="center"/>
            <w:hideMark/>
          </w:tcPr>
          <w:p w14:paraId="11122E7C"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50,8%</w:t>
            </w:r>
          </w:p>
        </w:tc>
        <w:tc>
          <w:tcPr>
            <w:tcW w:w="1180" w:type="dxa"/>
            <w:tcBorders>
              <w:top w:val="nil"/>
              <w:left w:val="nil"/>
              <w:bottom w:val="single" w:sz="4" w:space="0" w:color="auto"/>
              <w:right w:val="single" w:sz="4" w:space="0" w:color="auto"/>
            </w:tcBorders>
            <w:shd w:val="clear" w:color="auto" w:fill="auto"/>
            <w:noWrap/>
            <w:vAlign w:val="center"/>
            <w:hideMark/>
          </w:tcPr>
          <w:p w14:paraId="018E08B8"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55,8%</w:t>
            </w:r>
          </w:p>
        </w:tc>
      </w:tr>
      <w:tr w:rsidR="0094159C" w:rsidRPr="001C4F96" w14:paraId="3CB03110"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C9C9336"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PETRINJSKA</w:t>
            </w:r>
          </w:p>
        </w:tc>
        <w:tc>
          <w:tcPr>
            <w:tcW w:w="1282" w:type="dxa"/>
            <w:tcBorders>
              <w:top w:val="nil"/>
              <w:left w:val="nil"/>
              <w:bottom w:val="single" w:sz="4" w:space="0" w:color="auto"/>
              <w:right w:val="single" w:sz="4" w:space="0" w:color="auto"/>
            </w:tcBorders>
            <w:shd w:val="clear" w:color="auto" w:fill="auto"/>
            <w:noWrap/>
            <w:vAlign w:val="center"/>
            <w:hideMark/>
          </w:tcPr>
          <w:p w14:paraId="1DC88B43"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134</w:t>
            </w:r>
          </w:p>
        </w:tc>
        <w:tc>
          <w:tcPr>
            <w:tcW w:w="1180" w:type="dxa"/>
            <w:tcBorders>
              <w:top w:val="nil"/>
              <w:left w:val="nil"/>
              <w:bottom w:val="single" w:sz="4" w:space="0" w:color="auto"/>
              <w:right w:val="single" w:sz="4" w:space="0" w:color="auto"/>
            </w:tcBorders>
            <w:shd w:val="clear" w:color="auto" w:fill="auto"/>
            <w:noWrap/>
            <w:vAlign w:val="center"/>
            <w:hideMark/>
          </w:tcPr>
          <w:p w14:paraId="31933A92"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101,2%</w:t>
            </w:r>
          </w:p>
        </w:tc>
        <w:tc>
          <w:tcPr>
            <w:tcW w:w="1180" w:type="dxa"/>
            <w:tcBorders>
              <w:top w:val="nil"/>
              <w:left w:val="nil"/>
              <w:bottom w:val="single" w:sz="4" w:space="0" w:color="auto"/>
              <w:right w:val="single" w:sz="4" w:space="0" w:color="auto"/>
            </w:tcBorders>
            <w:shd w:val="clear" w:color="auto" w:fill="auto"/>
            <w:noWrap/>
            <w:vAlign w:val="center"/>
            <w:hideMark/>
          </w:tcPr>
          <w:p w14:paraId="783AB37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106,7%</w:t>
            </w:r>
          </w:p>
        </w:tc>
        <w:tc>
          <w:tcPr>
            <w:tcW w:w="1180" w:type="dxa"/>
            <w:tcBorders>
              <w:top w:val="nil"/>
              <w:left w:val="nil"/>
              <w:bottom w:val="single" w:sz="4" w:space="0" w:color="auto"/>
              <w:right w:val="single" w:sz="4" w:space="0" w:color="auto"/>
            </w:tcBorders>
            <w:shd w:val="clear" w:color="auto" w:fill="auto"/>
            <w:noWrap/>
            <w:vAlign w:val="center"/>
            <w:hideMark/>
          </w:tcPr>
          <w:p w14:paraId="7F043140"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117,3%</w:t>
            </w:r>
          </w:p>
        </w:tc>
        <w:tc>
          <w:tcPr>
            <w:tcW w:w="1180" w:type="dxa"/>
            <w:tcBorders>
              <w:top w:val="nil"/>
              <w:left w:val="nil"/>
              <w:bottom w:val="single" w:sz="4" w:space="0" w:color="auto"/>
              <w:right w:val="single" w:sz="4" w:space="0" w:color="auto"/>
            </w:tcBorders>
            <w:shd w:val="clear" w:color="auto" w:fill="auto"/>
            <w:noWrap/>
            <w:vAlign w:val="center"/>
            <w:hideMark/>
          </w:tcPr>
          <w:p w14:paraId="5EE24DAC"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73,2%</w:t>
            </w:r>
          </w:p>
        </w:tc>
        <w:tc>
          <w:tcPr>
            <w:tcW w:w="1180" w:type="dxa"/>
            <w:tcBorders>
              <w:top w:val="nil"/>
              <w:left w:val="nil"/>
              <w:bottom w:val="single" w:sz="4" w:space="0" w:color="auto"/>
              <w:right w:val="single" w:sz="4" w:space="0" w:color="auto"/>
            </w:tcBorders>
            <w:shd w:val="clear" w:color="auto" w:fill="auto"/>
            <w:noWrap/>
            <w:vAlign w:val="center"/>
            <w:hideMark/>
          </w:tcPr>
          <w:p w14:paraId="2ACAAF34"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80,5%</w:t>
            </w:r>
          </w:p>
        </w:tc>
      </w:tr>
      <w:tr w:rsidR="0094159C" w:rsidRPr="001C4F96" w14:paraId="5B3B8C64"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E56FE1D"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REBRO</w:t>
            </w:r>
          </w:p>
        </w:tc>
        <w:tc>
          <w:tcPr>
            <w:tcW w:w="1282" w:type="dxa"/>
            <w:tcBorders>
              <w:top w:val="nil"/>
              <w:left w:val="nil"/>
              <w:bottom w:val="single" w:sz="4" w:space="0" w:color="auto"/>
              <w:right w:val="single" w:sz="4" w:space="0" w:color="auto"/>
            </w:tcBorders>
            <w:shd w:val="clear" w:color="auto" w:fill="auto"/>
            <w:noWrap/>
            <w:vAlign w:val="center"/>
            <w:hideMark/>
          </w:tcPr>
          <w:p w14:paraId="7A5F8D6D"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664</w:t>
            </w:r>
          </w:p>
        </w:tc>
        <w:tc>
          <w:tcPr>
            <w:tcW w:w="1180" w:type="dxa"/>
            <w:tcBorders>
              <w:top w:val="nil"/>
              <w:left w:val="nil"/>
              <w:bottom w:val="single" w:sz="4" w:space="0" w:color="auto"/>
              <w:right w:val="single" w:sz="4" w:space="0" w:color="auto"/>
            </w:tcBorders>
            <w:shd w:val="clear" w:color="auto" w:fill="auto"/>
            <w:noWrap/>
            <w:vAlign w:val="center"/>
            <w:hideMark/>
          </w:tcPr>
          <w:p w14:paraId="3EC18835"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77,2%</w:t>
            </w:r>
          </w:p>
        </w:tc>
        <w:tc>
          <w:tcPr>
            <w:tcW w:w="1180" w:type="dxa"/>
            <w:tcBorders>
              <w:top w:val="nil"/>
              <w:left w:val="nil"/>
              <w:bottom w:val="single" w:sz="4" w:space="0" w:color="auto"/>
              <w:right w:val="single" w:sz="4" w:space="0" w:color="auto"/>
            </w:tcBorders>
            <w:shd w:val="clear" w:color="auto" w:fill="auto"/>
            <w:noWrap/>
            <w:vAlign w:val="center"/>
            <w:hideMark/>
          </w:tcPr>
          <w:p w14:paraId="21932B9A"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80,2%</w:t>
            </w:r>
          </w:p>
        </w:tc>
        <w:tc>
          <w:tcPr>
            <w:tcW w:w="1180" w:type="dxa"/>
            <w:tcBorders>
              <w:top w:val="nil"/>
              <w:left w:val="nil"/>
              <w:bottom w:val="single" w:sz="4" w:space="0" w:color="auto"/>
              <w:right w:val="single" w:sz="4" w:space="0" w:color="auto"/>
            </w:tcBorders>
            <w:shd w:val="clear" w:color="auto" w:fill="auto"/>
            <w:noWrap/>
            <w:vAlign w:val="center"/>
            <w:hideMark/>
          </w:tcPr>
          <w:p w14:paraId="25FC7E53"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82,0%</w:t>
            </w:r>
          </w:p>
        </w:tc>
        <w:tc>
          <w:tcPr>
            <w:tcW w:w="1180" w:type="dxa"/>
            <w:tcBorders>
              <w:top w:val="nil"/>
              <w:left w:val="nil"/>
              <w:bottom w:val="single" w:sz="4" w:space="0" w:color="auto"/>
              <w:right w:val="single" w:sz="4" w:space="0" w:color="auto"/>
            </w:tcBorders>
            <w:shd w:val="clear" w:color="auto" w:fill="auto"/>
            <w:noWrap/>
            <w:vAlign w:val="center"/>
            <w:hideMark/>
          </w:tcPr>
          <w:p w14:paraId="628705A6"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80,6%</w:t>
            </w:r>
          </w:p>
        </w:tc>
        <w:tc>
          <w:tcPr>
            <w:tcW w:w="1180" w:type="dxa"/>
            <w:tcBorders>
              <w:top w:val="nil"/>
              <w:left w:val="nil"/>
              <w:bottom w:val="single" w:sz="4" w:space="0" w:color="auto"/>
              <w:right w:val="single" w:sz="4" w:space="0" w:color="auto"/>
            </w:tcBorders>
            <w:shd w:val="clear" w:color="auto" w:fill="auto"/>
            <w:noWrap/>
            <w:vAlign w:val="center"/>
            <w:hideMark/>
          </w:tcPr>
          <w:p w14:paraId="70F0A6CA"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94,5%</w:t>
            </w:r>
          </w:p>
        </w:tc>
      </w:tr>
      <w:tr w:rsidR="0094159C" w:rsidRPr="001C4F96" w14:paraId="3468A618"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685BFA8"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SVETICE</w:t>
            </w:r>
          </w:p>
        </w:tc>
        <w:tc>
          <w:tcPr>
            <w:tcW w:w="1282" w:type="dxa"/>
            <w:tcBorders>
              <w:top w:val="nil"/>
              <w:left w:val="nil"/>
              <w:bottom w:val="single" w:sz="4" w:space="0" w:color="auto"/>
              <w:right w:val="single" w:sz="4" w:space="0" w:color="auto"/>
            </w:tcBorders>
            <w:shd w:val="clear" w:color="auto" w:fill="auto"/>
            <w:noWrap/>
            <w:vAlign w:val="center"/>
            <w:hideMark/>
          </w:tcPr>
          <w:p w14:paraId="24165604"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115</w:t>
            </w:r>
          </w:p>
        </w:tc>
        <w:tc>
          <w:tcPr>
            <w:tcW w:w="1180" w:type="dxa"/>
            <w:tcBorders>
              <w:top w:val="nil"/>
              <w:left w:val="nil"/>
              <w:bottom w:val="single" w:sz="4" w:space="0" w:color="auto"/>
              <w:right w:val="single" w:sz="4" w:space="0" w:color="auto"/>
            </w:tcBorders>
            <w:shd w:val="clear" w:color="auto" w:fill="auto"/>
            <w:noWrap/>
            <w:vAlign w:val="center"/>
            <w:hideMark/>
          </w:tcPr>
          <w:p w14:paraId="07EEA3F5"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76,8%</w:t>
            </w:r>
          </w:p>
        </w:tc>
        <w:tc>
          <w:tcPr>
            <w:tcW w:w="1180" w:type="dxa"/>
            <w:tcBorders>
              <w:top w:val="nil"/>
              <w:left w:val="nil"/>
              <w:bottom w:val="single" w:sz="4" w:space="0" w:color="auto"/>
              <w:right w:val="single" w:sz="4" w:space="0" w:color="auto"/>
            </w:tcBorders>
            <w:shd w:val="clear" w:color="auto" w:fill="auto"/>
            <w:noWrap/>
            <w:vAlign w:val="center"/>
            <w:hideMark/>
          </w:tcPr>
          <w:p w14:paraId="6914B2F0"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71,2%</w:t>
            </w:r>
          </w:p>
        </w:tc>
        <w:tc>
          <w:tcPr>
            <w:tcW w:w="1180" w:type="dxa"/>
            <w:tcBorders>
              <w:top w:val="nil"/>
              <w:left w:val="nil"/>
              <w:bottom w:val="single" w:sz="4" w:space="0" w:color="auto"/>
              <w:right w:val="single" w:sz="4" w:space="0" w:color="auto"/>
            </w:tcBorders>
            <w:shd w:val="clear" w:color="auto" w:fill="auto"/>
            <w:noWrap/>
            <w:vAlign w:val="center"/>
            <w:hideMark/>
          </w:tcPr>
          <w:p w14:paraId="5A217F3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72,9%</w:t>
            </w:r>
          </w:p>
        </w:tc>
        <w:tc>
          <w:tcPr>
            <w:tcW w:w="1180" w:type="dxa"/>
            <w:tcBorders>
              <w:top w:val="nil"/>
              <w:left w:val="nil"/>
              <w:bottom w:val="single" w:sz="4" w:space="0" w:color="auto"/>
              <w:right w:val="single" w:sz="4" w:space="0" w:color="auto"/>
            </w:tcBorders>
            <w:shd w:val="clear" w:color="auto" w:fill="auto"/>
            <w:noWrap/>
            <w:vAlign w:val="center"/>
            <w:hideMark/>
          </w:tcPr>
          <w:p w14:paraId="521A85F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77,1%</w:t>
            </w:r>
          </w:p>
        </w:tc>
        <w:tc>
          <w:tcPr>
            <w:tcW w:w="1180" w:type="dxa"/>
            <w:tcBorders>
              <w:top w:val="nil"/>
              <w:left w:val="nil"/>
              <w:bottom w:val="single" w:sz="4" w:space="0" w:color="auto"/>
              <w:right w:val="single" w:sz="4" w:space="0" w:color="auto"/>
            </w:tcBorders>
            <w:shd w:val="clear" w:color="auto" w:fill="auto"/>
            <w:noWrap/>
            <w:vAlign w:val="center"/>
            <w:hideMark/>
          </w:tcPr>
          <w:p w14:paraId="5E927A3F"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87,4%</w:t>
            </w:r>
          </w:p>
        </w:tc>
      </w:tr>
      <w:tr w:rsidR="0094159C" w:rsidRPr="001C4F96" w14:paraId="10187A22"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DB8AD14"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TUŠKANAC</w:t>
            </w:r>
          </w:p>
        </w:tc>
        <w:tc>
          <w:tcPr>
            <w:tcW w:w="1282" w:type="dxa"/>
            <w:tcBorders>
              <w:top w:val="nil"/>
              <w:left w:val="nil"/>
              <w:bottom w:val="single" w:sz="4" w:space="0" w:color="auto"/>
              <w:right w:val="single" w:sz="4" w:space="0" w:color="auto"/>
            </w:tcBorders>
            <w:shd w:val="clear" w:color="auto" w:fill="auto"/>
            <w:noWrap/>
            <w:vAlign w:val="center"/>
            <w:hideMark/>
          </w:tcPr>
          <w:p w14:paraId="20D4A13F"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465</w:t>
            </w:r>
          </w:p>
        </w:tc>
        <w:tc>
          <w:tcPr>
            <w:tcW w:w="1180" w:type="dxa"/>
            <w:tcBorders>
              <w:top w:val="nil"/>
              <w:left w:val="nil"/>
              <w:bottom w:val="single" w:sz="4" w:space="0" w:color="auto"/>
              <w:right w:val="single" w:sz="4" w:space="0" w:color="auto"/>
            </w:tcBorders>
            <w:shd w:val="clear" w:color="auto" w:fill="auto"/>
            <w:noWrap/>
            <w:vAlign w:val="center"/>
            <w:hideMark/>
          </w:tcPr>
          <w:p w14:paraId="183AC495"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99,3%</w:t>
            </w:r>
          </w:p>
        </w:tc>
        <w:tc>
          <w:tcPr>
            <w:tcW w:w="1180" w:type="dxa"/>
            <w:tcBorders>
              <w:top w:val="nil"/>
              <w:left w:val="nil"/>
              <w:bottom w:val="single" w:sz="4" w:space="0" w:color="auto"/>
              <w:right w:val="single" w:sz="4" w:space="0" w:color="auto"/>
            </w:tcBorders>
            <w:shd w:val="clear" w:color="auto" w:fill="auto"/>
            <w:noWrap/>
            <w:vAlign w:val="center"/>
            <w:hideMark/>
          </w:tcPr>
          <w:p w14:paraId="219441AD"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107,3%</w:t>
            </w:r>
          </w:p>
        </w:tc>
        <w:tc>
          <w:tcPr>
            <w:tcW w:w="1180" w:type="dxa"/>
            <w:tcBorders>
              <w:top w:val="nil"/>
              <w:left w:val="nil"/>
              <w:bottom w:val="single" w:sz="4" w:space="0" w:color="auto"/>
              <w:right w:val="single" w:sz="4" w:space="0" w:color="auto"/>
            </w:tcBorders>
            <w:shd w:val="clear" w:color="auto" w:fill="auto"/>
            <w:noWrap/>
            <w:vAlign w:val="center"/>
            <w:hideMark/>
          </w:tcPr>
          <w:p w14:paraId="4FA85081"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112,7%</w:t>
            </w:r>
          </w:p>
        </w:tc>
        <w:tc>
          <w:tcPr>
            <w:tcW w:w="1180" w:type="dxa"/>
            <w:tcBorders>
              <w:top w:val="nil"/>
              <w:left w:val="nil"/>
              <w:bottom w:val="single" w:sz="4" w:space="0" w:color="auto"/>
              <w:right w:val="single" w:sz="4" w:space="0" w:color="auto"/>
            </w:tcBorders>
            <w:shd w:val="clear" w:color="auto" w:fill="auto"/>
            <w:noWrap/>
            <w:vAlign w:val="center"/>
            <w:hideMark/>
          </w:tcPr>
          <w:p w14:paraId="072549B8"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107,9%</w:t>
            </w:r>
          </w:p>
        </w:tc>
        <w:tc>
          <w:tcPr>
            <w:tcW w:w="1180" w:type="dxa"/>
            <w:tcBorders>
              <w:top w:val="nil"/>
              <w:left w:val="nil"/>
              <w:bottom w:val="single" w:sz="4" w:space="0" w:color="auto"/>
              <w:right w:val="single" w:sz="4" w:space="0" w:color="auto"/>
            </w:tcBorders>
            <w:shd w:val="clear" w:color="auto" w:fill="auto"/>
            <w:noWrap/>
            <w:vAlign w:val="center"/>
            <w:hideMark/>
          </w:tcPr>
          <w:p w14:paraId="3C89DE0D"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118,7%</w:t>
            </w:r>
          </w:p>
        </w:tc>
      </w:tr>
      <w:tr w:rsidR="0094159C" w:rsidRPr="001C4F96" w14:paraId="0ECAFAA5"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61222ED"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JELKOVEC 1</w:t>
            </w:r>
          </w:p>
        </w:tc>
        <w:tc>
          <w:tcPr>
            <w:tcW w:w="1282" w:type="dxa"/>
            <w:tcBorders>
              <w:top w:val="nil"/>
              <w:left w:val="nil"/>
              <w:bottom w:val="single" w:sz="4" w:space="0" w:color="auto"/>
              <w:right w:val="single" w:sz="4" w:space="0" w:color="auto"/>
            </w:tcBorders>
            <w:shd w:val="clear" w:color="auto" w:fill="auto"/>
            <w:noWrap/>
            <w:vAlign w:val="center"/>
            <w:hideMark/>
          </w:tcPr>
          <w:p w14:paraId="50D296E5"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205</w:t>
            </w:r>
          </w:p>
        </w:tc>
        <w:tc>
          <w:tcPr>
            <w:tcW w:w="1180" w:type="dxa"/>
            <w:tcBorders>
              <w:top w:val="nil"/>
              <w:left w:val="nil"/>
              <w:bottom w:val="single" w:sz="4" w:space="0" w:color="auto"/>
              <w:right w:val="single" w:sz="4" w:space="0" w:color="auto"/>
            </w:tcBorders>
            <w:shd w:val="clear" w:color="auto" w:fill="auto"/>
            <w:noWrap/>
            <w:vAlign w:val="center"/>
            <w:hideMark/>
          </w:tcPr>
          <w:p w14:paraId="39F39CE5"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88,5%</w:t>
            </w:r>
          </w:p>
        </w:tc>
        <w:tc>
          <w:tcPr>
            <w:tcW w:w="1180" w:type="dxa"/>
            <w:tcBorders>
              <w:top w:val="nil"/>
              <w:left w:val="nil"/>
              <w:bottom w:val="single" w:sz="4" w:space="0" w:color="auto"/>
              <w:right w:val="single" w:sz="4" w:space="0" w:color="auto"/>
            </w:tcBorders>
            <w:shd w:val="clear" w:color="auto" w:fill="auto"/>
            <w:noWrap/>
            <w:vAlign w:val="center"/>
            <w:hideMark/>
          </w:tcPr>
          <w:p w14:paraId="51D6BE87"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88,9%</w:t>
            </w:r>
          </w:p>
        </w:tc>
        <w:tc>
          <w:tcPr>
            <w:tcW w:w="1180" w:type="dxa"/>
            <w:tcBorders>
              <w:top w:val="nil"/>
              <w:left w:val="nil"/>
              <w:bottom w:val="single" w:sz="4" w:space="0" w:color="auto"/>
              <w:right w:val="single" w:sz="4" w:space="0" w:color="auto"/>
            </w:tcBorders>
            <w:shd w:val="clear" w:color="auto" w:fill="auto"/>
            <w:noWrap/>
            <w:vAlign w:val="center"/>
            <w:hideMark/>
          </w:tcPr>
          <w:p w14:paraId="365829DE"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93,0%</w:t>
            </w:r>
          </w:p>
        </w:tc>
        <w:tc>
          <w:tcPr>
            <w:tcW w:w="1180" w:type="dxa"/>
            <w:tcBorders>
              <w:top w:val="nil"/>
              <w:left w:val="nil"/>
              <w:bottom w:val="single" w:sz="4" w:space="0" w:color="auto"/>
              <w:right w:val="single" w:sz="4" w:space="0" w:color="auto"/>
            </w:tcBorders>
            <w:shd w:val="clear" w:color="auto" w:fill="auto"/>
            <w:noWrap/>
            <w:vAlign w:val="center"/>
            <w:hideMark/>
          </w:tcPr>
          <w:p w14:paraId="6F4B07E8"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118,8%</w:t>
            </w:r>
          </w:p>
        </w:tc>
        <w:tc>
          <w:tcPr>
            <w:tcW w:w="1180" w:type="dxa"/>
            <w:tcBorders>
              <w:top w:val="nil"/>
              <w:left w:val="nil"/>
              <w:bottom w:val="single" w:sz="4" w:space="0" w:color="auto"/>
              <w:right w:val="single" w:sz="4" w:space="0" w:color="auto"/>
            </w:tcBorders>
            <w:shd w:val="clear" w:color="auto" w:fill="auto"/>
            <w:noWrap/>
            <w:vAlign w:val="center"/>
            <w:hideMark/>
          </w:tcPr>
          <w:p w14:paraId="2C7B3C74"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128,1%</w:t>
            </w:r>
          </w:p>
        </w:tc>
      </w:tr>
      <w:tr w:rsidR="0094159C" w:rsidRPr="001C4F96" w14:paraId="4524A923"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BFE50E1"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JELKOVEC 2</w:t>
            </w:r>
          </w:p>
        </w:tc>
        <w:tc>
          <w:tcPr>
            <w:tcW w:w="1282" w:type="dxa"/>
            <w:tcBorders>
              <w:top w:val="nil"/>
              <w:left w:val="nil"/>
              <w:bottom w:val="single" w:sz="4" w:space="0" w:color="auto"/>
              <w:right w:val="single" w:sz="4" w:space="0" w:color="auto"/>
            </w:tcBorders>
            <w:shd w:val="clear" w:color="auto" w:fill="auto"/>
            <w:noWrap/>
            <w:vAlign w:val="center"/>
            <w:hideMark/>
          </w:tcPr>
          <w:p w14:paraId="06717F6A"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237</w:t>
            </w:r>
          </w:p>
        </w:tc>
        <w:tc>
          <w:tcPr>
            <w:tcW w:w="1180" w:type="dxa"/>
            <w:tcBorders>
              <w:top w:val="nil"/>
              <w:left w:val="nil"/>
              <w:bottom w:val="single" w:sz="4" w:space="0" w:color="auto"/>
              <w:right w:val="single" w:sz="4" w:space="0" w:color="auto"/>
            </w:tcBorders>
            <w:shd w:val="clear" w:color="auto" w:fill="auto"/>
            <w:noWrap/>
            <w:vAlign w:val="center"/>
            <w:hideMark/>
          </w:tcPr>
          <w:p w14:paraId="4B31B76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w:t>
            </w:r>
          </w:p>
        </w:tc>
        <w:tc>
          <w:tcPr>
            <w:tcW w:w="1180" w:type="dxa"/>
            <w:tcBorders>
              <w:top w:val="nil"/>
              <w:left w:val="nil"/>
              <w:bottom w:val="single" w:sz="4" w:space="0" w:color="auto"/>
              <w:right w:val="single" w:sz="4" w:space="0" w:color="auto"/>
            </w:tcBorders>
            <w:shd w:val="clear" w:color="auto" w:fill="auto"/>
            <w:noWrap/>
            <w:vAlign w:val="center"/>
            <w:hideMark/>
          </w:tcPr>
          <w:p w14:paraId="4D560FEF"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24,4%</w:t>
            </w:r>
          </w:p>
        </w:tc>
        <w:tc>
          <w:tcPr>
            <w:tcW w:w="1180" w:type="dxa"/>
            <w:tcBorders>
              <w:top w:val="nil"/>
              <w:left w:val="nil"/>
              <w:bottom w:val="single" w:sz="4" w:space="0" w:color="auto"/>
              <w:right w:val="single" w:sz="4" w:space="0" w:color="auto"/>
            </w:tcBorders>
            <w:shd w:val="clear" w:color="auto" w:fill="auto"/>
            <w:noWrap/>
            <w:vAlign w:val="center"/>
            <w:hideMark/>
          </w:tcPr>
          <w:p w14:paraId="79AE2707"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79,5%</w:t>
            </w:r>
          </w:p>
        </w:tc>
        <w:tc>
          <w:tcPr>
            <w:tcW w:w="1180" w:type="dxa"/>
            <w:tcBorders>
              <w:top w:val="nil"/>
              <w:left w:val="nil"/>
              <w:bottom w:val="single" w:sz="4" w:space="0" w:color="auto"/>
              <w:right w:val="single" w:sz="4" w:space="0" w:color="auto"/>
            </w:tcBorders>
            <w:shd w:val="clear" w:color="auto" w:fill="auto"/>
            <w:noWrap/>
            <w:vAlign w:val="center"/>
            <w:hideMark/>
          </w:tcPr>
          <w:p w14:paraId="291C2444"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81,5%</w:t>
            </w:r>
          </w:p>
        </w:tc>
        <w:tc>
          <w:tcPr>
            <w:tcW w:w="1180" w:type="dxa"/>
            <w:tcBorders>
              <w:top w:val="nil"/>
              <w:left w:val="nil"/>
              <w:bottom w:val="single" w:sz="4" w:space="0" w:color="auto"/>
              <w:right w:val="single" w:sz="4" w:space="0" w:color="auto"/>
            </w:tcBorders>
            <w:shd w:val="clear" w:color="auto" w:fill="auto"/>
            <w:noWrap/>
            <w:vAlign w:val="center"/>
            <w:hideMark/>
          </w:tcPr>
          <w:p w14:paraId="37A80DC2"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87,5%</w:t>
            </w:r>
          </w:p>
        </w:tc>
      </w:tr>
      <w:tr w:rsidR="0094159C" w:rsidRPr="001C4F96" w14:paraId="783DDC0D" w14:textId="77777777" w:rsidTr="0094159C">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A797F81" w14:textId="77777777" w:rsidR="0094159C" w:rsidRPr="001C4F96" w:rsidRDefault="0094159C" w:rsidP="005F7633">
            <w:pPr>
              <w:spacing w:after="0" w:line="240" w:lineRule="auto"/>
              <w:jc w:val="center"/>
              <w:rPr>
                <w:rFonts w:ascii="Calibri" w:eastAsia="Times New Roman" w:hAnsi="Calibri" w:cs="Calibri"/>
                <w:b/>
                <w:bCs/>
                <w:color w:val="000000"/>
                <w:lang w:eastAsia="hr-HR"/>
              </w:rPr>
            </w:pPr>
            <w:r w:rsidRPr="001C4F96">
              <w:rPr>
                <w:rFonts w:ascii="Calibri" w:eastAsia="Times New Roman" w:hAnsi="Calibri" w:cs="Calibri"/>
                <w:b/>
                <w:bCs/>
                <w:color w:val="000000"/>
                <w:lang w:eastAsia="hr-HR"/>
              </w:rPr>
              <w:t>SVETI DUH</w:t>
            </w:r>
          </w:p>
        </w:tc>
        <w:tc>
          <w:tcPr>
            <w:tcW w:w="1282" w:type="dxa"/>
            <w:tcBorders>
              <w:top w:val="nil"/>
              <w:left w:val="nil"/>
              <w:bottom w:val="single" w:sz="4" w:space="0" w:color="auto"/>
              <w:right w:val="single" w:sz="4" w:space="0" w:color="auto"/>
            </w:tcBorders>
            <w:shd w:val="clear" w:color="auto" w:fill="auto"/>
            <w:noWrap/>
            <w:vAlign w:val="center"/>
            <w:hideMark/>
          </w:tcPr>
          <w:p w14:paraId="121D3EE6"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477</w:t>
            </w:r>
          </w:p>
        </w:tc>
        <w:tc>
          <w:tcPr>
            <w:tcW w:w="1180" w:type="dxa"/>
            <w:tcBorders>
              <w:top w:val="nil"/>
              <w:left w:val="nil"/>
              <w:bottom w:val="single" w:sz="4" w:space="0" w:color="auto"/>
              <w:right w:val="single" w:sz="4" w:space="0" w:color="auto"/>
            </w:tcBorders>
            <w:shd w:val="clear" w:color="auto" w:fill="auto"/>
            <w:noWrap/>
            <w:vAlign w:val="center"/>
            <w:hideMark/>
          </w:tcPr>
          <w:p w14:paraId="0702B887"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w:t>
            </w:r>
          </w:p>
        </w:tc>
        <w:tc>
          <w:tcPr>
            <w:tcW w:w="1180" w:type="dxa"/>
            <w:tcBorders>
              <w:top w:val="nil"/>
              <w:left w:val="nil"/>
              <w:bottom w:val="single" w:sz="4" w:space="0" w:color="auto"/>
              <w:right w:val="single" w:sz="4" w:space="0" w:color="auto"/>
            </w:tcBorders>
            <w:shd w:val="clear" w:color="auto" w:fill="auto"/>
            <w:noWrap/>
            <w:vAlign w:val="center"/>
            <w:hideMark/>
          </w:tcPr>
          <w:p w14:paraId="0E6DC4A6"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w:t>
            </w:r>
          </w:p>
        </w:tc>
        <w:tc>
          <w:tcPr>
            <w:tcW w:w="1180" w:type="dxa"/>
            <w:tcBorders>
              <w:top w:val="nil"/>
              <w:left w:val="nil"/>
              <w:bottom w:val="single" w:sz="4" w:space="0" w:color="auto"/>
              <w:right w:val="single" w:sz="4" w:space="0" w:color="auto"/>
            </w:tcBorders>
            <w:shd w:val="clear" w:color="auto" w:fill="auto"/>
            <w:noWrap/>
            <w:vAlign w:val="center"/>
            <w:hideMark/>
          </w:tcPr>
          <w:p w14:paraId="241DD13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w:t>
            </w:r>
          </w:p>
        </w:tc>
        <w:tc>
          <w:tcPr>
            <w:tcW w:w="1180" w:type="dxa"/>
            <w:tcBorders>
              <w:top w:val="nil"/>
              <w:left w:val="nil"/>
              <w:bottom w:val="single" w:sz="4" w:space="0" w:color="auto"/>
              <w:right w:val="single" w:sz="4" w:space="0" w:color="auto"/>
            </w:tcBorders>
            <w:shd w:val="clear" w:color="auto" w:fill="auto"/>
            <w:noWrap/>
            <w:vAlign w:val="center"/>
            <w:hideMark/>
          </w:tcPr>
          <w:p w14:paraId="26F04509"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w:t>
            </w:r>
          </w:p>
        </w:tc>
        <w:tc>
          <w:tcPr>
            <w:tcW w:w="1180" w:type="dxa"/>
            <w:tcBorders>
              <w:top w:val="nil"/>
              <w:left w:val="nil"/>
              <w:bottom w:val="single" w:sz="4" w:space="0" w:color="auto"/>
              <w:right w:val="single" w:sz="4" w:space="0" w:color="auto"/>
            </w:tcBorders>
            <w:shd w:val="clear" w:color="auto" w:fill="auto"/>
            <w:noWrap/>
            <w:vAlign w:val="center"/>
            <w:hideMark/>
          </w:tcPr>
          <w:p w14:paraId="6A952F20" w14:textId="77777777" w:rsidR="0094159C" w:rsidRPr="001C4F96" w:rsidRDefault="0094159C" w:rsidP="005F7633">
            <w:pPr>
              <w:spacing w:after="0" w:line="240" w:lineRule="auto"/>
              <w:jc w:val="center"/>
              <w:rPr>
                <w:rFonts w:ascii="Calibri" w:eastAsia="Times New Roman" w:hAnsi="Calibri" w:cs="Calibri"/>
                <w:color w:val="000000"/>
                <w:lang w:eastAsia="hr-HR"/>
              </w:rPr>
            </w:pPr>
            <w:r w:rsidRPr="001C4F96">
              <w:rPr>
                <w:rFonts w:ascii="Calibri" w:eastAsia="Times New Roman" w:hAnsi="Calibri" w:cs="Calibri"/>
                <w:color w:val="000000"/>
                <w:lang w:eastAsia="hr-HR"/>
              </w:rPr>
              <w:t>107,5%</w:t>
            </w:r>
          </w:p>
        </w:tc>
      </w:tr>
    </w:tbl>
    <w:p w14:paraId="16F300ED" w14:textId="77777777" w:rsidR="00C5315F" w:rsidRDefault="00C5315F" w:rsidP="00C5315F">
      <w:pPr>
        <w:pStyle w:val="Pa5"/>
        <w:spacing w:after="40"/>
        <w:jc w:val="both"/>
        <w:rPr>
          <w:rStyle w:val="A3"/>
          <w:rFonts w:ascii="Calibri" w:hAnsi="Calibri" w:cs="Calibri"/>
          <w:sz w:val="22"/>
          <w:szCs w:val="22"/>
        </w:rPr>
      </w:pPr>
      <w:r>
        <w:rPr>
          <w:rStyle w:val="A3"/>
          <w:rFonts w:ascii="Calibri" w:hAnsi="Calibri" w:cs="Calibri"/>
          <w:sz w:val="22"/>
          <w:szCs w:val="22"/>
        </w:rPr>
        <w:t>Izvor: Zagrebački holding d.o.o. – podružnica Zagrebparking</w:t>
      </w:r>
    </w:p>
    <w:p w14:paraId="0377466A" w14:textId="77777777" w:rsidR="00C5315F" w:rsidRPr="00B64C12" w:rsidRDefault="00C5315F" w:rsidP="00C5315F">
      <w:pPr>
        <w:pStyle w:val="Default"/>
      </w:pPr>
    </w:p>
    <w:p w14:paraId="11D4FA79" w14:textId="77777777" w:rsidR="00C5315F" w:rsidRDefault="00C5315F" w:rsidP="00C5315F">
      <w:pPr>
        <w:pStyle w:val="Pa5"/>
        <w:spacing w:after="40"/>
        <w:jc w:val="both"/>
        <w:rPr>
          <w:rStyle w:val="A3"/>
          <w:rFonts w:ascii="Calibri" w:hAnsi="Calibri" w:cs="Calibri"/>
          <w:sz w:val="22"/>
          <w:szCs w:val="22"/>
        </w:rPr>
      </w:pPr>
      <w:r w:rsidRPr="00747FA6">
        <w:rPr>
          <w:rStyle w:val="A3"/>
          <w:rFonts w:ascii="Calibri" w:hAnsi="Calibri" w:cs="Calibri"/>
          <w:sz w:val="22"/>
          <w:szCs w:val="22"/>
        </w:rPr>
        <w:t>Parkirališta za kamione - v</w:t>
      </w:r>
      <w:r w:rsidRPr="00F45E80">
        <w:rPr>
          <w:rStyle w:val="A3"/>
          <w:rFonts w:ascii="Calibri" w:hAnsi="Calibri" w:cs="Calibri"/>
          <w:sz w:val="22"/>
          <w:szCs w:val="22"/>
        </w:rPr>
        <w:t>ozači kamiona u Europi suočeni su s nedovoljnim brojem sigurnih parkirnih mjesta i stoga često parkiraju u nesigurnim zonama ili na nesi</w:t>
      </w:r>
      <w:r w:rsidRPr="00F45E80">
        <w:rPr>
          <w:rStyle w:val="A3"/>
          <w:rFonts w:ascii="Calibri" w:hAnsi="Calibri" w:cs="Calibri"/>
          <w:sz w:val="22"/>
          <w:szCs w:val="22"/>
        </w:rPr>
        <w:softHyphen/>
        <w:t xml:space="preserve">gurnim mjestima izlažući sebe i druge sudionike u prometu potencijalnim krađama te riziku od nesreća, jer se određeni broj nesreća može pripisati nepropisnom parkiranju kamiona. Hrvatska ima samo jedno certificirano sigurno i zaštićeno parkiralište i nalazi se na zapadnom dijelu grada Zagreba. Kako bi se poboljšali uvjeti rada za vozače kamiona te povećala sigurnost svih sudionika u prometu, </w:t>
      </w:r>
      <w:r>
        <w:rPr>
          <w:rStyle w:val="A3"/>
          <w:rFonts w:ascii="Calibri" w:hAnsi="Calibri" w:cs="Calibri"/>
          <w:sz w:val="22"/>
          <w:szCs w:val="22"/>
        </w:rPr>
        <w:t xml:space="preserve"> u tijeku je realizacija projekta </w:t>
      </w:r>
      <w:r w:rsidRPr="00CE0E55">
        <w:rPr>
          <w:rStyle w:val="A3"/>
          <w:rFonts w:ascii="Calibri" w:hAnsi="Calibri" w:cs="Calibri"/>
          <w:sz w:val="22"/>
          <w:szCs w:val="22"/>
        </w:rPr>
        <w:t>vrijedn</w:t>
      </w:r>
      <w:r>
        <w:rPr>
          <w:rStyle w:val="A3"/>
          <w:rFonts w:ascii="Calibri" w:hAnsi="Calibri" w:cs="Calibri"/>
          <w:sz w:val="22"/>
          <w:szCs w:val="22"/>
        </w:rPr>
        <w:t>og</w:t>
      </w:r>
      <w:r w:rsidRPr="00CE0E55">
        <w:rPr>
          <w:rStyle w:val="A3"/>
          <w:rFonts w:ascii="Calibri" w:hAnsi="Calibri" w:cs="Calibri"/>
          <w:sz w:val="22"/>
          <w:szCs w:val="22"/>
        </w:rPr>
        <w:t xml:space="preserve"> 3,17 milijuna eura </w:t>
      </w:r>
      <w:r>
        <w:rPr>
          <w:rStyle w:val="A3"/>
          <w:rFonts w:ascii="Calibri" w:hAnsi="Calibri" w:cs="Calibri"/>
          <w:sz w:val="22"/>
          <w:szCs w:val="22"/>
        </w:rPr>
        <w:t>pod nazivom „</w:t>
      </w:r>
      <w:r w:rsidRPr="00CE0E55">
        <w:rPr>
          <w:rStyle w:val="A3"/>
          <w:rFonts w:ascii="Calibri" w:hAnsi="Calibri" w:cs="Calibri"/>
          <w:sz w:val="22"/>
          <w:szCs w:val="22"/>
        </w:rPr>
        <w:t>Sigurno vanjsko teretno parkiralište Žitnjak</w:t>
      </w:r>
      <w:r>
        <w:rPr>
          <w:rStyle w:val="A3"/>
          <w:rFonts w:ascii="Calibri" w:hAnsi="Calibri" w:cs="Calibri"/>
          <w:sz w:val="22"/>
          <w:szCs w:val="22"/>
        </w:rPr>
        <w:t>“,</w:t>
      </w:r>
      <w:r w:rsidRPr="00CE0E55">
        <w:rPr>
          <w:rStyle w:val="A3"/>
          <w:rFonts w:ascii="Calibri" w:hAnsi="Calibri" w:cs="Calibri"/>
          <w:sz w:val="22"/>
          <w:szCs w:val="22"/>
        </w:rPr>
        <w:t xml:space="preserve"> kapaciteta 63 vozila, na lokaciji podružnice Robni terminali na Žitnjaku sukladno svim sigurnosnim standardima EU, čime se doprinijeti većoj razini sigurnosti cestovnog prometa.</w:t>
      </w:r>
    </w:p>
    <w:p w14:paraId="32999CA5" w14:textId="77777777" w:rsidR="00C5315F" w:rsidRPr="00A33E06" w:rsidRDefault="00C5315F" w:rsidP="00C5315F">
      <w:pPr>
        <w:spacing w:line="240" w:lineRule="auto"/>
        <w:jc w:val="both"/>
        <w:rPr>
          <w:rFonts w:cs="Calibri"/>
        </w:rPr>
      </w:pPr>
    </w:p>
    <w:tbl>
      <w:tblPr>
        <w:tblW w:w="9828" w:type="dxa"/>
        <w:tblLook w:val="01E0" w:firstRow="1" w:lastRow="1" w:firstColumn="1" w:lastColumn="1" w:noHBand="0" w:noVBand="0"/>
      </w:tblPr>
      <w:tblGrid>
        <w:gridCol w:w="4788"/>
        <w:gridCol w:w="5040"/>
      </w:tblGrid>
      <w:tr w:rsidR="00C5315F" w:rsidRPr="00A33E06" w14:paraId="54DDA65E" w14:textId="77777777" w:rsidTr="00072476">
        <w:trPr>
          <w:trHeight w:val="6237"/>
        </w:trPr>
        <w:tc>
          <w:tcPr>
            <w:tcW w:w="4788" w:type="dxa"/>
            <w:shd w:val="clear" w:color="auto" w:fill="CCCCCC"/>
          </w:tcPr>
          <w:p w14:paraId="4A1B319E" w14:textId="77777777" w:rsidR="00C5315F" w:rsidRPr="00A33E06" w:rsidRDefault="00C5315F" w:rsidP="00072476">
            <w:pPr>
              <w:rPr>
                <w:rFonts w:cs="Calibri"/>
                <w:b/>
                <w:sz w:val="18"/>
                <w:szCs w:val="18"/>
              </w:rPr>
            </w:pPr>
            <w:r w:rsidRPr="00A33E06">
              <w:rPr>
                <w:rFonts w:cs="Calibri"/>
                <w:b/>
                <w:sz w:val="18"/>
                <w:szCs w:val="18"/>
              </w:rPr>
              <w:t>RAZVOJNI PROBLEMI</w:t>
            </w:r>
          </w:p>
          <w:p w14:paraId="104B65C6" w14:textId="77777777" w:rsidR="00C5315F" w:rsidRDefault="00C5315F" w:rsidP="00072476">
            <w:pPr>
              <w:spacing w:after="0"/>
              <w:rPr>
                <w:rFonts w:cs="Calibri"/>
                <w:sz w:val="18"/>
                <w:szCs w:val="18"/>
              </w:rPr>
            </w:pPr>
            <w:r>
              <w:rPr>
                <w:rFonts w:cs="Calibri"/>
                <w:sz w:val="18"/>
                <w:szCs w:val="18"/>
              </w:rPr>
              <w:t>Javni putnički promet</w:t>
            </w:r>
          </w:p>
          <w:p w14:paraId="378C1B92" w14:textId="77777777" w:rsidR="00C5315F" w:rsidRPr="00D103A8" w:rsidRDefault="00C5315F" w:rsidP="00165C16">
            <w:pPr>
              <w:numPr>
                <w:ilvl w:val="0"/>
                <w:numId w:val="2"/>
              </w:numPr>
              <w:spacing w:after="0" w:line="276" w:lineRule="auto"/>
              <w:ind w:left="714" w:hanging="357"/>
              <w:rPr>
                <w:rFonts w:cs="Calibri"/>
                <w:sz w:val="18"/>
                <w:szCs w:val="18"/>
              </w:rPr>
            </w:pPr>
            <w:r>
              <w:rPr>
                <w:rFonts w:cs="Calibri"/>
                <w:sz w:val="18"/>
                <w:szCs w:val="18"/>
              </w:rPr>
              <w:t>n</w:t>
            </w:r>
            <w:r w:rsidRPr="00D103A8">
              <w:rPr>
                <w:rFonts w:cs="Calibri"/>
                <w:sz w:val="18"/>
                <w:szCs w:val="18"/>
              </w:rPr>
              <w:t>edovoljna duljina tramvajskih linija sprječava bolji javni prijevoz putnika</w:t>
            </w:r>
          </w:p>
          <w:p w14:paraId="150A8430" w14:textId="77777777" w:rsidR="00C5315F" w:rsidRPr="00A33E06" w:rsidRDefault="00C5315F" w:rsidP="00165C16">
            <w:pPr>
              <w:numPr>
                <w:ilvl w:val="0"/>
                <w:numId w:val="2"/>
              </w:numPr>
              <w:tabs>
                <w:tab w:val="num" w:pos="284"/>
              </w:tabs>
              <w:spacing w:after="0" w:line="240" w:lineRule="auto"/>
              <w:ind w:left="714" w:hanging="357"/>
              <w:rPr>
                <w:rFonts w:cs="Calibri"/>
                <w:sz w:val="18"/>
                <w:szCs w:val="18"/>
              </w:rPr>
            </w:pPr>
            <w:r w:rsidRPr="00A33E06">
              <w:rPr>
                <w:rFonts w:cs="Calibri"/>
                <w:sz w:val="18"/>
                <w:szCs w:val="18"/>
              </w:rPr>
              <w:t xml:space="preserve">nepostojanje centralne koordinacije semaforiziranih raskrižja </w:t>
            </w:r>
            <w:r>
              <w:rPr>
                <w:rFonts w:cs="Calibri"/>
                <w:sz w:val="18"/>
                <w:szCs w:val="18"/>
              </w:rPr>
              <w:t>i nepostojanje sustava inteligentnog upravljanja prometom</w:t>
            </w:r>
          </w:p>
          <w:p w14:paraId="4F7DD83D" w14:textId="77777777" w:rsidR="00C5315F" w:rsidRPr="00A33E06" w:rsidRDefault="00C5315F" w:rsidP="00165C16">
            <w:pPr>
              <w:numPr>
                <w:ilvl w:val="0"/>
                <w:numId w:val="2"/>
              </w:numPr>
              <w:tabs>
                <w:tab w:val="num" w:pos="284"/>
              </w:tabs>
              <w:spacing w:after="0" w:line="240" w:lineRule="auto"/>
              <w:rPr>
                <w:rFonts w:cs="Calibri"/>
                <w:sz w:val="18"/>
                <w:szCs w:val="18"/>
              </w:rPr>
            </w:pPr>
            <w:r w:rsidRPr="00A33E06">
              <w:rPr>
                <w:rFonts w:cs="Calibri"/>
                <w:sz w:val="18"/>
                <w:szCs w:val="18"/>
              </w:rPr>
              <w:t>slaba cestovna povezanost pojedinih područja zagrebačke županije međusobno uzrokuje povećani tranzit na području Zagreba</w:t>
            </w:r>
          </w:p>
          <w:p w14:paraId="29DD7BD8" w14:textId="77777777" w:rsidR="00C5315F" w:rsidRDefault="00C5315F" w:rsidP="00165C16">
            <w:pPr>
              <w:numPr>
                <w:ilvl w:val="0"/>
                <w:numId w:val="2"/>
              </w:numPr>
              <w:tabs>
                <w:tab w:val="num" w:pos="284"/>
              </w:tabs>
              <w:spacing w:after="0" w:line="240" w:lineRule="auto"/>
              <w:rPr>
                <w:rFonts w:cs="Calibri"/>
                <w:sz w:val="18"/>
                <w:szCs w:val="18"/>
              </w:rPr>
            </w:pPr>
            <w:r>
              <w:rPr>
                <w:rFonts w:cs="Calibri"/>
                <w:sz w:val="18"/>
                <w:szCs w:val="18"/>
              </w:rPr>
              <w:t>slaba povezanost javnim prijevozom sa gradovima i općinama na području susjednih županija</w:t>
            </w:r>
          </w:p>
          <w:p w14:paraId="30E4E596" w14:textId="77777777" w:rsidR="00C5315F" w:rsidRPr="00A33E06" w:rsidRDefault="00C5315F" w:rsidP="00165C16">
            <w:pPr>
              <w:numPr>
                <w:ilvl w:val="0"/>
                <w:numId w:val="2"/>
              </w:numPr>
              <w:tabs>
                <w:tab w:val="num" w:pos="284"/>
              </w:tabs>
              <w:spacing w:after="0" w:line="240" w:lineRule="auto"/>
              <w:rPr>
                <w:rFonts w:cs="Calibri"/>
                <w:sz w:val="18"/>
                <w:szCs w:val="18"/>
              </w:rPr>
            </w:pPr>
            <w:r w:rsidRPr="00A33E06">
              <w:rPr>
                <w:rFonts w:cs="Calibri"/>
                <w:sz w:val="18"/>
                <w:szCs w:val="18"/>
              </w:rPr>
              <w:t>nepostojanje integriranog sustava javnog prijevoza grada i okolnih županija</w:t>
            </w:r>
          </w:p>
          <w:p w14:paraId="58487658" w14:textId="77777777" w:rsidR="00C5315F" w:rsidRDefault="00C5315F" w:rsidP="00165C16">
            <w:pPr>
              <w:numPr>
                <w:ilvl w:val="0"/>
                <w:numId w:val="2"/>
              </w:numPr>
              <w:tabs>
                <w:tab w:val="num" w:pos="284"/>
              </w:tabs>
              <w:spacing w:after="0" w:line="240" w:lineRule="auto"/>
              <w:rPr>
                <w:rFonts w:cs="Calibri"/>
                <w:sz w:val="18"/>
                <w:szCs w:val="18"/>
              </w:rPr>
            </w:pPr>
            <w:r w:rsidRPr="00A33E06">
              <w:rPr>
                <w:rFonts w:cs="Calibri"/>
                <w:sz w:val="18"/>
                <w:szCs w:val="18"/>
              </w:rPr>
              <w:t>pretežito zastarjela željeznička infrastruktura, sav promet (uključujući teretni) prolazi kroz središte grada,</w:t>
            </w:r>
            <w:r>
              <w:rPr>
                <w:rFonts w:cs="Calibri"/>
                <w:sz w:val="18"/>
                <w:szCs w:val="18"/>
              </w:rPr>
              <w:t xml:space="preserve"> </w:t>
            </w:r>
            <w:r w:rsidRPr="00A33E06">
              <w:rPr>
                <w:rFonts w:cs="Calibri"/>
                <w:sz w:val="18"/>
                <w:szCs w:val="18"/>
              </w:rPr>
              <w:t>nedovoljno učešće željeznice u prigradsko-gradskom promet</w:t>
            </w:r>
            <w:r>
              <w:rPr>
                <w:rFonts w:cs="Calibri"/>
                <w:sz w:val="18"/>
                <w:szCs w:val="18"/>
              </w:rPr>
              <w:t>, j</w:t>
            </w:r>
            <w:r w:rsidRPr="00030198">
              <w:rPr>
                <w:rFonts w:cs="Calibri"/>
                <w:sz w:val="18"/>
                <w:szCs w:val="18"/>
              </w:rPr>
              <w:t>avni prijevoz putnika željeznicom nije u funkciji u južnom dijelu Zagreba</w:t>
            </w:r>
            <w:r>
              <w:rPr>
                <w:rFonts w:cs="Calibri"/>
                <w:sz w:val="18"/>
                <w:szCs w:val="18"/>
              </w:rPr>
              <w:t xml:space="preserve"> </w:t>
            </w:r>
            <w:r w:rsidRPr="00030198">
              <w:rPr>
                <w:rFonts w:cs="Calibri"/>
                <w:sz w:val="18"/>
                <w:szCs w:val="18"/>
              </w:rPr>
              <w:t>unatoč postojanju željezničke infrastrukture</w:t>
            </w:r>
            <w:r>
              <w:rPr>
                <w:rFonts w:cs="Calibri"/>
                <w:sz w:val="18"/>
                <w:szCs w:val="18"/>
              </w:rPr>
              <w:t xml:space="preserve">; </w:t>
            </w:r>
          </w:p>
          <w:p w14:paraId="6EF0F96A" w14:textId="77777777" w:rsidR="00C5315F" w:rsidRDefault="00C5315F" w:rsidP="00165C16">
            <w:pPr>
              <w:numPr>
                <w:ilvl w:val="0"/>
                <w:numId w:val="2"/>
              </w:numPr>
              <w:tabs>
                <w:tab w:val="num" w:pos="284"/>
              </w:tabs>
              <w:spacing w:after="0" w:line="240" w:lineRule="auto"/>
              <w:rPr>
                <w:rFonts w:cs="Calibri"/>
                <w:sz w:val="18"/>
                <w:szCs w:val="18"/>
              </w:rPr>
            </w:pPr>
            <w:r w:rsidRPr="006A21BB">
              <w:rPr>
                <w:rFonts w:cs="Calibri"/>
                <w:sz w:val="18"/>
                <w:szCs w:val="18"/>
              </w:rPr>
              <w:t xml:space="preserve">željezničko-cestovni prijelazi u razini predstavljaju sigurnosni problem; </w:t>
            </w:r>
          </w:p>
          <w:p w14:paraId="2D9D437B" w14:textId="77777777" w:rsidR="00C5315F" w:rsidRDefault="00C5315F" w:rsidP="00165C16">
            <w:pPr>
              <w:numPr>
                <w:ilvl w:val="0"/>
                <w:numId w:val="2"/>
              </w:numPr>
              <w:tabs>
                <w:tab w:val="num" w:pos="284"/>
              </w:tabs>
              <w:spacing w:after="0" w:line="240" w:lineRule="auto"/>
              <w:rPr>
                <w:rFonts w:cs="Calibri"/>
                <w:sz w:val="18"/>
                <w:szCs w:val="18"/>
              </w:rPr>
            </w:pPr>
            <w:r w:rsidRPr="006A21BB">
              <w:rPr>
                <w:rFonts w:cs="Calibri"/>
                <w:sz w:val="18"/>
                <w:szCs w:val="18"/>
              </w:rPr>
              <w:t xml:space="preserve">Neodgovarajući tehnički parametri i održavanje određenih cesta predstavljaju problem i iz perspektive sigurnosti; </w:t>
            </w:r>
          </w:p>
          <w:p w14:paraId="053295C9" w14:textId="77777777" w:rsidR="00C5315F" w:rsidRDefault="00C5315F" w:rsidP="00165C16">
            <w:pPr>
              <w:numPr>
                <w:ilvl w:val="0"/>
                <w:numId w:val="2"/>
              </w:numPr>
              <w:tabs>
                <w:tab w:val="num" w:pos="284"/>
              </w:tabs>
              <w:spacing w:after="0" w:line="240" w:lineRule="auto"/>
              <w:rPr>
                <w:rFonts w:cs="Calibri"/>
                <w:sz w:val="18"/>
                <w:szCs w:val="18"/>
              </w:rPr>
            </w:pPr>
            <w:r>
              <w:rPr>
                <w:rFonts w:cs="Calibri"/>
                <w:sz w:val="18"/>
                <w:szCs w:val="18"/>
              </w:rPr>
              <w:t>smještaj autobusnog kolodvora u centru grada uzrokuje sporost kod autobusnih tranzitnih linija (međunarodnih, međuregionalnih i regionalnih) povećanje prometnog zagušenja u centru grada i povećanu emisiju štetnih plinova</w:t>
            </w:r>
          </w:p>
          <w:p w14:paraId="00A8FA2B" w14:textId="77777777" w:rsidR="00C5315F" w:rsidRPr="00A33E06" w:rsidRDefault="00C5315F" w:rsidP="00165C16">
            <w:pPr>
              <w:numPr>
                <w:ilvl w:val="0"/>
                <w:numId w:val="2"/>
              </w:numPr>
              <w:tabs>
                <w:tab w:val="num" w:pos="284"/>
              </w:tabs>
              <w:spacing w:after="0" w:line="240" w:lineRule="auto"/>
              <w:rPr>
                <w:rFonts w:cs="Calibri"/>
                <w:sz w:val="18"/>
                <w:szCs w:val="18"/>
              </w:rPr>
            </w:pPr>
            <w:r w:rsidRPr="00A33E06">
              <w:rPr>
                <w:rFonts w:cs="Calibri"/>
                <w:sz w:val="18"/>
                <w:szCs w:val="18"/>
              </w:rPr>
              <w:t>spor javni prijevoz, samo djelomično dostupan osobama s teškoćama u kretanju</w:t>
            </w:r>
          </w:p>
          <w:p w14:paraId="6D91F54C" w14:textId="77777777" w:rsidR="00C5315F" w:rsidRPr="00A33E06" w:rsidRDefault="00C5315F" w:rsidP="00165C16">
            <w:pPr>
              <w:numPr>
                <w:ilvl w:val="0"/>
                <w:numId w:val="2"/>
              </w:numPr>
              <w:tabs>
                <w:tab w:val="num" w:pos="284"/>
              </w:tabs>
              <w:spacing w:after="0" w:line="240" w:lineRule="auto"/>
              <w:rPr>
                <w:rFonts w:cs="Calibri"/>
                <w:sz w:val="18"/>
                <w:szCs w:val="18"/>
              </w:rPr>
            </w:pPr>
            <w:r>
              <w:rPr>
                <w:rFonts w:cs="Calibri"/>
                <w:sz w:val="18"/>
                <w:szCs w:val="18"/>
              </w:rPr>
              <w:t xml:space="preserve">djelomično </w:t>
            </w:r>
            <w:r w:rsidRPr="00A33E06">
              <w:rPr>
                <w:rFonts w:cs="Calibri"/>
                <w:sz w:val="18"/>
                <w:szCs w:val="18"/>
              </w:rPr>
              <w:t>razvijen biciklistički promet</w:t>
            </w:r>
            <w:r>
              <w:rPr>
                <w:rFonts w:cs="Calibri"/>
                <w:sz w:val="18"/>
                <w:szCs w:val="18"/>
              </w:rPr>
              <w:t xml:space="preserve"> </w:t>
            </w:r>
          </w:p>
          <w:p w14:paraId="137C4EDD" w14:textId="77777777" w:rsidR="00C5315F" w:rsidRDefault="00C5315F" w:rsidP="00072476">
            <w:pPr>
              <w:spacing w:after="0" w:line="240" w:lineRule="auto"/>
              <w:rPr>
                <w:rFonts w:cs="Calibri"/>
                <w:sz w:val="18"/>
                <w:szCs w:val="18"/>
              </w:rPr>
            </w:pPr>
          </w:p>
          <w:p w14:paraId="22EA22AB" w14:textId="77777777" w:rsidR="00C5315F" w:rsidRPr="005C3B57" w:rsidRDefault="00C5315F" w:rsidP="00072476">
            <w:pPr>
              <w:spacing w:after="0" w:line="240" w:lineRule="auto"/>
              <w:rPr>
                <w:rFonts w:cs="Calibri"/>
                <w:sz w:val="18"/>
                <w:szCs w:val="18"/>
              </w:rPr>
            </w:pPr>
            <w:r>
              <w:rPr>
                <w:rFonts w:cs="Calibri"/>
                <w:sz w:val="18"/>
                <w:szCs w:val="18"/>
              </w:rPr>
              <w:t>Zračni promet</w:t>
            </w:r>
          </w:p>
          <w:p w14:paraId="0B40BE4F" w14:textId="77777777" w:rsidR="00C5315F" w:rsidRPr="00A33E06" w:rsidRDefault="00C5315F" w:rsidP="00165C16">
            <w:pPr>
              <w:numPr>
                <w:ilvl w:val="0"/>
                <w:numId w:val="2"/>
              </w:numPr>
              <w:tabs>
                <w:tab w:val="num" w:pos="284"/>
              </w:tabs>
              <w:spacing w:after="0" w:line="240" w:lineRule="auto"/>
              <w:rPr>
                <w:rFonts w:cs="Calibri"/>
                <w:sz w:val="18"/>
                <w:szCs w:val="18"/>
              </w:rPr>
            </w:pPr>
            <w:r w:rsidRPr="00A33E06">
              <w:rPr>
                <w:rFonts w:cs="Calibri"/>
                <w:sz w:val="18"/>
                <w:szCs w:val="18"/>
              </w:rPr>
              <w:t>neodgovarajuća povezanost putničkog terminala Zračne luke Zagreb sa središtem Zagreba</w:t>
            </w:r>
          </w:p>
          <w:p w14:paraId="4DD19B6A" w14:textId="77777777" w:rsidR="00C5315F" w:rsidRPr="00A33E06" w:rsidRDefault="00C5315F" w:rsidP="00165C16">
            <w:pPr>
              <w:numPr>
                <w:ilvl w:val="0"/>
                <w:numId w:val="2"/>
              </w:numPr>
              <w:tabs>
                <w:tab w:val="num" w:pos="284"/>
              </w:tabs>
              <w:spacing w:after="0" w:line="240" w:lineRule="auto"/>
              <w:rPr>
                <w:rFonts w:cs="Calibri"/>
                <w:sz w:val="18"/>
                <w:szCs w:val="18"/>
              </w:rPr>
            </w:pPr>
            <w:r w:rsidRPr="00A33E06">
              <w:rPr>
                <w:rFonts w:cs="Calibri"/>
                <w:sz w:val="18"/>
                <w:szCs w:val="18"/>
              </w:rPr>
              <w:t>neadekvatna opremljenost aerodroma Lučko</w:t>
            </w:r>
          </w:p>
          <w:p w14:paraId="7D440C9E" w14:textId="77777777" w:rsidR="00C5315F" w:rsidRDefault="00C5315F" w:rsidP="00165C16">
            <w:pPr>
              <w:numPr>
                <w:ilvl w:val="0"/>
                <w:numId w:val="2"/>
              </w:numPr>
              <w:tabs>
                <w:tab w:val="num" w:pos="284"/>
              </w:tabs>
              <w:spacing w:after="0" w:line="240" w:lineRule="auto"/>
              <w:rPr>
                <w:rFonts w:cs="Calibri"/>
                <w:sz w:val="18"/>
                <w:szCs w:val="18"/>
              </w:rPr>
            </w:pPr>
            <w:r w:rsidRPr="00A33E06">
              <w:rPr>
                <w:rFonts w:cs="Calibri"/>
                <w:sz w:val="18"/>
                <w:szCs w:val="18"/>
              </w:rPr>
              <w:t>Željezničko cestovni kontejnerski terminal na neodgovarajućoj lokaciji</w:t>
            </w:r>
          </w:p>
          <w:p w14:paraId="36A504CE" w14:textId="77777777" w:rsidR="00C5315F" w:rsidRDefault="00C5315F" w:rsidP="00072476">
            <w:pPr>
              <w:spacing w:after="0" w:line="240" w:lineRule="auto"/>
              <w:rPr>
                <w:rFonts w:cs="Calibri"/>
                <w:sz w:val="18"/>
                <w:szCs w:val="18"/>
              </w:rPr>
            </w:pPr>
          </w:p>
          <w:p w14:paraId="73B632F7" w14:textId="77777777" w:rsidR="00C5315F" w:rsidRPr="00A33E06" w:rsidRDefault="00C5315F" w:rsidP="00072476">
            <w:pPr>
              <w:spacing w:after="0" w:line="240" w:lineRule="auto"/>
              <w:rPr>
                <w:rFonts w:cs="Calibri"/>
                <w:sz w:val="18"/>
                <w:szCs w:val="18"/>
              </w:rPr>
            </w:pPr>
            <w:r>
              <w:rPr>
                <w:rFonts w:cs="Calibri"/>
                <w:sz w:val="18"/>
                <w:szCs w:val="18"/>
              </w:rPr>
              <w:t>Cestovni promet</w:t>
            </w:r>
          </w:p>
          <w:p w14:paraId="2FCE2FA8" w14:textId="77777777" w:rsidR="00C5315F" w:rsidRDefault="00C5315F" w:rsidP="00165C16">
            <w:pPr>
              <w:numPr>
                <w:ilvl w:val="0"/>
                <w:numId w:val="2"/>
              </w:numPr>
              <w:spacing w:after="0" w:line="276" w:lineRule="auto"/>
              <w:ind w:left="714" w:hanging="357"/>
              <w:rPr>
                <w:rFonts w:cs="Calibri"/>
                <w:sz w:val="18"/>
                <w:szCs w:val="18"/>
              </w:rPr>
            </w:pPr>
            <w:r w:rsidRPr="000616E4">
              <w:rPr>
                <w:rFonts w:cs="Calibri"/>
                <w:sz w:val="18"/>
                <w:szCs w:val="18"/>
              </w:rPr>
              <w:t>nedovoljn</w:t>
            </w:r>
            <w:r>
              <w:rPr>
                <w:rFonts w:cs="Calibri"/>
                <w:sz w:val="18"/>
                <w:szCs w:val="18"/>
              </w:rPr>
              <w:t>a</w:t>
            </w:r>
            <w:r w:rsidRPr="000616E4">
              <w:rPr>
                <w:rFonts w:cs="Calibri"/>
                <w:sz w:val="18"/>
                <w:szCs w:val="18"/>
              </w:rPr>
              <w:t xml:space="preserve"> propusnost </w:t>
            </w:r>
            <w:r w:rsidRPr="00A33E06">
              <w:rPr>
                <w:rFonts w:cs="Calibri"/>
                <w:sz w:val="18"/>
                <w:szCs w:val="18"/>
              </w:rPr>
              <w:t>cestovn</w:t>
            </w:r>
            <w:r>
              <w:rPr>
                <w:rFonts w:cs="Calibri"/>
                <w:sz w:val="18"/>
                <w:szCs w:val="18"/>
              </w:rPr>
              <w:t>e</w:t>
            </w:r>
            <w:r w:rsidRPr="00A33E06">
              <w:rPr>
                <w:rFonts w:cs="Calibri"/>
                <w:sz w:val="18"/>
                <w:szCs w:val="18"/>
              </w:rPr>
              <w:t xml:space="preserve"> mrež</w:t>
            </w:r>
            <w:r>
              <w:rPr>
                <w:rFonts w:cs="Calibri"/>
                <w:sz w:val="18"/>
                <w:szCs w:val="18"/>
              </w:rPr>
              <w:t>e i</w:t>
            </w:r>
            <w:r w:rsidRPr="00A33E06">
              <w:rPr>
                <w:rFonts w:cs="Calibri"/>
                <w:sz w:val="18"/>
                <w:szCs w:val="18"/>
              </w:rPr>
              <w:t xml:space="preserve"> </w:t>
            </w:r>
            <w:r w:rsidRPr="000616E4">
              <w:rPr>
                <w:rFonts w:cs="Calibri"/>
                <w:sz w:val="18"/>
                <w:szCs w:val="18"/>
              </w:rPr>
              <w:t xml:space="preserve">prometnog toka tramvajskog prometa kroz </w:t>
            </w:r>
            <w:r>
              <w:rPr>
                <w:rFonts w:cs="Calibri"/>
                <w:sz w:val="18"/>
                <w:szCs w:val="18"/>
              </w:rPr>
              <w:t>Grad Zagreb</w:t>
            </w:r>
          </w:p>
          <w:p w14:paraId="140718AD" w14:textId="77777777" w:rsidR="00C5315F" w:rsidRDefault="00C5315F" w:rsidP="00165C16">
            <w:pPr>
              <w:numPr>
                <w:ilvl w:val="0"/>
                <w:numId w:val="2"/>
              </w:numPr>
              <w:tabs>
                <w:tab w:val="num" w:pos="284"/>
              </w:tabs>
              <w:spacing w:after="0" w:line="240" w:lineRule="auto"/>
              <w:rPr>
                <w:rFonts w:cs="Calibri"/>
                <w:sz w:val="18"/>
                <w:szCs w:val="18"/>
              </w:rPr>
            </w:pPr>
            <w:r w:rsidRPr="00D23FFF">
              <w:rPr>
                <w:rFonts w:cs="Calibri"/>
                <w:sz w:val="18"/>
                <w:szCs w:val="18"/>
              </w:rPr>
              <w:t>uska grla u motornom prometu, odnosno nedostatan kapacitet  prometnica I prometnih raskrižja</w:t>
            </w:r>
          </w:p>
          <w:p w14:paraId="6F4A53C0" w14:textId="77777777" w:rsidR="00C5315F" w:rsidRDefault="00C5315F" w:rsidP="00165C16">
            <w:pPr>
              <w:numPr>
                <w:ilvl w:val="0"/>
                <w:numId w:val="2"/>
              </w:numPr>
              <w:tabs>
                <w:tab w:val="num" w:pos="284"/>
              </w:tabs>
              <w:spacing w:after="0" w:line="240" w:lineRule="auto"/>
              <w:rPr>
                <w:rFonts w:cs="Calibri"/>
                <w:sz w:val="18"/>
                <w:szCs w:val="18"/>
              </w:rPr>
            </w:pPr>
            <w:r w:rsidRPr="00D23FFF">
              <w:rPr>
                <w:rFonts w:cs="Calibri"/>
                <w:sz w:val="18"/>
                <w:szCs w:val="18"/>
              </w:rPr>
              <w:t xml:space="preserve">prevelik robni cestovni promet u odnosu na željeznički  </w:t>
            </w:r>
          </w:p>
          <w:p w14:paraId="117BE1B7" w14:textId="77777777" w:rsidR="00C5315F" w:rsidRDefault="00C5315F" w:rsidP="00165C16">
            <w:pPr>
              <w:numPr>
                <w:ilvl w:val="0"/>
                <w:numId w:val="2"/>
              </w:numPr>
              <w:tabs>
                <w:tab w:val="num" w:pos="284"/>
              </w:tabs>
              <w:spacing w:after="0" w:line="240" w:lineRule="auto"/>
              <w:rPr>
                <w:rFonts w:cs="Calibri"/>
                <w:sz w:val="18"/>
                <w:szCs w:val="18"/>
              </w:rPr>
            </w:pPr>
            <w:r w:rsidRPr="00D23FFF">
              <w:rPr>
                <w:rFonts w:cs="Calibri"/>
                <w:sz w:val="18"/>
                <w:szCs w:val="18"/>
              </w:rPr>
              <w:t>zastarjelost objekata I opreme željezničkih stajališta I kolodvora</w:t>
            </w:r>
          </w:p>
          <w:p w14:paraId="588EF1C9" w14:textId="77777777" w:rsidR="00C5315F" w:rsidRDefault="00C5315F" w:rsidP="00165C16">
            <w:pPr>
              <w:numPr>
                <w:ilvl w:val="0"/>
                <w:numId w:val="2"/>
              </w:numPr>
              <w:tabs>
                <w:tab w:val="num" w:pos="284"/>
              </w:tabs>
              <w:spacing w:after="0" w:line="240" w:lineRule="auto"/>
              <w:rPr>
                <w:rFonts w:cs="Calibri"/>
                <w:sz w:val="18"/>
                <w:szCs w:val="18"/>
              </w:rPr>
            </w:pPr>
            <w:r w:rsidRPr="00D23FFF">
              <w:rPr>
                <w:rFonts w:cs="Calibri"/>
                <w:sz w:val="18"/>
                <w:szCs w:val="18"/>
              </w:rPr>
              <w:t>zastarjelost voznog parka I opreme prijevoznika u putničkom prijevozu</w:t>
            </w:r>
          </w:p>
          <w:p w14:paraId="7EDE90B8" w14:textId="77777777" w:rsidR="00C5315F" w:rsidRDefault="00C5315F" w:rsidP="00165C16">
            <w:pPr>
              <w:numPr>
                <w:ilvl w:val="0"/>
                <w:numId w:val="2"/>
              </w:numPr>
              <w:tabs>
                <w:tab w:val="num" w:pos="284"/>
              </w:tabs>
              <w:spacing w:after="0" w:line="240" w:lineRule="auto"/>
              <w:rPr>
                <w:rFonts w:cs="Calibri"/>
                <w:sz w:val="18"/>
                <w:szCs w:val="18"/>
              </w:rPr>
            </w:pPr>
            <w:r w:rsidRPr="002A29B1">
              <w:rPr>
                <w:rFonts w:cs="Calibri"/>
                <w:sz w:val="18"/>
                <w:szCs w:val="18"/>
              </w:rPr>
              <w:t>Nizak udio uporabe alternativnih goriva u sektoru prometa povećava zagađenja ispušnim plinovim</w:t>
            </w:r>
            <w:r>
              <w:rPr>
                <w:rFonts w:cs="Calibri"/>
                <w:sz w:val="18"/>
                <w:szCs w:val="18"/>
              </w:rPr>
              <w:t>a</w:t>
            </w:r>
          </w:p>
          <w:p w14:paraId="3B62E7D8" w14:textId="77777777" w:rsidR="00C5315F" w:rsidRDefault="00C5315F" w:rsidP="00165C16">
            <w:pPr>
              <w:numPr>
                <w:ilvl w:val="0"/>
                <w:numId w:val="2"/>
              </w:numPr>
              <w:tabs>
                <w:tab w:val="num" w:pos="284"/>
              </w:tabs>
              <w:spacing w:after="0" w:line="240" w:lineRule="auto"/>
              <w:rPr>
                <w:rFonts w:cs="Calibri"/>
                <w:sz w:val="18"/>
                <w:szCs w:val="18"/>
              </w:rPr>
            </w:pPr>
            <w:r>
              <w:rPr>
                <w:rFonts w:cs="Calibri"/>
                <w:sz w:val="18"/>
                <w:szCs w:val="18"/>
              </w:rPr>
              <w:t xml:space="preserve">zastarjelost objekta Autobusnog kolodvora </w:t>
            </w:r>
          </w:p>
          <w:p w14:paraId="5C650CD4" w14:textId="77777777" w:rsidR="00C5315F" w:rsidRDefault="00C5315F" w:rsidP="00165C16">
            <w:pPr>
              <w:numPr>
                <w:ilvl w:val="0"/>
                <w:numId w:val="2"/>
              </w:numPr>
              <w:spacing w:after="0" w:line="240" w:lineRule="auto"/>
              <w:rPr>
                <w:rFonts w:cs="Calibri"/>
                <w:sz w:val="18"/>
                <w:szCs w:val="18"/>
              </w:rPr>
            </w:pPr>
            <w:r w:rsidRPr="00A45818">
              <w:rPr>
                <w:rFonts w:cs="Calibri"/>
                <w:sz w:val="18"/>
                <w:szCs w:val="18"/>
              </w:rPr>
              <w:t>Nedostatak praćenja i prikupljanja podataka u prometnom sektoru kako bi se adekvatno reagiralo na nastale prometne probleme</w:t>
            </w:r>
          </w:p>
          <w:p w14:paraId="2BAA062C" w14:textId="77777777" w:rsidR="00C5315F" w:rsidRPr="006A21BB" w:rsidRDefault="00C5315F" w:rsidP="00165C16">
            <w:pPr>
              <w:numPr>
                <w:ilvl w:val="0"/>
                <w:numId w:val="2"/>
              </w:numPr>
              <w:tabs>
                <w:tab w:val="num" w:pos="284"/>
              </w:tabs>
              <w:spacing w:after="0" w:line="240" w:lineRule="auto"/>
              <w:rPr>
                <w:rFonts w:cs="Calibri"/>
                <w:sz w:val="18"/>
                <w:szCs w:val="18"/>
              </w:rPr>
            </w:pPr>
            <w:r w:rsidRPr="006A21BB">
              <w:rPr>
                <w:rFonts w:cs="Calibri"/>
                <w:sz w:val="18"/>
                <w:szCs w:val="18"/>
              </w:rPr>
              <w:t>nedostatak pješačkih i biciklističkih prijelaza preko željezničke pruge ugrožava  sigurnost,</w:t>
            </w:r>
          </w:p>
          <w:p w14:paraId="34BB81B4" w14:textId="77777777" w:rsidR="00C5315F" w:rsidRDefault="00C5315F" w:rsidP="00072476">
            <w:pPr>
              <w:spacing w:after="0" w:line="240" w:lineRule="auto"/>
              <w:rPr>
                <w:rFonts w:cs="Calibri"/>
                <w:sz w:val="18"/>
                <w:szCs w:val="18"/>
              </w:rPr>
            </w:pPr>
          </w:p>
          <w:p w14:paraId="186BA751" w14:textId="77777777" w:rsidR="00C5315F" w:rsidRDefault="00C5315F" w:rsidP="00072476">
            <w:pPr>
              <w:spacing w:after="0" w:line="240" w:lineRule="auto"/>
              <w:rPr>
                <w:rFonts w:cs="Calibri"/>
                <w:sz w:val="18"/>
                <w:szCs w:val="18"/>
              </w:rPr>
            </w:pPr>
            <w:r>
              <w:rPr>
                <w:rFonts w:cs="Calibri"/>
                <w:sz w:val="18"/>
                <w:szCs w:val="18"/>
              </w:rPr>
              <w:t>Promet u mirovanju</w:t>
            </w:r>
          </w:p>
          <w:p w14:paraId="74FE887E" w14:textId="77777777" w:rsidR="00C5315F" w:rsidRPr="00BB71B4" w:rsidRDefault="00C5315F" w:rsidP="00165C16">
            <w:pPr>
              <w:numPr>
                <w:ilvl w:val="0"/>
                <w:numId w:val="2"/>
              </w:numPr>
              <w:tabs>
                <w:tab w:val="num" w:pos="284"/>
              </w:tabs>
              <w:spacing w:after="0" w:line="240" w:lineRule="auto"/>
              <w:rPr>
                <w:rFonts w:cs="Calibri"/>
                <w:sz w:val="18"/>
                <w:szCs w:val="18"/>
              </w:rPr>
            </w:pPr>
            <w:r w:rsidRPr="00BB71B4">
              <w:rPr>
                <w:rFonts w:cs="Calibri"/>
                <w:sz w:val="18"/>
                <w:szCs w:val="18"/>
              </w:rPr>
              <w:t>nedovoljan broj parkirališnih mjesta a relativno visok stupanj motorizacije,</w:t>
            </w:r>
          </w:p>
          <w:p w14:paraId="63C74135" w14:textId="77777777" w:rsidR="00C5315F" w:rsidRPr="00191F9A" w:rsidRDefault="00C5315F" w:rsidP="00165C16">
            <w:pPr>
              <w:numPr>
                <w:ilvl w:val="0"/>
                <w:numId w:val="2"/>
              </w:numPr>
              <w:tabs>
                <w:tab w:val="num" w:pos="284"/>
              </w:tabs>
              <w:spacing w:after="0" w:line="240" w:lineRule="auto"/>
              <w:rPr>
                <w:rFonts w:cs="Calibri"/>
                <w:sz w:val="18"/>
                <w:szCs w:val="18"/>
              </w:rPr>
            </w:pPr>
            <w:r>
              <w:rPr>
                <w:rFonts w:cs="Calibri"/>
                <w:color w:val="000000"/>
                <w:sz w:val="18"/>
                <w:szCs w:val="18"/>
              </w:rPr>
              <w:t xml:space="preserve">Nedostatak sigurnih i zaštičenih parkirališta za kamione </w:t>
            </w:r>
          </w:p>
          <w:p w14:paraId="6E1D7CC5" w14:textId="77777777" w:rsidR="00C5315F" w:rsidRPr="00577A8D" w:rsidRDefault="00C5315F" w:rsidP="00165C16">
            <w:pPr>
              <w:numPr>
                <w:ilvl w:val="0"/>
                <w:numId w:val="2"/>
              </w:numPr>
              <w:spacing w:after="0" w:line="240" w:lineRule="auto"/>
              <w:rPr>
                <w:rFonts w:cs="Calibri"/>
                <w:sz w:val="18"/>
                <w:szCs w:val="18"/>
              </w:rPr>
            </w:pPr>
            <w:r w:rsidRPr="00A45818">
              <w:rPr>
                <w:rFonts w:cs="Calibri"/>
                <w:sz w:val="18"/>
                <w:szCs w:val="18"/>
              </w:rPr>
              <w:t>Velik broj parkirališta u strogom centru Zagreba generira automobilski promet u sam centar te smanjuje raspoloživi prostor za bicikliste i pješake</w:t>
            </w:r>
          </w:p>
          <w:p w14:paraId="7C488EB1" w14:textId="77777777" w:rsidR="00C5315F" w:rsidRDefault="00C5315F" w:rsidP="00165C16">
            <w:pPr>
              <w:numPr>
                <w:ilvl w:val="0"/>
                <w:numId w:val="2"/>
              </w:numPr>
              <w:tabs>
                <w:tab w:val="num" w:pos="284"/>
              </w:tabs>
              <w:spacing w:after="0" w:line="240" w:lineRule="auto"/>
              <w:rPr>
                <w:rFonts w:cs="Calibri"/>
                <w:sz w:val="18"/>
                <w:szCs w:val="18"/>
              </w:rPr>
            </w:pPr>
            <w:r w:rsidRPr="00D23FFF">
              <w:rPr>
                <w:rFonts w:cs="Calibri"/>
                <w:sz w:val="18"/>
                <w:szCs w:val="18"/>
              </w:rPr>
              <w:t>nepostojanje intermodalnog pristupa u organizaciji robnog prometa</w:t>
            </w:r>
          </w:p>
          <w:p w14:paraId="069729B2" w14:textId="77777777" w:rsidR="00C5315F" w:rsidRPr="00A33E06" w:rsidRDefault="00C5315F" w:rsidP="00072476">
            <w:pPr>
              <w:tabs>
                <w:tab w:val="num" w:pos="720"/>
              </w:tabs>
              <w:ind w:left="720"/>
              <w:rPr>
                <w:rFonts w:cs="Calibri"/>
                <w:b/>
                <w:sz w:val="18"/>
                <w:szCs w:val="18"/>
              </w:rPr>
            </w:pPr>
          </w:p>
        </w:tc>
        <w:tc>
          <w:tcPr>
            <w:tcW w:w="5040" w:type="dxa"/>
            <w:shd w:val="clear" w:color="auto" w:fill="99CCFF"/>
          </w:tcPr>
          <w:p w14:paraId="70273BD9" w14:textId="77777777" w:rsidR="00C5315F" w:rsidRPr="00A33E06" w:rsidRDefault="00C5315F" w:rsidP="00072476">
            <w:pPr>
              <w:rPr>
                <w:rFonts w:cs="Calibri"/>
                <w:b/>
                <w:sz w:val="18"/>
                <w:szCs w:val="18"/>
              </w:rPr>
            </w:pPr>
            <w:r w:rsidRPr="00A33E06">
              <w:rPr>
                <w:rFonts w:cs="Calibri"/>
                <w:b/>
                <w:sz w:val="18"/>
                <w:szCs w:val="18"/>
              </w:rPr>
              <w:t>RAZVOJNE POTREBE</w:t>
            </w:r>
          </w:p>
          <w:p w14:paraId="2C2FD7CA" w14:textId="77777777" w:rsidR="00C5315F" w:rsidRDefault="00C5315F" w:rsidP="00072476">
            <w:pPr>
              <w:spacing w:after="0" w:line="240" w:lineRule="auto"/>
              <w:rPr>
                <w:rFonts w:cs="Calibri"/>
                <w:sz w:val="18"/>
                <w:szCs w:val="18"/>
              </w:rPr>
            </w:pPr>
            <w:r>
              <w:rPr>
                <w:rFonts w:cs="Calibri"/>
                <w:sz w:val="18"/>
                <w:szCs w:val="18"/>
              </w:rPr>
              <w:t>Javni putnički promet</w:t>
            </w:r>
          </w:p>
          <w:p w14:paraId="42761FD9" w14:textId="2E8AE4E7" w:rsidR="00C5315F" w:rsidRPr="00017722" w:rsidRDefault="00C5315F" w:rsidP="00017722">
            <w:pPr>
              <w:numPr>
                <w:ilvl w:val="0"/>
                <w:numId w:val="2"/>
              </w:numPr>
              <w:spacing w:after="0" w:line="240" w:lineRule="auto"/>
              <w:rPr>
                <w:rFonts w:cs="Calibri"/>
                <w:sz w:val="18"/>
                <w:szCs w:val="18"/>
              </w:rPr>
            </w:pPr>
            <w:r w:rsidRPr="00A33E06">
              <w:rPr>
                <w:rFonts w:cs="Calibri"/>
                <w:sz w:val="18"/>
                <w:szCs w:val="18"/>
              </w:rPr>
              <w:t>nastavak modernizacije voznog parka ZET-a, gradnja nove remize</w:t>
            </w:r>
            <w:r w:rsidR="00F27B03" w:rsidRPr="00A33E06">
              <w:rPr>
                <w:rFonts w:cs="Calibri"/>
                <w:sz w:val="18"/>
                <w:szCs w:val="18"/>
              </w:rPr>
              <w:t xml:space="preserve"> </w:t>
            </w:r>
          </w:p>
          <w:p w14:paraId="48B09BE7" w14:textId="77777777" w:rsidR="00C5315F" w:rsidRDefault="00C5315F" w:rsidP="00165C16">
            <w:pPr>
              <w:numPr>
                <w:ilvl w:val="0"/>
                <w:numId w:val="2"/>
              </w:numPr>
              <w:spacing w:after="0" w:line="240" w:lineRule="auto"/>
              <w:rPr>
                <w:rFonts w:cs="Calibri"/>
                <w:sz w:val="18"/>
                <w:szCs w:val="18"/>
              </w:rPr>
            </w:pPr>
            <w:r w:rsidRPr="009B6419">
              <w:rPr>
                <w:rFonts w:cs="Calibri"/>
                <w:sz w:val="18"/>
                <w:szCs w:val="18"/>
              </w:rPr>
              <w:t>širenje autobusne mreže</w:t>
            </w:r>
            <w:r>
              <w:rPr>
                <w:rFonts w:cs="Calibri"/>
                <w:sz w:val="18"/>
                <w:szCs w:val="18"/>
              </w:rPr>
              <w:t xml:space="preserve"> te p</w:t>
            </w:r>
            <w:r w:rsidRPr="009B6419">
              <w:rPr>
                <w:rFonts w:cs="Calibri"/>
                <w:sz w:val="18"/>
                <w:szCs w:val="18"/>
              </w:rPr>
              <w:t>roširenje, dogradnja i rekonstrukcija tramvajske mreže</w:t>
            </w:r>
          </w:p>
          <w:p w14:paraId="3A59BF1D" w14:textId="77777777" w:rsidR="00C5315F" w:rsidRPr="009B6419" w:rsidRDefault="00C5315F" w:rsidP="00165C16">
            <w:pPr>
              <w:numPr>
                <w:ilvl w:val="0"/>
                <w:numId w:val="2"/>
              </w:numPr>
              <w:spacing w:after="0" w:line="240" w:lineRule="auto"/>
              <w:rPr>
                <w:rFonts w:cs="Calibri"/>
                <w:sz w:val="18"/>
                <w:szCs w:val="18"/>
              </w:rPr>
            </w:pPr>
            <w:r>
              <w:rPr>
                <w:rFonts w:cs="Calibri"/>
                <w:sz w:val="18"/>
                <w:szCs w:val="18"/>
              </w:rPr>
              <w:t>Modernizacija, rekonstrukcija i gradnja terminala i stajališta</w:t>
            </w:r>
          </w:p>
          <w:p w14:paraId="20059F58" w14:textId="77777777" w:rsidR="00C5315F" w:rsidRPr="00A33E06" w:rsidRDefault="00C5315F" w:rsidP="00165C16">
            <w:pPr>
              <w:numPr>
                <w:ilvl w:val="0"/>
                <w:numId w:val="2"/>
              </w:numPr>
              <w:spacing w:after="0" w:line="240" w:lineRule="auto"/>
              <w:rPr>
                <w:rFonts w:cs="Calibri"/>
                <w:sz w:val="18"/>
                <w:szCs w:val="18"/>
              </w:rPr>
            </w:pPr>
            <w:r w:rsidRPr="00A33E06">
              <w:rPr>
                <w:rFonts w:cs="Calibri"/>
                <w:sz w:val="18"/>
                <w:szCs w:val="18"/>
              </w:rPr>
              <w:t>uvođenje integriranog sustava javnog prijevoza putnika na području grada i okolnih županija</w:t>
            </w:r>
          </w:p>
          <w:p w14:paraId="12BEA459" w14:textId="77777777" w:rsidR="00C5315F" w:rsidRDefault="00C5315F" w:rsidP="00165C16">
            <w:pPr>
              <w:numPr>
                <w:ilvl w:val="0"/>
                <w:numId w:val="2"/>
              </w:numPr>
              <w:spacing w:after="0" w:line="240" w:lineRule="auto"/>
              <w:rPr>
                <w:rFonts w:cs="Calibri"/>
                <w:sz w:val="18"/>
                <w:szCs w:val="18"/>
              </w:rPr>
            </w:pPr>
            <w:r>
              <w:rPr>
                <w:rFonts w:cs="Calibri"/>
                <w:sz w:val="18"/>
                <w:szCs w:val="18"/>
              </w:rPr>
              <w:t xml:space="preserve">oblikovanje </w:t>
            </w:r>
            <w:r w:rsidRPr="00934485">
              <w:rPr>
                <w:rFonts w:cs="Calibri"/>
                <w:sz w:val="18"/>
                <w:szCs w:val="18"/>
              </w:rPr>
              <w:t xml:space="preserve">tarifne politike s ciljem </w:t>
            </w:r>
            <w:r>
              <w:rPr>
                <w:rFonts w:cs="Calibri"/>
                <w:sz w:val="18"/>
                <w:szCs w:val="18"/>
              </w:rPr>
              <w:t xml:space="preserve">poticanja </w:t>
            </w:r>
            <w:r w:rsidRPr="00934485">
              <w:rPr>
                <w:rFonts w:cs="Calibri"/>
                <w:sz w:val="18"/>
                <w:szCs w:val="18"/>
              </w:rPr>
              <w:t>održivih oblika prometovanja</w:t>
            </w:r>
          </w:p>
          <w:p w14:paraId="36B3B8B5" w14:textId="63795BB6" w:rsidR="00C5315F" w:rsidRPr="00592A9A" w:rsidRDefault="00C5315F" w:rsidP="00592A9A">
            <w:pPr>
              <w:numPr>
                <w:ilvl w:val="0"/>
                <w:numId w:val="48"/>
              </w:numPr>
              <w:spacing w:after="0" w:line="240" w:lineRule="auto"/>
              <w:rPr>
                <w:rFonts w:ascii="Calibri" w:eastAsia="Calibri" w:hAnsi="Calibri" w:cs="Calibri"/>
                <w:sz w:val="18"/>
                <w:szCs w:val="18"/>
                <w:lang w:eastAsia="hr-HR"/>
              </w:rPr>
            </w:pPr>
            <w:r>
              <w:rPr>
                <w:rFonts w:cs="Calibri"/>
                <w:sz w:val="18"/>
                <w:szCs w:val="18"/>
              </w:rPr>
              <w:t>m</w:t>
            </w:r>
            <w:r w:rsidRPr="00E849A7">
              <w:rPr>
                <w:rFonts w:cs="Calibri"/>
                <w:sz w:val="18"/>
                <w:szCs w:val="18"/>
              </w:rPr>
              <w:t>odernizacija postojećih i nabavka novih</w:t>
            </w:r>
            <w:r>
              <w:rPr>
                <w:rFonts w:cs="Calibri"/>
                <w:sz w:val="18"/>
                <w:szCs w:val="18"/>
              </w:rPr>
              <w:t xml:space="preserve">, ekološko prihvatljivih </w:t>
            </w:r>
            <w:r w:rsidRPr="00E849A7">
              <w:rPr>
                <w:rFonts w:cs="Calibri"/>
                <w:sz w:val="18"/>
                <w:szCs w:val="18"/>
              </w:rPr>
              <w:t>vozila javnog prijevoza</w:t>
            </w:r>
            <w:r w:rsidR="00592A9A" w:rsidRPr="00592A9A">
              <w:rPr>
                <w:rFonts w:ascii="Calibri" w:eastAsia="Calibri" w:hAnsi="Calibri" w:cs="Calibri"/>
                <w:lang w:eastAsia="hr-HR"/>
              </w:rPr>
              <w:t xml:space="preserve"> </w:t>
            </w:r>
            <w:sdt>
              <w:sdtPr>
                <w:rPr>
                  <w:rFonts w:ascii="Calibri" w:eastAsia="Calibri" w:hAnsi="Calibri" w:cs="Calibri"/>
                  <w:lang w:eastAsia="hr-HR"/>
                </w:rPr>
                <w:tag w:val="goog_rdk_28"/>
                <w:id w:val="-1548595184"/>
              </w:sdtPr>
              <w:sdtEndPr/>
              <w:sdtContent>
                <w:r w:rsidR="00592A9A" w:rsidRPr="00592A9A">
                  <w:rPr>
                    <w:rFonts w:ascii="Calibri" w:eastAsia="Calibri" w:hAnsi="Calibri" w:cs="Calibri"/>
                    <w:sz w:val="18"/>
                    <w:szCs w:val="18"/>
                    <w:lang w:eastAsia="hr-HR"/>
                  </w:rPr>
                  <w:t xml:space="preserve"> </w:t>
                </w:r>
              </w:sdtContent>
            </w:sdt>
          </w:p>
          <w:p w14:paraId="27C1D172" w14:textId="77777777" w:rsidR="00C5315F" w:rsidRDefault="00C5315F" w:rsidP="00165C16">
            <w:pPr>
              <w:numPr>
                <w:ilvl w:val="0"/>
                <w:numId w:val="2"/>
              </w:numPr>
              <w:spacing w:after="0" w:line="240" w:lineRule="auto"/>
              <w:rPr>
                <w:rFonts w:cs="Calibri"/>
                <w:sz w:val="18"/>
                <w:szCs w:val="18"/>
              </w:rPr>
            </w:pPr>
            <w:r w:rsidRPr="00934485">
              <w:rPr>
                <w:rFonts w:cs="Calibri"/>
                <w:sz w:val="18"/>
                <w:szCs w:val="18"/>
              </w:rPr>
              <w:t xml:space="preserve">Unaprjeđenje pješačkih i cestovnih komunikacija u zoni željezničkih pruga </w:t>
            </w:r>
            <w:r>
              <w:rPr>
                <w:rFonts w:cs="Calibri"/>
                <w:sz w:val="18"/>
                <w:szCs w:val="18"/>
              </w:rPr>
              <w:t>–</w:t>
            </w:r>
            <w:r w:rsidRPr="00934485">
              <w:rPr>
                <w:rFonts w:cs="Calibri"/>
                <w:sz w:val="18"/>
                <w:szCs w:val="18"/>
              </w:rPr>
              <w:t xml:space="preserve"> prijelazi</w:t>
            </w:r>
          </w:p>
          <w:p w14:paraId="518CC626" w14:textId="77777777" w:rsidR="00C5315F" w:rsidRDefault="00C5315F" w:rsidP="00165C16">
            <w:pPr>
              <w:numPr>
                <w:ilvl w:val="0"/>
                <w:numId w:val="2"/>
              </w:numPr>
              <w:spacing w:after="0" w:line="240" w:lineRule="auto"/>
              <w:rPr>
                <w:rFonts w:cs="Calibri"/>
                <w:sz w:val="18"/>
                <w:szCs w:val="18"/>
              </w:rPr>
            </w:pPr>
            <w:r w:rsidRPr="007F69FB">
              <w:rPr>
                <w:rFonts w:cs="Calibri"/>
                <w:sz w:val="18"/>
                <w:szCs w:val="18"/>
              </w:rPr>
              <w:t>Proširenje, dogradnja i rekonstrukcija željezničke mreže teretnog prometa</w:t>
            </w:r>
          </w:p>
          <w:p w14:paraId="209A8170" w14:textId="77777777" w:rsidR="00C5315F" w:rsidRPr="00A33E06" w:rsidRDefault="00C5315F" w:rsidP="00165C16">
            <w:pPr>
              <w:numPr>
                <w:ilvl w:val="0"/>
                <w:numId w:val="2"/>
              </w:numPr>
              <w:spacing w:after="0" w:line="240" w:lineRule="auto"/>
              <w:rPr>
                <w:rFonts w:cs="Calibri"/>
                <w:sz w:val="18"/>
                <w:szCs w:val="18"/>
              </w:rPr>
            </w:pPr>
            <w:r>
              <w:rPr>
                <w:rFonts w:cs="Calibri"/>
                <w:sz w:val="18"/>
                <w:szCs w:val="18"/>
              </w:rPr>
              <w:t>gradnja autobusnog kolodvora za tranzitni promet (međunarodni i međuregionalni promet) izvan središta grada</w:t>
            </w:r>
          </w:p>
          <w:p w14:paraId="62647329" w14:textId="5AC81561" w:rsidR="00C5315F" w:rsidRPr="00136C75" w:rsidRDefault="00C5315F" w:rsidP="00165C16">
            <w:pPr>
              <w:numPr>
                <w:ilvl w:val="0"/>
                <w:numId w:val="2"/>
              </w:numPr>
              <w:autoSpaceDE w:val="0"/>
              <w:autoSpaceDN w:val="0"/>
              <w:adjustRightInd w:val="0"/>
              <w:spacing w:after="0" w:line="240" w:lineRule="auto"/>
              <w:rPr>
                <w:rFonts w:cs="Calibri"/>
                <w:sz w:val="18"/>
                <w:szCs w:val="18"/>
              </w:rPr>
            </w:pPr>
            <w:r w:rsidRPr="00A73524">
              <w:rPr>
                <w:rFonts w:cs="Calibri"/>
                <w:sz w:val="18"/>
                <w:szCs w:val="18"/>
              </w:rPr>
              <w:t>ulaganje u razvoj – mod</w:t>
            </w:r>
            <w:r w:rsidR="00692282">
              <w:rPr>
                <w:rFonts w:cs="Calibri"/>
                <w:sz w:val="18"/>
                <w:szCs w:val="18"/>
              </w:rPr>
              <w:t>e</w:t>
            </w:r>
            <w:r w:rsidRPr="00A73524">
              <w:rPr>
                <w:rFonts w:cs="Calibri"/>
                <w:sz w:val="18"/>
                <w:szCs w:val="18"/>
              </w:rPr>
              <w:t>rnizaciju i digit</w:t>
            </w:r>
            <w:r w:rsidR="00692282">
              <w:rPr>
                <w:rFonts w:cs="Calibri"/>
                <w:sz w:val="18"/>
                <w:szCs w:val="18"/>
              </w:rPr>
              <w:t>a</w:t>
            </w:r>
            <w:r w:rsidRPr="00A73524">
              <w:rPr>
                <w:rFonts w:cs="Calibri"/>
                <w:sz w:val="18"/>
                <w:szCs w:val="18"/>
              </w:rPr>
              <w:t>lizaciju autobusnog kolodvora</w:t>
            </w:r>
          </w:p>
          <w:p w14:paraId="42A2E50E" w14:textId="2188CAAE" w:rsidR="00C5315F" w:rsidRDefault="00C5315F" w:rsidP="00165C16">
            <w:pPr>
              <w:numPr>
                <w:ilvl w:val="0"/>
                <w:numId w:val="2"/>
              </w:numPr>
              <w:spacing w:after="0" w:line="240" w:lineRule="auto"/>
              <w:rPr>
                <w:rFonts w:cs="Calibri"/>
                <w:sz w:val="18"/>
                <w:szCs w:val="18"/>
              </w:rPr>
            </w:pPr>
            <w:r w:rsidRPr="00F23DDC">
              <w:rPr>
                <w:rFonts w:cs="Calibri"/>
                <w:sz w:val="18"/>
                <w:szCs w:val="18"/>
              </w:rPr>
              <w:t>prioritiz</w:t>
            </w:r>
            <w:r w:rsidR="00F27B03">
              <w:rPr>
                <w:rFonts w:cs="Calibri"/>
                <w:sz w:val="18"/>
                <w:szCs w:val="18"/>
              </w:rPr>
              <w:t>acija</w:t>
            </w:r>
            <w:r w:rsidRPr="00F23DDC" w:rsidDel="00F23DDC">
              <w:rPr>
                <w:rFonts w:cs="Calibri"/>
                <w:sz w:val="18"/>
                <w:szCs w:val="18"/>
              </w:rPr>
              <w:t xml:space="preserve"> </w:t>
            </w:r>
            <w:r w:rsidRPr="00F23DDC">
              <w:rPr>
                <w:rFonts w:cs="Calibri"/>
                <w:sz w:val="18"/>
                <w:szCs w:val="18"/>
              </w:rPr>
              <w:t xml:space="preserve"> </w:t>
            </w:r>
            <w:r>
              <w:rPr>
                <w:rFonts w:cs="Calibri"/>
                <w:sz w:val="18"/>
                <w:szCs w:val="18"/>
              </w:rPr>
              <w:t xml:space="preserve">vozila </w:t>
            </w:r>
            <w:r w:rsidRPr="00F23DDC">
              <w:rPr>
                <w:rFonts w:cs="Calibri"/>
                <w:sz w:val="18"/>
                <w:szCs w:val="18"/>
              </w:rPr>
              <w:t>javnog gradskog prijevoza</w:t>
            </w:r>
            <w:r>
              <w:rPr>
                <w:rFonts w:cs="Calibri"/>
                <w:sz w:val="18"/>
                <w:szCs w:val="18"/>
              </w:rPr>
              <w:t xml:space="preserve"> u prometnoj mreži</w:t>
            </w:r>
            <w:r w:rsidRPr="00F23DDC">
              <w:rPr>
                <w:rFonts w:cs="Calibri"/>
                <w:sz w:val="18"/>
                <w:szCs w:val="18"/>
              </w:rPr>
              <w:t xml:space="preserve"> gradnja i rekonstrukcija željezničkih stajališta </w:t>
            </w:r>
          </w:p>
          <w:p w14:paraId="7E3A18E8" w14:textId="77777777" w:rsidR="00C5315F" w:rsidRPr="006A21BB" w:rsidRDefault="00C5315F" w:rsidP="00165C16">
            <w:pPr>
              <w:numPr>
                <w:ilvl w:val="0"/>
                <w:numId w:val="2"/>
              </w:numPr>
              <w:spacing w:after="0" w:line="240" w:lineRule="auto"/>
              <w:rPr>
                <w:rFonts w:cs="Calibri"/>
                <w:sz w:val="18"/>
                <w:szCs w:val="18"/>
              </w:rPr>
            </w:pPr>
            <w:r w:rsidRPr="006A21BB">
              <w:rPr>
                <w:rFonts w:cs="Calibri"/>
                <w:sz w:val="18"/>
                <w:szCs w:val="18"/>
              </w:rPr>
              <w:t xml:space="preserve">modernizacija i dogradnja zagrebačkog željezničkog čvora i putničkog voznog parka </w:t>
            </w:r>
          </w:p>
          <w:p w14:paraId="15DA7FC9" w14:textId="77777777" w:rsidR="00C5315F" w:rsidRDefault="00C5315F" w:rsidP="00072476">
            <w:pPr>
              <w:spacing w:after="0" w:line="240" w:lineRule="auto"/>
              <w:rPr>
                <w:rFonts w:cs="Calibri"/>
                <w:sz w:val="18"/>
                <w:szCs w:val="18"/>
              </w:rPr>
            </w:pPr>
          </w:p>
          <w:p w14:paraId="7A64ED1A" w14:textId="77777777" w:rsidR="00C5315F" w:rsidRDefault="00C5315F" w:rsidP="00072476">
            <w:pPr>
              <w:spacing w:after="0" w:line="240" w:lineRule="auto"/>
              <w:rPr>
                <w:rFonts w:cs="Calibri"/>
                <w:sz w:val="18"/>
                <w:szCs w:val="18"/>
              </w:rPr>
            </w:pPr>
            <w:r>
              <w:rPr>
                <w:rFonts w:cs="Calibri"/>
                <w:sz w:val="18"/>
                <w:szCs w:val="18"/>
              </w:rPr>
              <w:t>Zračni promet</w:t>
            </w:r>
          </w:p>
          <w:p w14:paraId="0CE8E94C" w14:textId="77777777" w:rsidR="00C5315F" w:rsidRPr="00A33E06" w:rsidRDefault="00C5315F" w:rsidP="00165C16">
            <w:pPr>
              <w:numPr>
                <w:ilvl w:val="0"/>
                <w:numId w:val="2"/>
              </w:numPr>
              <w:spacing w:after="0" w:line="240" w:lineRule="auto"/>
              <w:rPr>
                <w:rFonts w:cs="Calibri"/>
                <w:sz w:val="18"/>
                <w:szCs w:val="18"/>
              </w:rPr>
            </w:pPr>
            <w:r w:rsidRPr="00A33E06">
              <w:rPr>
                <w:rFonts w:cs="Calibri"/>
                <w:sz w:val="18"/>
                <w:szCs w:val="18"/>
              </w:rPr>
              <w:t>unaprje</w:t>
            </w:r>
            <w:r>
              <w:rPr>
                <w:rFonts w:cs="Calibri"/>
                <w:sz w:val="18"/>
                <w:szCs w:val="18"/>
              </w:rPr>
              <w:t xml:space="preserve">đenje </w:t>
            </w:r>
            <w:r w:rsidRPr="00A33E06">
              <w:rPr>
                <w:rFonts w:cs="Calibri"/>
                <w:sz w:val="18"/>
                <w:szCs w:val="18"/>
              </w:rPr>
              <w:t>prometn</w:t>
            </w:r>
            <w:r>
              <w:rPr>
                <w:rFonts w:cs="Calibri"/>
                <w:sz w:val="18"/>
                <w:szCs w:val="18"/>
              </w:rPr>
              <w:t>e</w:t>
            </w:r>
            <w:r w:rsidRPr="00A33E06">
              <w:rPr>
                <w:rFonts w:cs="Calibri"/>
                <w:sz w:val="18"/>
                <w:szCs w:val="18"/>
              </w:rPr>
              <w:t xml:space="preserve"> povezanosti novog putničkog terminala Zračne luke Zagreb sa središtem Zagreba</w:t>
            </w:r>
          </w:p>
          <w:p w14:paraId="5E4ABCFC" w14:textId="6BC1A76C" w:rsidR="00C5315F" w:rsidRDefault="00C5315F" w:rsidP="00165C16">
            <w:pPr>
              <w:numPr>
                <w:ilvl w:val="0"/>
                <w:numId w:val="2"/>
              </w:numPr>
              <w:spacing w:after="0" w:line="240" w:lineRule="auto"/>
              <w:rPr>
                <w:rFonts w:cs="Calibri"/>
                <w:sz w:val="18"/>
                <w:szCs w:val="18"/>
              </w:rPr>
            </w:pPr>
            <w:r w:rsidRPr="00A33E06">
              <w:rPr>
                <w:rFonts w:cs="Calibri"/>
                <w:sz w:val="18"/>
                <w:szCs w:val="18"/>
              </w:rPr>
              <w:t>Izgradnja uzletno-sletne staze i staze za vožnju od konstruktivnog kolnika i drugih kapaciteta za prihvat poslovnih, turističkih i sportskih letjelica na Aerodromu Lučko</w:t>
            </w:r>
          </w:p>
          <w:p w14:paraId="7F40D8EF" w14:textId="434F6B84" w:rsidR="0018795A" w:rsidRPr="00A33E06" w:rsidRDefault="0018795A" w:rsidP="00165C16">
            <w:pPr>
              <w:numPr>
                <w:ilvl w:val="0"/>
                <w:numId w:val="2"/>
              </w:numPr>
              <w:spacing w:after="0" w:line="240" w:lineRule="auto"/>
              <w:rPr>
                <w:rFonts w:cs="Calibri"/>
                <w:sz w:val="18"/>
                <w:szCs w:val="18"/>
              </w:rPr>
            </w:pPr>
            <w:r w:rsidRPr="0018795A">
              <w:rPr>
                <w:rFonts w:cs="Calibri"/>
                <w:sz w:val="18"/>
                <w:szCs w:val="18"/>
              </w:rPr>
              <w:t xml:space="preserve">poboljšanje avio povezanosti </w:t>
            </w:r>
            <w:r>
              <w:rPr>
                <w:rFonts w:cs="Calibri"/>
                <w:sz w:val="18"/>
                <w:szCs w:val="18"/>
              </w:rPr>
              <w:t>privlačenjem</w:t>
            </w:r>
            <w:r w:rsidRPr="0018795A">
              <w:rPr>
                <w:rFonts w:cs="Calibri"/>
                <w:sz w:val="18"/>
                <w:szCs w:val="18"/>
              </w:rPr>
              <w:t xml:space="preserve"> niskotarifnih kompanija (Low Budget)</w:t>
            </w:r>
          </w:p>
          <w:p w14:paraId="7440E81C" w14:textId="77777777" w:rsidR="00C5315F" w:rsidRDefault="00C5315F" w:rsidP="00072476">
            <w:pPr>
              <w:spacing w:after="0" w:line="240" w:lineRule="auto"/>
              <w:rPr>
                <w:rFonts w:cs="Calibri"/>
                <w:sz w:val="18"/>
                <w:szCs w:val="18"/>
              </w:rPr>
            </w:pPr>
          </w:p>
          <w:p w14:paraId="79156ED5" w14:textId="77777777" w:rsidR="00C5315F" w:rsidRDefault="00C5315F" w:rsidP="00072476">
            <w:pPr>
              <w:spacing w:after="0" w:line="240" w:lineRule="auto"/>
              <w:rPr>
                <w:rFonts w:cs="Calibri"/>
                <w:sz w:val="18"/>
                <w:szCs w:val="18"/>
              </w:rPr>
            </w:pPr>
            <w:r>
              <w:rPr>
                <w:rFonts w:cs="Calibri"/>
                <w:sz w:val="18"/>
                <w:szCs w:val="18"/>
              </w:rPr>
              <w:t>Cestovni promet</w:t>
            </w:r>
          </w:p>
          <w:p w14:paraId="4649DA8A" w14:textId="2656FEE8" w:rsidR="00C5315F" w:rsidRDefault="00C5315F" w:rsidP="00165C16">
            <w:pPr>
              <w:numPr>
                <w:ilvl w:val="0"/>
                <w:numId w:val="2"/>
              </w:numPr>
              <w:spacing w:after="0" w:line="240" w:lineRule="auto"/>
              <w:rPr>
                <w:rFonts w:cs="Calibri"/>
                <w:sz w:val="18"/>
                <w:szCs w:val="18"/>
              </w:rPr>
            </w:pPr>
            <w:r w:rsidRPr="00A33E06">
              <w:rPr>
                <w:rFonts w:cs="Calibri"/>
                <w:sz w:val="18"/>
                <w:szCs w:val="18"/>
              </w:rPr>
              <w:t>unapređenje javnog i biciklističkog prometa, posebno poboljšanje dostupnosti javnog putničkog prometa za osobe s teškoćama u kretanju</w:t>
            </w:r>
          </w:p>
          <w:p w14:paraId="727DCD57" w14:textId="6C204E16" w:rsidR="00592A9A" w:rsidRDefault="00751C19" w:rsidP="00165C16">
            <w:pPr>
              <w:numPr>
                <w:ilvl w:val="0"/>
                <w:numId w:val="2"/>
              </w:numPr>
              <w:spacing w:after="0" w:line="240" w:lineRule="auto"/>
              <w:rPr>
                <w:rFonts w:cs="Calibri"/>
                <w:sz w:val="18"/>
                <w:szCs w:val="18"/>
              </w:rPr>
            </w:pPr>
            <w:sdt>
              <w:sdtPr>
                <w:tag w:val="goog_rdk_33"/>
                <w:id w:val="2053118629"/>
              </w:sdtPr>
              <w:sdtEndPr/>
              <w:sdtContent>
                <w:r w:rsidR="00BB0A14">
                  <w:rPr>
                    <w:sz w:val="18"/>
                    <w:szCs w:val="18"/>
                  </w:rPr>
                  <w:t>destimuliranje</w:t>
                </w:r>
                <w:r w:rsidR="00592A9A">
                  <w:rPr>
                    <w:sz w:val="18"/>
                    <w:szCs w:val="18"/>
                  </w:rPr>
                  <w:t xml:space="preserve"> korištenja automobila za dolazak u gradsko središte</w:t>
                </w:r>
              </w:sdtContent>
            </w:sdt>
          </w:p>
          <w:p w14:paraId="1A51AF09" w14:textId="6464021B" w:rsidR="00C5315F" w:rsidRPr="00D866EA" w:rsidRDefault="00C5315F" w:rsidP="00165C16">
            <w:pPr>
              <w:numPr>
                <w:ilvl w:val="0"/>
                <w:numId w:val="2"/>
              </w:numPr>
              <w:spacing w:after="0" w:line="240" w:lineRule="auto"/>
              <w:rPr>
                <w:rFonts w:cs="Calibri"/>
                <w:sz w:val="18"/>
                <w:szCs w:val="18"/>
              </w:rPr>
            </w:pPr>
            <w:r w:rsidRPr="00D866EA">
              <w:rPr>
                <w:rFonts w:cs="Calibri"/>
                <w:sz w:val="18"/>
                <w:szCs w:val="18"/>
              </w:rPr>
              <w:t>planiranje i omogućavanje daljnje izgradnje biciklističkih staza/traka i ostale biciklističke infra</w:t>
            </w:r>
            <w:r w:rsidR="00D66A6E">
              <w:rPr>
                <w:rFonts w:cs="Calibri"/>
                <w:sz w:val="18"/>
                <w:szCs w:val="18"/>
              </w:rPr>
              <w:t>s</w:t>
            </w:r>
            <w:r w:rsidRPr="00D866EA">
              <w:rPr>
                <w:rFonts w:cs="Calibri"/>
                <w:sz w:val="18"/>
                <w:szCs w:val="18"/>
              </w:rPr>
              <w:t>trukture</w:t>
            </w:r>
          </w:p>
          <w:p w14:paraId="4AB4AA03" w14:textId="77777777" w:rsidR="00C5315F" w:rsidRPr="00D866EA" w:rsidRDefault="00C5315F" w:rsidP="00165C16">
            <w:pPr>
              <w:numPr>
                <w:ilvl w:val="0"/>
                <w:numId w:val="2"/>
              </w:numPr>
              <w:spacing w:after="0" w:line="240" w:lineRule="auto"/>
              <w:rPr>
                <w:rFonts w:cs="Calibri"/>
                <w:sz w:val="18"/>
                <w:szCs w:val="18"/>
              </w:rPr>
            </w:pPr>
            <w:r w:rsidRPr="00D866EA">
              <w:rPr>
                <w:rFonts w:cs="Calibri"/>
                <w:sz w:val="18"/>
                <w:szCs w:val="18"/>
              </w:rPr>
              <w:t>dovršetak i izgradnja biciklističkih prometnica poput  Greenwayja – državne biciklističke rute br. 2 i Biciklističke magistrale – Zagreb istok</w:t>
            </w:r>
          </w:p>
          <w:p w14:paraId="0FEB0258" w14:textId="77777777" w:rsidR="00C5315F" w:rsidRPr="00D866EA" w:rsidRDefault="00C5315F" w:rsidP="00165C16">
            <w:pPr>
              <w:numPr>
                <w:ilvl w:val="0"/>
                <w:numId w:val="2"/>
              </w:numPr>
              <w:spacing w:after="0" w:line="240" w:lineRule="auto"/>
              <w:rPr>
                <w:rFonts w:cs="Calibri"/>
                <w:sz w:val="18"/>
                <w:szCs w:val="18"/>
              </w:rPr>
            </w:pPr>
            <w:r w:rsidRPr="00D866EA">
              <w:rPr>
                <w:rFonts w:cs="Calibri"/>
                <w:sz w:val="18"/>
                <w:szCs w:val="18"/>
              </w:rPr>
              <w:t>Uvođenje sustava javnih gradskih bicikala</w:t>
            </w:r>
          </w:p>
          <w:p w14:paraId="45C5A7DC" w14:textId="77777777" w:rsidR="00C5315F" w:rsidRPr="00A33E06" w:rsidRDefault="00C5315F" w:rsidP="00165C16">
            <w:pPr>
              <w:numPr>
                <w:ilvl w:val="0"/>
                <w:numId w:val="2"/>
              </w:numPr>
              <w:spacing w:after="0" w:line="240" w:lineRule="auto"/>
              <w:rPr>
                <w:rFonts w:cs="Calibri"/>
                <w:sz w:val="18"/>
                <w:szCs w:val="18"/>
              </w:rPr>
            </w:pPr>
            <w:r w:rsidRPr="00934485">
              <w:rPr>
                <w:rFonts w:cs="Calibri"/>
                <w:sz w:val="18"/>
                <w:szCs w:val="18"/>
              </w:rPr>
              <w:t>Razvoj infrastrukture za ekološki prihvatljiva vozila javnog prijevoza</w:t>
            </w:r>
          </w:p>
          <w:p w14:paraId="4AC57E1C" w14:textId="77777777" w:rsidR="00C5315F" w:rsidRPr="00A33E06" w:rsidRDefault="00C5315F" w:rsidP="00165C16">
            <w:pPr>
              <w:numPr>
                <w:ilvl w:val="0"/>
                <w:numId w:val="2"/>
              </w:numPr>
              <w:spacing w:after="0" w:line="240" w:lineRule="auto"/>
              <w:rPr>
                <w:rFonts w:cs="Calibri"/>
                <w:sz w:val="18"/>
                <w:szCs w:val="18"/>
              </w:rPr>
            </w:pPr>
            <w:r w:rsidRPr="00A33E06">
              <w:rPr>
                <w:rFonts w:cs="Calibri"/>
                <w:sz w:val="18"/>
                <w:szCs w:val="18"/>
              </w:rPr>
              <w:t>izgradnja nedostajućih uličnih spojeva, spoja na autocestu</w:t>
            </w:r>
            <w:r>
              <w:rPr>
                <w:rFonts w:cs="Calibri"/>
                <w:sz w:val="18"/>
                <w:szCs w:val="18"/>
              </w:rPr>
              <w:t xml:space="preserve"> </w:t>
            </w:r>
            <w:r w:rsidRPr="00A33E06">
              <w:rPr>
                <w:rFonts w:cs="Calibri"/>
                <w:sz w:val="18"/>
                <w:szCs w:val="18"/>
              </w:rPr>
              <w:t>ZG-SI i</w:t>
            </w:r>
            <w:r>
              <w:rPr>
                <w:rFonts w:cs="Calibri"/>
                <w:sz w:val="18"/>
                <w:szCs w:val="18"/>
              </w:rPr>
              <w:t xml:space="preserve"> </w:t>
            </w:r>
            <w:r w:rsidRPr="00A33E06">
              <w:rPr>
                <w:rFonts w:cs="Calibri"/>
                <w:sz w:val="18"/>
                <w:szCs w:val="18"/>
              </w:rPr>
              <w:t>mostova preko rijeke Save</w:t>
            </w:r>
            <w:r>
              <w:rPr>
                <w:rFonts w:cs="Calibri"/>
                <w:sz w:val="18"/>
                <w:szCs w:val="18"/>
              </w:rPr>
              <w:t xml:space="preserve"> </w:t>
            </w:r>
          </w:p>
          <w:p w14:paraId="1583D430" w14:textId="77777777" w:rsidR="00C5315F" w:rsidRPr="00A33E06" w:rsidRDefault="00C5315F" w:rsidP="00165C16">
            <w:pPr>
              <w:numPr>
                <w:ilvl w:val="0"/>
                <w:numId w:val="2"/>
              </w:numPr>
              <w:spacing w:after="0" w:line="240" w:lineRule="auto"/>
              <w:rPr>
                <w:rFonts w:cs="Calibri"/>
                <w:sz w:val="18"/>
                <w:szCs w:val="18"/>
              </w:rPr>
            </w:pPr>
            <w:r w:rsidRPr="00934485">
              <w:rPr>
                <w:rFonts w:cs="Calibri"/>
                <w:sz w:val="18"/>
                <w:szCs w:val="18"/>
              </w:rPr>
              <w:t>Izgradnja i unaprjeđenje popratnih sadržaja biciklističke infrastrukture</w:t>
            </w:r>
          </w:p>
          <w:p w14:paraId="7D6FEB02" w14:textId="246FDB86" w:rsidR="00C5315F" w:rsidRPr="00A33E06" w:rsidRDefault="00C5315F" w:rsidP="00165C16">
            <w:pPr>
              <w:numPr>
                <w:ilvl w:val="0"/>
                <w:numId w:val="2"/>
              </w:numPr>
              <w:spacing w:after="0" w:line="240" w:lineRule="auto"/>
              <w:rPr>
                <w:rFonts w:cs="Calibri"/>
                <w:sz w:val="18"/>
                <w:szCs w:val="18"/>
              </w:rPr>
            </w:pPr>
            <w:r w:rsidRPr="00A33E06">
              <w:rPr>
                <w:rFonts w:cs="Calibri"/>
                <w:sz w:val="18"/>
                <w:szCs w:val="18"/>
              </w:rPr>
              <w:t>poboljšanje sigurnosti u prometu</w:t>
            </w:r>
            <w:r>
              <w:rPr>
                <w:rFonts w:cs="Calibri"/>
                <w:sz w:val="18"/>
                <w:szCs w:val="18"/>
              </w:rPr>
              <w:t>; podiza</w:t>
            </w:r>
            <w:r w:rsidR="00D66A6E">
              <w:rPr>
                <w:rFonts w:cs="Calibri"/>
                <w:sz w:val="18"/>
                <w:szCs w:val="18"/>
              </w:rPr>
              <w:t>nje</w:t>
            </w:r>
            <w:r>
              <w:rPr>
                <w:rFonts w:cs="Calibri"/>
                <w:sz w:val="18"/>
                <w:szCs w:val="18"/>
              </w:rPr>
              <w:t>e razine osiguranja željezničko-cestovnih prijelaza</w:t>
            </w:r>
          </w:p>
          <w:p w14:paraId="4997A70F" w14:textId="77777777" w:rsidR="00C5315F" w:rsidRDefault="00C5315F" w:rsidP="00165C16">
            <w:pPr>
              <w:numPr>
                <w:ilvl w:val="0"/>
                <w:numId w:val="2"/>
              </w:numPr>
              <w:spacing w:after="0" w:line="240" w:lineRule="auto"/>
              <w:rPr>
                <w:rFonts w:cs="Calibri"/>
                <w:sz w:val="18"/>
                <w:szCs w:val="18"/>
              </w:rPr>
            </w:pPr>
            <w:r w:rsidRPr="00D23FFF">
              <w:rPr>
                <w:rFonts w:cs="Calibri"/>
                <w:sz w:val="18"/>
                <w:szCs w:val="18"/>
              </w:rPr>
              <w:t>povećanj</w:t>
            </w:r>
            <w:r>
              <w:rPr>
                <w:rFonts w:cs="Calibri"/>
                <w:sz w:val="18"/>
                <w:szCs w:val="18"/>
              </w:rPr>
              <w:t>e</w:t>
            </w:r>
            <w:r w:rsidRPr="00D23FFF">
              <w:rPr>
                <w:rFonts w:cs="Calibri"/>
                <w:sz w:val="18"/>
                <w:szCs w:val="18"/>
              </w:rPr>
              <w:t xml:space="preserve"> kapaciteta preopterećenih cestovnih prometnica</w:t>
            </w:r>
          </w:p>
          <w:p w14:paraId="59F0C3B0" w14:textId="77777777" w:rsidR="00C5315F" w:rsidRDefault="00C5315F" w:rsidP="00165C16">
            <w:pPr>
              <w:numPr>
                <w:ilvl w:val="0"/>
                <w:numId w:val="2"/>
              </w:numPr>
              <w:spacing w:after="0" w:line="240" w:lineRule="auto"/>
              <w:rPr>
                <w:rFonts w:cs="Calibri"/>
                <w:sz w:val="18"/>
                <w:szCs w:val="18"/>
              </w:rPr>
            </w:pPr>
            <w:r w:rsidRPr="00D23FFF">
              <w:rPr>
                <w:rFonts w:cs="Calibri"/>
                <w:sz w:val="18"/>
                <w:szCs w:val="18"/>
              </w:rPr>
              <w:t>denivelacij</w:t>
            </w:r>
            <w:r>
              <w:rPr>
                <w:rFonts w:cs="Calibri"/>
                <w:sz w:val="18"/>
                <w:szCs w:val="18"/>
              </w:rPr>
              <w:t>a</w:t>
            </w:r>
            <w:r w:rsidRPr="00D23FFF">
              <w:rPr>
                <w:rFonts w:cs="Calibri"/>
                <w:sz w:val="18"/>
                <w:szCs w:val="18"/>
              </w:rPr>
              <w:t xml:space="preserve"> cestovnih raskrižja</w:t>
            </w:r>
          </w:p>
          <w:p w14:paraId="04901D98" w14:textId="2CEAAB57" w:rsidR="00C5315F" w:rsidRPr="00A33E06" w:rsidRDefault="00C5315F" w:rsidP="00165C16">
            <w:pPr>
              <w:numPr>
                <w:ilvl w:val="0"/>
                <w:numId w:val="2"/>
              </w:numPr>
              <w:spacing w:after="0" w:line="240" w:lineRule="auto"/>
              <w:rPr>
                <w:rFonts w:cs="Calibri"/>
                <w:sz w:val="18"/>
                <w:szCs w:val="18"/>
              </w:rPr>
            </w:pPr>
            <w:r w:rsidRPr="00D23FFF">
              <w:rPr>
                <w:rFonts w:cs="Calibri"/>
                <w:sz w:val="18"/>
                <w:szCs w:val="18"/>
              </w:rPr>
              <w:t>uređenje cestov</w:t>
            </w:r>
            <w:r w:rsidR="005D2CF2">
              <w:rPr>
                <w:rFonts w:cs="Calibri"/>
                <w:sz w:val="18"/>
                <w:szCs w:val="18"/>
              </w:rPr>
              <w:t>n</w:t>
            </w:r>
            <w:r w:rsidRPr="00D23FFF">
              <w:rPr>
                <w:rFonts w:cs="Calibri"/>
                <w:sz w:val="18"/>
                <w:szCs w:val="18"/>
              </w:rPr>
              <w:t>og distributivnog prstena oko središnjeg dijela grada (izvan središnje mreže tramvajskog prometa)</w:t>
            </w:r>
          </w:p>
          <w:p w14:paraId="27CBFDDA" w14:textId="77777777" w:rsidR="00C5315F" w:rsidRDefault="00C5315F" w:rsidP="00165C16">
            <w:pPr>
              <w:numPr>
                <w:ilvl w:val="0"/>
                <w:numId w:val="2"/>
              </w:numPr>
              <w:spacing w:after="0" w:line="240" w:lineRule="auto"/>
              <w:rPr>
                <w:rFonts w:cs="Calibri"/>
                <w:sz w:val="18"/>
                <w:szCs w:val="18"/>
              </w:rPr>
            </w:pPr>
            <w:r w:rsidRPr="00A33E06">
              <w:rPr>
                <w:rFonts w:cs="Calibri"/>
                <w:sz w:val="18"/>
                <w:szCs w:val="18"/>
              </w:rPr>
              <w:t>uvođenje sustava automatskog upravljanja prometom</w:t>
            </w:r>
            <w:r>
              <w:rPr>
                <w:rFonts w:cs="Calibri"/>
                <w:sz w:val="18"/>
                <w:szCs w:val="18"/>
              </w:rPr>
              <w:t xml:space="preserve"> </w:t>
            </w:r>
            <w:r w:rsidRPr="00A33E06">
              <w:rPr>
                <w:rFonts w:cs="Calibri"/>
                <w:sz w:val="18"/>
                <w:szCs w:val="18"/>
              </w:rPr>
              <w:t xml:space="preserve">za </w:t>
            </w:r>
            <w:r>
              <w:rPr>
                <w:rFonts w:cs="Calibri"/>
                <w:sz w:val="18"/>
                <w:szCs w:val="18"/>
              </w:rPr>
              <w:t xml:space="preserve">s ciljem optimizacije </w:t>
            </w:r>
            <w:r w:rsidRPr="00A33E06">
              <w:rPr>
                <w:rFonts w:cs="Calibri"/>
                <w:sz w:val="18"/>
                <w:szCs w:val="18"/>
              </w:rPr>
              <w:t>protočnost</w:t>
            </w:r>
            <w:r>
              <w:rPr>
                <w:rFonts w:cs="Calibri"/>
                <w:sz w:val="18"/>
                <w:szCs w:val="18"/>
              </w:rPr>
              <w:t>i</w:t>
            </w:r>
            <w:r w:rsidRPr="00A33E06">
              <w:rPr>
                <w:rFonts w:cs="Calibri"/>
                <w:sz w:val="18"/>
                <w:szCs w:val="18"/>
              </w:rPr>
              <w:t xml:space="preserve"> i</w:t>
            </w:r>
            <w:r>
              <w:rPr>
                <w:rFonts w:cs="Calibri"/>
                <w:sz w:val="18"/>
                <w:szCs w:val="18"/>
              </w:rPr>
              <w:t xml:space="preserve"> povećanja</w:t>
            </w:r>
            <w:r w:rsidRPr="00A33E06">
              <w:rPr>
                <w:rFonts w:cs="Calibri"/>
                <w:sz w:val="18"/>
                <w:szCs w:val="18"/>
              </w:rPr>
              <w:t xml:space="preserve"> sigurnost</w:t>
            </w:r>
            <w:r>
              <w:rPr>
                <w:rFonts w:cs="Calibri"/>
                <w:sz w:val="18"/>
                <w:szCs w:val="18"/>
              </w:rPr>
              <w:t>i</w:t>
            </w:r>
            <w:r w:rsidRPr="00A33E06">
              <w:rPr>
                <w:rFonts w:cs="Calibri"/>
                <w:sz w:val="18"/>
                <w:szCs w:val="18"/>
              </w:rPr>
              <w:t xml:space="preserve"> u prometu</w:t>
            </w:r>
          </w:p>
          <w:p w14:paraId="57D65F6C" w14:textId="77777777" w:rsidR="00C5315F" w:rsidRPr="00F23DDC" w:rsidRDefault="00C5315F" w:rsidP="00165C16">
            <w:pPr>
              <w:numPr>
                <w:ilvl w:val="0"/>
                <w:numId w:val="2"/>
              </w:numPr>
              <w:spacing w:after="0" w:line="240" w:lineRule="auto"/>
              <w:rPr>
                <w:rFonts w:cs="Calibri"/>
                <w:sz w:val="18"/>
                <w:szCs w:val="18"/>
              </w:rPr>
            </w:pPr>
            <w:r>
              <w:rPr>
                <w:rFonts w:cs="Calibri"/>
                <w:sz w:val="18"/>
                <w:szCs w:val="18"/>
              </w:rPr>
              <w:t>Modernizacija, rekonstrukcija i gradnja</w:t>
            </w:r>
            <w:r w:rsidRPr="00F23DDC">
              <w:rPr>
                <w:rFonts w:cs="Calibri"/>
                <w:sz w:val="18"/>
                <w:szCs w:val="18"/>
              </w:rPr>
              <w:t xml:space="preserve"> Park+Ride i Bike+Ride kapaciteta, </w:t>
            </w:r>
          </w:p>
          <w:p w14:paraId="56179A29" w14:textId="77777777" w:rsidR="00C5315F" w:rsidRDefault="00C5315F" w:rsidP="00165C16">
            <w:pPr>
              <w:numPr>
                <w:ilvl w:val="0"/>
                <w:numId w:val="2"/>
              </w:numPr>
              <w:spacing w:after="0" w:line="240" w:lineRule="auto"/>
              <w:rPr>
                <w:rFonts w:cs="Calibri"/>
                <w:sz w:val="18"/>
                <w:szCs w:val="18"/>
              </w:rPr>
            </w:pPr>
            <w:r>
              <w:rPr>
                <w:rFonts w:cs="Calibri"/>
                <w:sz w:val="18"/>
                <w:szCs w:val="18"/>
              </w:rPr>
              <w:t xml:space="preserve">Uspostava dodatnih pješačkih zona </w:t>
            </w:r>
          </w:p>
          <w:p w14:paraId="6281EE42" w14:textId="532D4FE2" w:rsidR="00C5315F" w:rsidRDefault="00C5315F" w:rsidP="00165C16">
            <w:pPr>
              <w:numPr>
                <w:ilvl w:val="0"/>
                <w:numId w:val="2"/>
              </w:numPr>
              <w:spacing w:after="0" w:line="240" w:lineRule="auto"/>
              <w:rPr>
                <w:rFonts w:cs="Calibri"/>
                <w:sz w:val="18"/>
                <w:szCs w:val="18"/>
              </w:rPr>
            </w:pPr>
            <w:r>
              <w:rPr>
                <w:rFonts w:cs="Calibri"/>
                <w:sz w:val="18"/>
                <w:szCs w:val="18"/>
              </w:rPr>
              <w:t>uspostava sustava prikupljanja i obrade podataka o prometu</w:t>
            </w:r>
          </w:p>
          <w:p w14:paraId="2704EF0E" w14:textId="77777777" w:rsidR="00132E8A" w:rsidRPr="00132E8A" w:rsidRDefault="00132E8A" w:rsidP="00132E8A">
            <w:pPr>
              <w:pStyle w:val="Odlomakpopisa"/>
              <w:numPr>
                <w:ilvl w:val="0"/>
                <w:numId w:val="2"/>
              </w:numPr>
              <w:rPr>
                <w:rFonts w:cs="Calibri"/>
                <w:sz w:val="18"/>
                <w:szCs w:val="18"/>
              </w:rPr>
            </w:pPr>
            <w:r w:rsidRPr="00132E8A">
              <w:rPr>
                <w:rFonts w:cs="Calibri"/>
                <w:sz w:val="18"/>
                <w:szCs w:val="18"/>
              </w:rPr>
              <w:t>uvođenje zona smirenog prometa unutar stambenih naselja</w:t>
            </w:r>
          </w:p>
          <w:p w14:paraId="2D9E523D" w14:textId="77777777" w:rsidR="00C5315F" w:rsidRDefault="00C5315F" w:rsidP="00072476">
            <w:pPr>
              <w:spacing w:after="0" w:line="240" w:lineRule="auto"/>
              <w:rPr>
                <w:rFonts w:cs="Calibri"/>
                <w:sz w:val="18"/>
                <w:szCs w:val="18"/>
              </w:rPr>
            </w:pPr>
          </w:p>
          <w:p w14:paraId="2DC5B618" w14:textId="77777777" w:rsidR="00C5315F" w:rsidRDefault="00C5315F" w:rsidP="00072476">
            <w:pPr>
              <w:spacing w:after="0" w:line="240" w:lineRule="auto"/>
              <w:rPr>
                <w:rFonts w:cs="Calibri"/>
                <w:sz w:val="18"/>
                <w:szCs w:val="18"/>
              </w:rPr>
            </w:pPr>
            <w:r>
              <w:rPr>
                <w:rFonts w:cs="Calibri"/>
                <w:sz w:val="18"/>
                <w:szCs w:val="18"/>
              </w:rPr>
              <w:t>Promet u mirovanju</w:t>
            </w:r>
          </w:p>
          <w:p w14:paraId="14E77895" w14:textId="77777777" w:rsidR="00C5315F" w:rsidRDefault="00C5315F" w:rsidP="00165C16">
            <w:pPr>
              <w:numPr>
                <w:ilvl w:val="0"/>
                <w:numId w:val="2"/>
              </w:numPr>
              <w:spacing w:after="0" w:line="240" w:lineRule="auto"/>
              <w:rPr>
                <w:rFonts w:cs="Calibri"/>
                <w:sz w:val="18"/>
                <w:szCs w:val="18"/>
              </w:rPr>
            </w:pPr>
            <w:r w:rsidRPr="00136C75">
              <w:rPr>
                <w:rFonts w:cs="Calibri"/>
                <w:sz w:val="18"/>
                <w:szCs w:val="18"/>
              </w:rPr>
              <w:t>Ulaganje u razvoj i izgradnju sigurnih parkirališta za kamione</w:t>
            </w:r>
          </w:p>
          <w:p w14:paraId="0F09B902" w14:textId="77777777" w:rsidR="00C5315F" w:rsidRPr="00F45E80" w:rsidRDefault="00C5315F" w:rsidP="00165C16">
            <w:pPr>
              <w:numPr>
                <w:ilvl w:val="0"/>
                <w:numId w:val="2"/>
              </w:numPr>
              <w:spacing w:after="0" w:line="240" w:lineRule="auto"/>
              <w:rPr>
                <w:rFonts w:cs="Calibri"/>
                <w:sz w:val="18"/>
                <w:szCs w:val="18"/>
              </w:rPr>
            </w:pPr>
            <w:r w:rsidRPr="00136C75">
              <w:rPr>
                <w:rFonts w:cs="Calibri"/>
                <w:sz w:val="18"/>
                <w:szCs w:val="18"/>
              </w:rPr>
              <w:t>Povezivanje cestovnog I željezničkog prijevoza uspostavom kontinetalnog intermo</w:t>
            </w:r>
            <w:r w:rsidRPr="00136C75">
              <w:rPr>
                <w:rFonts w:cs="Calibri"/>
                <w:sz w:val="18"/>
                <w:szCs w:val="18"/>
              </w:rPr>
              <w:softHyphen/>
              <w:t>dalog terminala i povećanje skladišnih kapaciteta izgradnjom prateće visokoregalne skladišne hale</w:t>
            </w:r>
          </w:p>
          <w:p w14:paraId="030B4325" w14:textId="3F76D173" w:rsidR="00C5315F" w:rsidRDefault="00C5315F" w:rsidP="00165C16">
            <w:pPr>
              <w:numPr>
                <w:ilvl w:val="0"/>
                <w:numId w:val="2"/>
              </w:numPr>
              <w:spacing w:after="0" w:line="240" w:lineRule="auto"/>
              <w:rPr>
                <w:rFonts w:cs="Calibri"/>
                <w:sz w:val="18"/>
                <w:szCs w:val="18"/>
              </w:rPr>
            </w:pPr>
            <w:r w:rsidRPr="00934485">
              <w:rPr>
                <w:rFonts w:cs="Calibri"/>
                <w:sz w:val="18"/>
                <w:szCs w:val="18"/>
              </w:rPr>
              <w:t>izgradnja kapaciteta za smještaj i parkiranje</w:t>
            </w:r>
            <w:r w:rsidR="00730B54">
              <w:rPr>
                <w:sz w:val="18"/>
                <w:szCs w:val="18"/>
              </w:rPr>
              <w:t xml:space="preserve"> primarno izvan gradskog središta</w:t>
            </w:r>
            <w:r w:rsidR="00730B54">
              <w:rPr>
                <w:rFonts w:cs="Calibri"/>
                <w:sz w:val="18"/>
                <w:szCs w:val="18"/>
              </w:rPr>
              <w:t xml:space="preserve"> </w:t>
            </w:r>
            <w:r w:rsidR="00D90AED">
              <w:rPr>
                <w:rFonts w:cs="Calibri"/>
                <w:sz w:val="18"/>
                <w:szCs w:val="18"/>
              </w:rPr>
              <w:t xml:space="preserve">kako bi se smanjilo korištenje </w:t>
            </w:r>
            <w:r w:rsidR="00D90AED" w:rsidRPr="00D90AED">
              <w:rPr>
                <w:rFonts w:cs="Calibri"/>
                <w:sz w:val="18"/>
                <w:szCs w:val="18"/>
              </w:rPr>
              <w:t>automobila za dolazak u gradsko središte</w:t>
            </w:r>
          </w:p>
          <w:p w14:paraId="621B8582" w14:textId="79BD26B2" w:rsidR="00730B54" w:rsidRPr="008972EF" w:rsidRDefault="00C5315F" w:rsidP="008972EF">
            <w:pPr>
              <w:numPr>
                <w:ilvl w:val="0"/>
                <w:numId w:val="2"/>
              </w:numPr>
              <w:spacing w:after="0" w:line="240" w:lineRule="auto"/>
              <w:rPr>
                <w:rFonts w:cs="Calibri"/>
                <w:sz w:val="18"/>
                <w:szCs w:val="18"/>
              </w:rPr>
            </w:pPr>
            <w:r w:rsidRPr="00A33E06">
              <w:rPr>
                <w:rFonts w:cs="Calibri"/>
                <w:sz w:val="18"/>
                <w:szCs w:val="18"/>
              </w:rPr>
              <w:t>gradnja</w:t>
            </w:r>
            <w:r>
              <w:rPr>
                <w:rFonts w:cs="Calibri"/>
                <w:sz w:val="18"/>
                <w:szCs w:val="18"/>
              </w:rPr>
              <w:t xml:space="preserve"> </w:t>
            </w:r>
            <w:r w:rsidRPr="00A33E06">
              <w:rPr>
                <w:rFonts w:cs="Calibri"/>
                <w:sz w:val="18"/>
                <w:szCs w:val="18"/>
              </w:rPr>
              <w:t>novog željezničko</w:t>
            </w:r>
            <w:r>
              <w:rPr>
                <w:rFonts w:cs="Calibri"/>
                <w:sz w:val="18"/>
                <w:szCs w:val="18"/>
              </w:rPr>
              <w:t>-</w:t>
            </w:r>
            <w:r w:rsidRPr="00A33E06">
              <w:rPr>
                <w:rFonts w:cs="Calibri"/>
                <w:sz w:val="18"/>
                <w:szCs w:val="18"/>
              </w:rPr>
              <w:t>cestovnog kontejnerskog terminala</w:t>
            </w:r>
          </w:p>
        </w:tc>
      </w:tr>
    </w:tbl>
    <w:p w14:paraId="22EA3CD7" w14:textId="77777777" w:rsidR="00004DF9" w:rsidRDefault="00004DF9" w:rsidP="00B8319D">
      <w:pPr>
        <w:pStyle w:val="Stil1"/>
      </w:pPr>
      <w:bookmarkStart w:id="125" w:name="_Toc97123843"/>
    </w:p>
    <w:p w14:paraId="458AF2C3" w14:textId="77777777" w:rsidR="00004DF9" w:rsidRDefault="00004DF9">
      <w:pPr>
        <w:rPr>
          <w:rFonts w:ascii="Calibri" w:eastAsia="Calibri" w:hAnsi="Calibri" w:cs="Times New Roman"/>
          <w:b/>
          <w:bCs/>
          <w:color w:val="0070C0"/>
          <w:kern w:val="32"/>
          <w:sz w:val="28"/>
          <w:szCs w:val="28"/>
          <w:lang w:eastAsia="hr-HR"/>
        </w:rPr>
      </w:pPr>
      <w:r>
        <w:br w:type="page"/>
      </w:r>
    </w:p>
    <w:p w14:paraId="080B6302" w14:textId="0F2CD242" w:rsidR="00034784" w:rsidRPr="00392F62" w:rsidRDefault="00034784" w:rsidP="00392F62">
      <w:pPr>
        <w:pStyle w:val="Stil2"/>
        <w:rPr>
          <w:rFonts w:cs="Calibri"/>
          <w:caps/>
          <w:sz w:val="40"/>
          <w:szCs w:val="40"/>
        </w:rPr>
      </w:pPr>
      <w:r w:rsidRPr="00392F62">
        <w:rPr>
          <w:rFonts w:cs="Calibri"/>
          <w:caps/>
          <w:sz w:val="40"/>
          <w:szCs w:val="40"/>
        </w:rPr>
        <w:t>5.OKOLIŠ</w:t>
      </w:r>
      <w:bookmarkEnd w:id="125"/>
    </w:p>
    <w:p w14:paraId="37E1F76E" w14:textId="10DBC1B0" w:rsidR="00034784" w:rsidRDefault="00034784" w:rsidP="00B8319D">
      <w:pPr>
        <w:pStyle w:val="Stil2"/>
      </w:pPr>
      <w:bookmarkStart w:id="126" w:name="_Toc97123844"/>
      <w:r>
        <w:t>5.1. ZAŠTITA OKOLIŠA</w:t>
      </w:r>
      <w:bookmarkEnd w:id="126"/>
    </w:p>
    <w:p w14:paraId="72DDF72C" w14:textId="617911DA" w:rsidR="00034784" w:rsidRPr="00A33E06" w:rsidRDefault="00034784" w:rsidP="00B8319D">
      <w:pPr>
        <w:pStyle w:val="Stil2"/>
      </w:pPr>
      <w:bookmarkStart w:id="127" w:name="_Toc97123845"/>
      <w:r>
        <w:t>5</w:t>
      </w:r>
      <w:r w:rsidRPr="00A33E06">
        <w:t>.1.1. Praćenje stanja okoliša</w:t>
      </w:r>
      <w:r>
        <w:t xml:space="preserve"> i</w:t>
      </w:r>
      <w:r w:rsidRPr="00A33E06">
        <w:t xml:space="preserve"> planiranje zaštite okoliša</w:t>
      </w:r>
      <w:bookmarkEnd w:id="127"/>
    </w:p>
    <w:p w14:paraId="48604660" w14:textId="77777777" w:rsidR="00034784" w:rsidRPr="00415919" w:rsidRDefault="00034784" w:rsidP="00034784">
      <w:pPr>
        <w:spacing w:line="240" w:lineRule="auto"/>
        <w:jc w:val="both"/>
        <w:rPr>
          <w:rFonts w:cs="Calibri"/>
        </w:rPr>
      </w:pPr>
      <w:r w:rsidRPr="00415919">
        <w:rPr>
          <w:rFonts w:cs="Calibri"/>
        </w:rPr>
        <w:t>Analiza stanja okoliša na području Grada Zagreba uključuje podatke o stanju i kvaliteti okoliša.</w:t>
      </w:r>
    </w:p>
    <w:p w14:paraId="3078A03A" w14:textId="77777777" w:rsidR="00034784" w:rsidRPr="00F12F66" w:rsidRDefault="00034784" w:rsidP="00034784">
      <w:pPr>
        <w:tabs>
          <w:tab w:val="left" w:pos="-720"/>
        </w:tabs>
        <w:suppressAutoHyphens/>
        <w:spacing w:line="240" w:lineRule="auto"/>
        <w:ind w:right="-2"/>
        <w:jc w:val="both"/>
        <w:rPr>
          <w:rFonts w:cs="Calibri"/>
        </w:rPr>
      </w:pPr>
      <w:r w:rsidRPr="00F12F66">
        <w:rPr>
          <w:rFonts w:cs="Calibri"/>
        </w:rPr>
        <w:t>Okoliš ima svoj kapacitet i svoju vrijednost. Ne pojavljuje se na tržištu i ne može se individualizirati jer ima primarnu vrijednost za održavanje cjelokupnog života. Ukupne ekonomske vrijednosti okoliša ili ekoloških dobara ne mogu se izravno procijeniti ali se može uspostaviti ekološko-gospodarski sustav koji se temelji se na očuvanju resursa i prostora i koji će omogućiti razumijevanje ekoloških problema, potporu za integralno utvrđivanje interakcija između ljudi, gospodarstva i ekosustava te za implementaciju održivog razvoja. Stoga je pri donošenju odluka potrebno pronaći način da se gospodarska aktivnost dovede do optimalne razine onečišćenja.</w:t>
      </w:r>
    </w:p>
    <w:p w14:paraId="1EA79243" w14:textId="77777777" w:rsidR="00034784" w:rsidRPr="00F12F66" w:rsidRDefault="00034784" w:rsidP="00034784">
      <w:pPr>
        <w:tabs>
          <w:tab w:val="left" w:pos="-720"/>
        </w:tabs>
        <w:suppressAutoHyphens/>
        <w:spacing w:after="0" w:line="240" w:lineRule="auto"/>
        <w:ind w:right="-2"/>
        <w:jc w:val="both"/>
        <w:rPr>
          <w:rFonts w:cs="Calibri"/>
        </w:rPr>
      </w:pPr>
      <w:r w:rsidRPr="00F12F66">
        <w:rPr>
          <w:rFonts w:cs="Calibri"/>
        </w:rPr>
        <w:t>Pristup u zaštiti, upravljanju i obnavljanju okoliša i ekosustava mora biti sustavan kako bi se održali i obnoviti ekosustavi i njihove usluge uključivanjem zelene infrastrukture u prostorno planiranje.</w:t>
      </w:r>
    </w:p>
    <w:p w14:paraId="1DA2C8DE" w14:textId="77777777" w:rsidR="00034784" w:rsidRPr="00F12F66" w:rsidRDefault="00034784" w:rsidP="00034784">
      <w:pPr>
        <w:tabs>
          <w:tab w:val="left" w:pos="-720"/>
        </w:tabs>
        <w:suppressAutoHyphens/>
        <w:ind w:right="-2"/>
        <w:jc w:val="both"/>
        <w:rPr>
          <w:rFonts w:cs="Calibri"/>
        </w:rPr>
      </w:pPr>
      <w:r w:rsidRPr="00F12F66">
        <w:rPr>
          <w:rFonts w:cs="Calibri"/>
        </w:rPr>
        <w:t>U planiranju zaštite okoliša potrebno je utvrditi kvalitetu okoliša, stanje ekosustava i izloženost urbanog područja opasnostima te mjera za njihovo ublažavanje.</w:t>
      </w:r>
    </w:p>
    <w:p w14:paraId="0900ACCA" w14:textId="77777777" w:rsidR="00034784" w:rsidRPr="00415919" w:rsidRDefault="00034784" w:rsidP="00034784">
      <w:pPr>
        <w:spacing w:line="240" w:lineRule="auto"/>
        <w:jc w:val="both"/>
        <w:rPr>
          <w:rFonts w:cs="Calibri"/>
        </w:rPr>
      </w:pPr>
      <w:r w:rsidRPr="00415919">
        <w:rPr>
          <w:rFonts w:cs="Calibri"/>
        </w:rPr>
        <w:t>Praćenje stanja okoliša povezani su s praćenjem kakvoće zraka, upravljanjem komunalnim i opasnim otpadom, te kakvoćom pitke vode. Za praćenje stanja okoliša na području Grada Zagreba koriste se i podaci iz Registra onečišćavanja okoliša (ROO) koji je dio cjelovitog Informacijskog sustava zaštite okoliša na nacionalnoj razini. ROO okoliša sadrži podatke o izvorima, vrsti, količini, načinu i mjestu ispuštanja, prijenosa i odlaganja onečišćujućih tvari i otpada u okoliš na godišnjoj razini, a prikupljaju se na temelju Zakona o zaštiti okoliša (NN 80/13, 153/13, 78/15, 12/18, 118/18) sukladno odredbama Pravilnika o registru onečišćavanja okoliša (NN br. 87/15).</w:t>
      </w:r>
    </w:p>
    <w:p w14:paraId="79F18770" w14:textId="77777777" w:rsidR="00034784" w:rsidRDefault="00034784" w:rsidP="00034784">
      <w:pPr>
        <w:spacing w:line="240" w:lineRule="auto"/>
        <w:jc w:val="both"/>
        <w:rPr>
          <w:rFonts w:cs="Calibri"/>
        </w:rPr>
      </w:pPr>
      <w:r>
        <w:rPr>
          <w:rFonts w:cs="Calibri"/>
        </w:rPr>
        <w:t>Praćenje kvalitete zraka u Gradu Zagrebu provodi se od 1965. Od 1973. podaci iz tri (od sadašnjih šest) mjernih postaja u Gradu Zagrebu ulaze u okviru GEMS/AIR City AIR Quality Trends programa u Svjetsku bazu podataka Svjetske zdravstvene organizacije.</w:t>
      </w:r>
    </w:p>
    <w:p w14:paraId="41E5CD85" w14:textId="77777777" w:rsidR="00034784" w:rsidRPr="009D67FC" w:rsidRDefault="00034784" w:rsidP="00034784">
      <w:pPr>
        <w:pStyle w:val="Bezproreda"/>
        <w:jc w:val="both"/>
      </w:pPr>
      <w:r w:rsidRPr="009D67FC">
        <w:t xml:space="preserve">Danas se mjerenja obavljaju na </w:t>
      </w:r>
      <w:r w:rsidRPr="009D67FC">
        <w:rPr>
          <w:szCs w:val="24"/>
        </w:rPr>
        <w:t xml:space="preserve">6 gradskih mjernih postaja za trajno praćenje kvalitete zraka, na 4 postaje u </w:t>
      </w:r>
      <w:hyperlink r:id="rId45" w:tgtFrame="_blank" w:history="1">
        <w:r w:rsidRPr="009D67FC">
          <w:rPr>
            <w:rStyle w:val="Hiperveza"/>
            <w:rFonts w:eastAsia="Calibri"/>
            <w:szCs w:val="24"/>
          </w:rPr>
          <w:t>državnoj mreži</w:t>
        </w:r>
      </w:hyperlink>
      <w:r w:rsidRPr="009D67FC">
        <w:rPr>
          <w:szCs w:val="24"/>
        </w:rPr>
        <w:t xml:space="preserve"> i na 4 mjerne postaje za mjerenja tzv. posebne namjene. Opseg i obuhvat onečišćujućih tvari čije se koncentracije prate na 6 gradskih postaja za trajno praćenje kvalitete zraka određeni su </w:t>
      </w:r>
      <w:r w:rsidRPr="009D67FC">
        <w:rPr>
          <w:i/>
          <w:szCs w:val="24"/>
        </w:rPr>
        <w:t>Programom mjerenja razine onečišćenosti zraka u Gradu Zagrebu</w:t>
      </w:r>
      <w:r w:rsidRPr="009D67FC">
        <w:rPr>
          <w:szCs w:val="24"/>
        </w:rPr>
        <w:t xml:space="preserve"> (SGGZ 22/15). </w:t>
      </w:r>
    </w:p>
    <w:p w14:paraId="280A4EA5" w14:textId="77777777" w:rsidR="00034784" w:rsidRPr="009D67FC" w:rsidRDefault="00034784" w:rsidP="00034784">
      <w:pPr>
        <w:pStyle w:val="Bezproreda"/>
        <w:jc w:val="both"/>
      </w:pPr>
    </w:p>
    <w:p w14:paraId="2E77D5ED" w14:textId="77777777" w:rsidR="00034784" w:rsidRPr="009D67FC" w:rsidRDefault="00034784" w:rsidP="00034784">
      <w:pPr>
        <w:pStyle w:val="Bezproreda"/>
        <w:jc w:val="both"/>
      </w:pPr>
      <w:r w:rsidRPr="009D67FC">
        <w:t xml:space="preserve">Rezultati mjerenja dostavljaju se u Informacijski sustav zaštite zraka (ISZZ) kojeg vodi i uređuje nadležno Ministarstvo. U okviru ISZZ-a dostupan je portal </w:t>
      </w:r>
      <w:r w:rsidRPr="009D67FC">
        <w:rPr>
          <w:i/>
        </w:rPr>
        <w:t>Kvaliteta zraka u Republici Hrvatskoj</w:t>
      </w:r>
      <w:r w:rsidRPr="009D67FC">
        <w:t xml:space="preserve"> na kojem su dostupne  raspoložive informacije i izvorni podaci (u realnom vremenu) za onečišćujuće tvari čije se koncentracije u zraku na području Grada Zagreba mjere na mjernim postajama za automatsko mjerenje. </w:t>
      </w:r>
    </w:p>
    <w:p w14:paraId="4656B199" w14:textId="77777777" w:rsidR="00034784" w:rsidRPr="009D67FC" w:rsidRDefault="00034784" w:rsidP="00034784">
      <w:pPr>
        <w:pStyle w:val="Bezproreda"/>
        <w:jc w:val="both"/>
      </w:pPr>
    </w:p>
    <w:p w14:paraId="06E825E2" w14:textId="77777777" w:rsidR="00034784" w:rsidRPr="009D67FC" w:rsidRDefault="00034784" w:rsidP="00034784">
      <w:pPr>
        <w:pStyle w:val="Bezproreda"/>
        <w:jc w:val="both"/>
      </w:pPr>
      <w:r w:rsidRPr="009D67FC">
        <w:t xml:space="preserve">Na osnovi ocjene postojećeg stanja kvalitete zraka, od 2009. se redovito donose gradski propisi (odluke, planovi i programi) zaštite zraka: </w:t>
      </w:r>
      <w:r w:rsidRPr="009D67FC">
        <w:rPr>
          <w:rFonts w:cs="Arial"/>
          <w:bCs/>
          <w:lang w:val="en" w:eastAsia="hr-HR"/>
        </w:rPr>
        <w:t>Odluka</w:t>
      </w:r>
      <w:r w:rsidRPr="009D67FC">
        <w:rPr>
          <w:rFonts w:cs="Arial"/>
          <w:lang w:val="en" w:eastAsia="hr-HR"/>
        </w:rPr>
        <w:t xml:space="preserve"> </w:t>
      </w:r>
      <w:r w:rsidRPr="009D67FC">
        <w:rPr>
          <w:rFonts w:cs="Arial"/>
          <w:bCs/>
          <w:lang w:val="en" w:eastAsia="hr-HR"/>
        </w:rPr>
        <w:t xml:space="preserve">o određivanju lokacija mjernih postaja u gradskoj mreži za trajno praćenje kakvoće zraka (SGGZ 7/09); </w:t>
      </w:r>
      <w:r w:rsidRPr="009D67FC">
        <w:rPr>
          <w:lang w:val="en" w:eastAsia="hr-HR"/>
        </w:rPr>
        <w:t>Program mjerenja razine onečišćenosti zraka na području Grada Zagreba (SGGZ 7/09);</w:t>
      </w:r>
      <w:r w:rsidRPr="009D67FC">
        <w:rPr>
          <w:rFonts w:cs="Arial"/>
          <w:bCs/>
          <w:lang w:val="en" w:eastAsia="hr-HR"/>
        </w:rPr>
        <w:t xml:space="preserve"> </w:t>
      </w:r>
      <w:r w:rsidRPr="009D67FC">
        <w:t>Program zaštite i poboljšanja kakvoće zraka u Gradu Zagrebu za razdoblje 2009.- 2012. (SGGZ 7/09);</w:t>
      </w:r>
      <w:r w:rsidRPr="009D67FC">
        <w:rPr>
          <w:rFonts w:cs="Arial"/>
          <w:bCs/>
          <w:lang w:val="en" w:eastAsia="hr-HR"/>
        </w:rPr>
        <w:t xml:space="preserve"> </w:t>
      </w:r>
      <w:r w:rsidRPr="009D67FC">
        <w:rPr>
          <w:rFonts w:cs="Calibri"/>
        </w:rPr>
        <w:t>Cjeloviti sanacijski program smanjenja PM</w:t>
      </w:r>
      <w:r w:rsidRPr="009D67FC">
        <w:rPr>
          <w:rFonts w:cs="Calibri"/>
          <w:vertAlign w:val="subscript"/>
        </w:rPr>
        <w:t>10</w:t>
      </w:r>
      <w:r w:rsidRPr="009D67FC">
        <w:rPr>
          <w:rFonts w:cs="Calibri"/>
        </w:rPr>
        <w:t xml:space="preserve"> čestica</w:t>
      </w:r>
      <w:r w:rsidRPr="009D67FC">
        <w:rPr>
          <w:rFonts w:ascii="Times New Roman" w:hAnsi="Times New Roman"/>
          <w:b/>
          <w:sz w:val="24"/>
          <w:szCs w:val="24"/>
        </w:rPr>
        <w:t xml:space="preserve"> </w:t>
      </w:r>
      <w:r w:rsidRPr="009D67FC">
        <w:rPr>
          <w:rFonts w:asciiTheme="minorHAnsi" w:hAnsiTheme="minorHAnsi"/>
        </w:rPr>
        <w:t>u zapadnom dijelu Grada Zagreba</w:t>
      </w:r>
      <w:r w:rsidRPr="009D67FC">
        <w:rPr>
          <w:rFonts w:cs="Calibri"/>
        </w:rPr>
        <w:t xml:space="preserve"> (SGGZ 18/10);</w:t>
      </w:r>
      <w:r w:rsidRPr="009D67FC">
        <w:rPr>
          <w:rFonts w:cs="Arial"/>
          <w:bCs/>
          <w:lang w:val="en" w:eastAsia="hr-HR"/>
        </w:rPr>
        <w:t xml:space="preserve"> </w:t>
      </w:r>
      <w:r w:rsidRPr="009D67FC">
        <w:rPr>
          <w:rFonts w:cs="Calibri"/>
        </w:rPr>
        <w:t>Odluka o izradi sanacijskog programa za stacionarni izvor emisija u zrak: pogon elektrane – toplane (EL-TO) Zagreb, (SGGZ 18/10).</w:t>
      </w:r>
      <w:r w:rsidRPr="009D67FC">
        <w:t xml:space="preserve"> </w:t>
      </w:r>
    </w:p>
    <w:p w14:paraId="130206C7" w14:textId="77777777" w:rsidR="00034784" w:rsidRPr="009D67FC" w:rsidRDefault="00034784" w:rsidP="00034784">
      <w:pPr>
        <w:pStyle w:val="Default"/>
        <w:shd w:val="clear" w:color="auto" w:fill="FFFFFF" w:themeFill="background1"/>
        <w:rPr>
          <w:rFonts w:asciiTheme="minorHAnsi" w:hAnsiTheme="minorHAnsi"/>
          <w:color w:val="auto"/>
          <w:sz w:val="22"/>
          <w:szCs w:val="22"/>
        </w:rPr>
      </w:pPr>
      <w:r w:rsidRPr="009D67FC">
        <w:rPr>
          <w:rFonts w:asciiTheme="minorHAnsi" w:hAnsiTheme="minorHAnsi"/>
          <w:bCs/>
          <w:color w:val="auto"/>
          <w:sz w:val="22"/>
          <w:szCs w:val="22"/>
        </w:rPr>
        <w:t>U cilju postizanja I. kategorije kvalitete zraka spram dušikovih oksida (NO</w:t>
      </w:r>
      <w:r w:rsidRPr="009D67FC">
        <w:rPr>
          <w:rFonts w:asciiTheme="minorHAnsi" w:hAnsiTheme="minorHAnsi"/>
          <w:bCs/>
          <w:color w:val="auto"/>
          <w:sz w:val="22"/>
          <w:szCs w:val="22"/>
          <w:vertAlign w:val="subscript"/>
        </w:rPr>
        <w:t>x</w:t>
      </w:r>
      <w:r w:rsidRPr="009D67FC">
        <w:rPr>
          <w:rFonts w:asciiTheme="minorHAnsi" w:hAnsiTheme="minorHAnsi"/>
          <w:bCs/>
          <w:color w:val="auto"/>
          <w:sz w:val="22"/>
          <w:szCs w:val="22"/>
        </w:rPr>
        <w:t>), lebdećih čestica PM</w:t>
      </w:r>
      <w:r w:rsidRPr="009D67FC">
        <w:rPr>
          <w:rFonts w:asciiTheme="minorHAnsi" w:hAnsiTheme="minorHAnsi"/>
          <w:bCs/>
          <w:color w:val="auto"/>
          <w:sz w:val="22"/>
          <w:szCs w:val="22"/>
          <w:vertAlign w:val="subscript"/>
        </w:rPr>
        <w:t>10</w:t>
      </w:r>
      <w:r w:rsidRPr="009D67FC">
        <w:rPr>
          <w:rFonts w:asciiTheme="minorHAnsi" w:hAnsiTheme="minorHAnsi"/>
          <w:bCs/>
          <w:color w:val="auto"/>
          <w:sz w:val="22"/>
          <w:szCs w:val="22"/>
        </w:rPr>
        <w:t xml:space="preserve"> i PM</w:t>
      </w:r>
      <w:r w:rsidRPr="009D67FC">
        <w:rPr>
          <w:rFonts w:asciiTheme="minorHAnsi" w:hAnsiTheme="minorHAnsi"/>
          <w:bCs/>
          <w:color w:val="auto"/>
          <w:sz w:val="22"/>
          <w:szCs w:val="22"/>
          <w:vertAlign w:val="subscript"/>
        </w:rPr>
        <w:t>2.5</w:t>
      </w:r>
      <w:r w:rsidRPr="009D67FC">
        <w:rPr>
          <w:rFonts w:asciiTheme="minorHAnsi" w:hAnsiTheme="minorHAnsi"/>
          <w:bCs/>
          <w:color w:val="auto"/>
          <w:sz w:val="22"/>
          <w:szCs w:val="22"/>
        </w:rPr>
        <w:t>, benzo(a)pirena u PM</w:t>
      </w:r>
      <w:r w:rsidRPr="009D67FC">
        <w:rPr>
          <w:rFonts w:asciiTheme="minorHAnsi" w:hAnsiTheme="minorHAnsi"/>
          <w:bCs/>
          <w:color w:val="auto"/>
          <w:sz w:val="22"/>
          <w:szCs w:val="22"/>
          <w:vertAlign w:val="subscript"/>
        </w:rPr>
        <w:t>10</w:t>
      </w:r>
      <w:r w:rsidRPr="009D67FC">
        <w:rPr>
          <w:rFonts w:asciiTheme="minorHAnsi" w:hAnsiTheme="minorHAnsi"/>
          <w:bCs/>
          <w:color w:val="auto"/>
          <w:sz w:val="22"/>
          <w:szCs w:val="22"/>
        </w:rPr>
        <w:t xml:space="preserve"> i prizemnog ozona (O</w:t>
      </w:r>
      <w:r w:rsidRPr="009D67FC">
        <w:rPr>
          <w:rFonts w:asciiTheme="minorHAnsi" w:hAnsiTheme="minorHAnsi"/>
          <w:bCs/>
          <w:color w:val="auto"/>
          <w:sz w:val="22"/>
          <w:szCs w:val="22"/>
          <w:vertAlign w:val="subscript"/>
        </w:rPr>
        <w:t>3</w:t>
      </w:r>
      <w:r w:rsidRPr="009D67FC">
        <w:rPr>
          <w:rFonts w:asciiTheme="minorHAnsi" w:hAnsiTheme="minorHAnsi"/>
          <w:bCs/>
          <w:color w:val="auto"/>
          <w:sz w:val="22"/>
          <w:szCs w:val="22"/>
        </w:rPr>
        <w:t xml:space="preserve">) u </w:t>
      </w:r>
      <w:r w:rsidRPr="009D67FC">
        <w:rPr>
          <w:rFonts w:asciiTheme="minorHAnsi" w:hAnsiTheme="minorHAnsi" w:cs="Calibri"/>
          <w:color w:val="auto"/>
          <w:sz w:val="22"/>
          <w:szCs w:val="22"/>
        </w:rPr>
        <w:t xml:space="preserve">tijeku je provedba mjera zašite zraka iz Akcijskog plana za poboljšanje kvalitete zraka na području Grada Zagreba (SGGZ 5/15) i Programa zaštite zraka, </w:t>
      </w:r>
      <w:r w:rsidRPr="009D67FC">
        <w:rPr>
          <w:rFonts w:asciiTheme="minorHAnsi" w:hAnsiTheme="minorHAnsi"/>
          <w:bCs/>
          <w:color w:val="auto"/>
          <w:sz w:val="22"/>
          <w:szCs w:val="22"/>
        </w:rPr>
        <w:t>ozonskog sloja, ublažavanja klimatskih promjena i prilagodbe klimatskim promjenama u Gradu Zagrebu (SGGZ 6/16).</w:t>
      </w:r>
    </w:p>
    <w:p w14:paraId="4FCAB232" w14:textId="77777777" w:rsidR="00034784" w:rsidRPr="009D67FC" w:rsidRDefault="00034784" w:rsidP="00034784">
      <w:pPr>
        <w:shd w:val="clear" w:color="auto" w:fill="FFFFFF" w:themeFill="background1"/>
        <w:adjustRightInd w:val="0"/>
        <w:spacing w:before="100" w:beforeAutospacing="1" w:after="100" w:afterAutospacing="1"/>
        <w:jc w:val="both"/>
        <w:rPr>
          <w:rFonts w:cs="Calibri"/>
        </w:rPr>
      </w:pPr>
      <w:r w:rsidRPr="009D67FC">
        <w:rPr>
          <w:rFonts w:cs="Calibri"/>
        </w:rPr>
        <w:t xml:space="preserve">Uspostava Katastra emisija u okoliš (KEO) započeta je 1997. sustavnim prikupljanjem podataka o emisijama onečišćujućih tvari u zrak i vode te količinama i tijeku otpada. Danas se prema važećom propisima podaci prikupljaju i prate putem Registra onečišćavanja okoliša (ROO). Od 2012. ROO je dostupan javnosti i doprinos je Informatičkom sustavu zaštite okoliša. </w:t>
      </w:r>
    </w:p>
    <w:p w14:paraId="2E2300F5" w14:textId="77777777" w:rsidR="00034784" w:rsidRPr="009D67FC" w:rsidRDefault="00034784" w:rsidP="00034784">
      <w:pPr>
        <w:shd w:val="clear" w:color="auto" w:fill="FFFFFF" w:themeFill="background1"/>
        <w:adjustRightInd w:val="0"/>
        <w:spacing w:before="100" w:beforeAutospacing="1" w:after="100" w:afterAutospacing="1"/>
        <w:jc w:val="both"/>
        <w:rPr>
          <w:rFonts w:cs="Calibri"/>
        </w:rPr>
      </w:pPr>
      <w:r w:rsidRPr="009D67FC">
        <w:rPr>
          <w:rFonts w:cs="Calibri"/>
        </w:rPr>
        <w:t xml:space="preserve">Od 90-tih godina sustavno se prati kakvoća podzemnih voda na priljevnim područjima vodocrpilišta </w:t>
      </w:r>
    </w:p>
    <w:p w14:paraId="0FE873D9" w14:textId="77777777" w:rsidR="00034784" w:rsidRPr="009D67FC" w:rsidRDefault="00034784" w:rsidP="00034784">
      <w:pPr>
        <w:spacing w:line="240" w:lineRule="auto"/>
        <w:jc w:val="both"/>
        <w:rPr>
          <w:rFonts w:cs="Calibri"/>
        </w:rPr>
      </w:pPr>
      <w:r w:rsidRPr="009D67FC">
        <w:rPr>
          <w:rFonts w:cs="Calibri"/>
        </w:rPr>
        <w:t>Grad Zagreb je 2018. izradio Stratešku kartu buke za treći krug izvještavanja Europskoj komisiji. Na temelju na temelju ulaznih podataka, rezultata i emisijskih modela glavnih izvora buke proračunatih u okviru izrade Strateške karte buke Grada Zagreba, gradonačelnik Grada Zagreba je iste godine usvojio Akcijski plan upravljanja bukom u Gradu Zagrebu do 2023., kojim su definirana prioritetna područja upravljanja bukom cestovnog i željezničkog prometa i industrijskih pogona i postrojenja, rokovi i nositelji provedbe mjera i aktivnosti  koji se trebaju provesti s ciljem smanjenja ukupne izloženosti stanovnika prekomjernim razinama buke. Oba dokumenta su javno dostupna na internetskoj stranici Grada Zagreba, a grafički prikazi su objavljeni i u georeferenciranom obliku na ZG Geoportalu u cjelini Strateška karta buke.. U svrhu kontrole prekomjerne buke tijekom održavanja javnih manifestacija, Gradska Skupština Grada Zagreba je 2016. donijela Odluku o lokacijama i najvišim dopuštenim razinama buke tijekom održavanja manifestacija (SGGZ 12/16), kojom su propisana ograničenja razina buke tijekom održavanja manifestacija i uvjeti pod kojima se one mogu održavati, regulirane su obveze organizatora manifestacija te način praćenja razina buke i nadzor nad njenom provedbom.</w:t>
      </w:r>
    </w:p>
    <w:tbl>
      <w:tblPr>
        <w:tblW w:w="5000" w:type="pct"/>
        <w:shd w:val="clear" w:color="auto" w:fill="CCCCCC"/>
        <w:tblLook w:val="01E0" w:firstRow="1" w:lastRow="1" w:firstColumn="1" w:lastColumn="1" w:noHBand="0" w:noVBand="0"/>
      </w:tblPr>
      <w:tblGrid>
        <w:gridCol w:w="4536"/>
        <w:gridCol w:w="4536"/>
      </w:tblGrid>
      <w:tr w:rsidR="00034784" w14:paraId="7153E33D" w14:textId="77777777" w:rsidTr="00072476">
        <w:tc>
          <w:tcPr>
            <w:tcW w:w="2500" w:type="pct"/>
            <w:shd w:val="clear" w:color="auto" w:fill="CCCCCC"/>
            <w:hideMark/>
          </w:tcPr>
          <w:p w14:paraId="63B11230" w14:textId="77777777" w:rsidR="00034784" w:rsidRDefault="00034784" w:rsidP="00072476">
            <w:pPr>
              <w:pStyle w:val="StandardWeb"/>
              <w:spacing w:before="60" w:beforeAutospacing="0" w:after="60" w:afterAutospacing="0"/>
              <w:jc w:val="both"/>
              <w:rPr>
                <w:rFonts w:ascii="Calibri" w:hAnsi="Calibri" w:cs="Calibri"/>
                <w:b/>
                <w:sz w:val="18"/>
                <w:szCs w:val="18"/>
              </w:rPr>
            </w:pPr>
            <w:r>
              <w:rPr>
                <w:rFonts w:ascii="Calibri" w:hAnsi="Calibri" w:cs="Calibri"/>
                <w:b/>
                <w:sz w:val="18"/>
                <w:szCs w:val="18"/>
              </w:rPr>
              <w:t>RAZVOJNI PROBLEMI</w:t>
            </w:r>
          </w:p>
          <w:p w14:paraId="1B13AAC9" w14:textId="77777777" w:rsidR="00034784" w:rsidRPr="0080167F" w:rsidRDefault="00034784" w:rsidP="00165C16">
            <w:pPr>
              <w:numPr>
                <w:ilvl w:val="0"/>
                <w:numId w:val="1"/>
              </w:numPr>
              <w:tabs>
                <w:tab w:val="clear" w:pos="720"/>
                <w:tab w:val="num" w:pos="284"/>
                <w:tab w:val="num" w:pos="502"/>
              </w:tabs>
              <w:spacing w:before="60" w:after="60" w:line="240" w:lineRule="auto"/>
              <w:ind w:left="284" w:right="-2" w:hanging="284"/>
              <w:rPr>
                <w:rFonts w:cs="Calibri"/>
                <w:sz w:val="18"/>
                <w:szCs w:val="18"/>
              </w:rPr>
            </w:pPr>
            <w:r w:rsidRPr="00483C4F">
              <w:rPr>
                <w:rFonts w:eastAsia="Times New Roman" w:cs="Calibri"/>
                <w:sz w:val="18"/>
                <w:szCs w:val="18"/>
                <w:lang w:eastAsia="hr-HR"/>
              </w:rPr>
              <w:t>nedostatak strateških dokumenata iz područja zaštite okoliša i održivog razvoja</w:t>
            </w:r>
          </w:p>
        </w:tc>
        <w:tc>
          <w:tcPr>
            <w:tcW w:w="2500" w:type="pct"/>
            <w:shd w:val="clear" w:color="auto" w:fill="99CCFF"/>
            <w:hideMark/>
          </w:tcPr>
          <w:p w14:paraId="5C8B9159" w14:textId="77777777" w:rsidR="00034784" w:rsidRDefault="00034784" w:rsidP="00072476">
            <w:pPr>
              <w:pStyle w:val="StandardWeb"/>
              <w:spacing w:before="60" w:beforeAutospacing="0" w:after="60" w:afterAutospacing="0"/>
              <w:jc w:val="both"/>
              <w:rPr>
                <w:rFonts w:ascii="Calibri" w:hAnsi="Calibri" w:cs="Calibri"/>
                <w:b/>
                <w:sz w:val="18"/>
                <w:szCs w:val="18"/>
              </w:rPr>
            </w:pPr>
            <w:r>
              <w:rPr>
                <w:rFonts w:ascii="Calibri" w:hAnsi="Calibri" w:cs="Calibri"/>
                <w:b/>
                <w:sz w:val="18"/>
                <w:szCs w:val="18"/>
              </w:rPr>
              <w:t>RAZVOJNE POTREBE</w:t>
            </w:r>
          </w:p>
        </w:tc>
      </w:tr>
      <w:tr w:rsidR="00034784" w14:paraId="78244922" w14:textId="77777777" w:rsidTr="00072476">
        <w:tc>
          <w:tcPr>
            <w:tcW w:w="2500" w:type="pct"/>
            <w:shd w:val="clear" w:color="auto" w:fill="CCCCCC"/>
            <w:hideMark/>
          </w:tcPr>
          <w:p w14:paraId="3A41882E"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netransparentni ili nedostupni podaci o financiranju zaštite okoliša na području Grada Zagreba </w:t>
            </w:r>
          </w:p>
          <w:p w14:paraId="7F1231A3"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nedostatna financijska sredstva</w:t>
            </w:r>
          </w:p>
          <w:p w14:paraId="78072DC0"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necjelovita provedba propisanih mjera zaštite okoliša</w:t>
            </w:r>
          </w:p>
          <w:p w14:paraId="4673228C"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nesustavno praćenje stanja pojedinih sastavnica okoliša, npr. tla, buke, bioraznolikosti</w:t>
            </w:r>
          </w:p>
          <w:p w14:paraId="4A01422E"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nedovoljna suradnja ključnih institucija - upravnih tijela Grada Zagreba, pojedinih tijela državne uprave, trgovačkih društava i sl. </w:t>
            </w:r>
          </w:p>
          <w:p w14:paraId="2D54B913"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nedovoljno razvijena svijest građana/javnosti o pitanjima i problematici zaštite okoliša, posebice otpada</w:t>
            </w:r>
          </w:p>
        </w:tc>
        <w:tc>
          <w:tcPr>
            <w:tcW w:w="2500" w:type="pct"/>
            <w:shd w:val="clear" w:color="auto" w:fill="99CCFF"/>
            <w:hideMark/>
          </w:tcPr>
          <w:p w14:paraId="264CE9FE"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donošenje i provedba dokumenata zaštite okoliša i održivog razvoja </w:t>
            </w:r>
          </w:p>
          <w:p w14:paraId="6FB971D0"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dosljedna provedba mjera  zaštite okoliša implementirati u druge gradske planove/programe i strateške dokumente</w:t>
            </w:r>
          </w:p>
          <w:p w14:paraId="38502FC6"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kontinuirano praćenje i obrada podataka o okolišu omogućili bi stalan uvid u stanje i trendove u okolišu, poslužili bi ocjeni učinkovitosti poduzetih mjera, te ukazivali na probleme i potrebe zaštite okoliša</w:t>
            </w:r>
          </w:p>
          <w:p w14:paraId="77459877"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jačanje suradnje ključnih tijela na gradskoj i nacionalnoj razini uspostavljanju koordiniranog sustava zaštite okoliša i praćenja stanja okoliša</w:t>
            </w:r>
          </w:p>
          <w:p w14:paraId="43F70FC1"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uspostava jedinstvenog informacijskog sustava o okolišu radi podizanja kvalitete izvještavanja</w:t>
            </w:r>
          </w:p>
        </w:tc>
      </w:tr>
    </w:tbl>
    <w:p w14:paraId="23169E61" w14:textId="61B4F5F5" w:rsidR="00034784" w:rsidRPr="00A33E06" w:rsidRDefault="00034784" w:rsidP="003F2896">
      <w:pPr>
        <w:pStyle w:val="Stil2"/>
        <w:spacing w:before="0" w:after="0"/>
      </w:pPr>
      <w:r w:rsidRPr="00A33E06">
        <w:br/>
      </w:r>
      <w:bookmarkStart w:id="128" w:name="_Toc97123846"/>
      <w:r>
        <w:t>5</w:t>
      </w:r>
      <w:r w:rsidRPr="00A33E06">
        <w:t>.1.2. Vode</w:t>
      </w:r>
      <w:bookmarkEnd w:id="128"/>
    </w:p>
    <w:p w14:paraId="35C6C0FC" w14:textId="77777777" w:rsidR="00034784" w:rsidRPr="009D67FC" w:rsidRDefault="00034784" w:rsidP="003F2896">
      <w:pPr>
        <w:spacing w:after="0" w:line="240" w:lineRule="auto"/>
        <w:jc w:val="both"/>
        <w:rPr>
          <w:rFonts w:cs="Calibri"/>
        </w:rPr>
      </w:pPr>
      <w:r w:rsidRPr="00547C00">
        <w:rPr>
          <w:rFonts w:cs="Calibri"/>
        </w:rPr>
        <w:t xml:space="preserve">Na području Grada Zagreba u uporabi je 5 vodocrpilišta s </w:t>
      </w:r>
      <w:r>
        <w:rPr>
          <w:rFonts w:cs="Calibri"/>
        </w:rPr>
        <w:t>31</w:t>
      </w:r>
      <w:r w:rsidRPr="00547C00">
        <w:rPr>
          <w:rFonts w:cs="Calibri"/>
        </w:rPr>
        <w:t xml:space="preserve"> zdenc</w:t>
      </w:r>
      <w:r>
        <w:rPr>
          <w:rFonts w:cs="Calibri"/>
        </w:rPr>
        <w:t>em</w:t>
      </w:r>
      <w:r w:rsidRPr="00547C00">
        <w:rPr>
          <w:rFonts w:cs="Calibri"/>
        </w:rPr>
        <w:t xml:space="preserve"> te određeni broj individualnih zdenaca. Ukupni kapacitet zdenaca u vodoopskrbnom sustavu Grada </w:t>
      </w:r>
      <w:r>
        <w:rPr>
          <w:rFonts w:cs="Calibri"/>
        </w:rPr>
        <w:t>je oko 5.300 l/s, s time da se</w:t>
      </w:r>
      <w:r w:rsidRPr="00547C00">
        <w:rPr>
          <w:rFonts w:cs="Calibri"/>
        </w:rPr>
        <w:t xml:space="preserve"> na administrativnom području Grada nalaze crpilišta kapaciteta oko 4.500 l/s. Prema Planu upravljanja vodnim područjima za razdoblje 2016.-2021. (NN 66/16; dalje u tekstu: Plan) administrativni obuhvat </w:t>
      </w:r>
      <w:r w:rsidRPr="009D67FC">
        <w:rPr>
          <w:rFonts w:cs="Calibri"/>
        </w:rPr>
        <w:t xml:space="preserve">Grada Zagreba pruža se djelomično na 5 grupiranih vodnih tijela podzemne vode (volumen podzemne vode u jednom ili više vodonosnika), te na 42 </w:t>
      </w:r>
      <w:r w:rsidRPr="009D67FC">
        <w:rPr>
          <w:rFonts w:cs="Calibri"/>
          <w:lang w:eastAsia="hr-HR"/>
        </w:rPr>
        <w:t>vodna tijela površinskih voda koja uključuju izmijenjena umjetna i prirodna vodna tijela (jezero, rijeka, potok, kanal, dio rijeke ili kanala i sl)</w:t>
      </w:r>
      <w:r w:rsidRPr="009D67FC">
        <w:rPr>
          <w:rFonts w:cs="Calibri"/>
        </w:rPr>
        <w:t>. Vodna tijela pripadaju Vodnom području rijeke Dunav i području podsliva rijeke Save. Pregled navedenih grupiranih vodnih tijela podzemne vode s prikazom kemijskog, količinskog i stanja dan je u tablici.</w:t>
      </w:r>
    </w:p>
    <w:p w14:paraId="24E663E8" w14:textId="380FF367" w:rsidR="00034784" w:rsidRPr="00B25EA5" w:rsidRDefault="000A7DCF" w:rsidP="00E2286C">
      <w:pPr>
        <w:pStyle w:val="Opisslike"/>
        <w:rPr>
          <w:rFonts w:cs="Calibri"/>
        </w:rPr>
      </w:pPr>
      <w:r>
        <w:t xml:space="preserve">Tablica </w:t>
      </w:r>
      <w:r w:rsidR="00751C19">
        <w:fldChar w:fldCharType="begin"/>
      </w:r>
      <w:r w:rsidR="00751C19">
        <w:instrText xml:space="preserve"> SEQ Tablica \* ARABIC </w:instrText>
      </w:r>
      <w:r w:rsidR="00751C19">
        <w:fldChar w:fldCharType="separate"/>
      </w:r>
      <w:r w:rsidR="00803E25">
        <w:rPr>
          <w:noProof/>
        </w:rPr>
        <w:t>33</w:t>
      </w:r>
      <w:r w:rsidR="00751C19">
        <w:rPr>
          <w:noProof/>
        </w:rPr>
        <w:fldChar w:fldCharType="end"/>
      </w:r>
      <w:r>
        <w:t xml:space="preserve">. </w:t>
      </w:r>
      <w:r w:rsidRPr="008B6614">
        <w:t>Pregled vodnih tijela podzemne vode</w:t>
      </w:r>
    </w:p>
    <w:tbl>
      <w:tblPr>
        <w:tblW w:w="9440" w:type="dxa"/>
        <w:tblInd w:w="-5" w:type="dxa"/>
        <w:tblLook w:val="04A0" w:firstRow="1" w:lastRow="0" w:firstColumn="1" w:lastColumn="0" w:noHBand="0" w:noVBand="1"/>
      </w:tblPr>
      <w:tblGrid>
        <w:gridCol w:w="2520"/>
        <w:gridCol w:w="2520"/>
        <w:gridCol w:w="2520"/>
        <w:gridCol w:w="1880"/>
      </w:tblGrid>
      <w:tr w:rsidR="00034784" w:rsidRPr="00547C00" w14:paraId="6A42BA63" w14:textId="77777777" w:rsidTr="00072476">
        <w:trPr>
          <w:trHeight w:val="227"/>
        </w:trPr>
        <w:tc>
          <w:tcPr>
            <w:tcW w:w="2520" w:type="dxa"/>
            <w:tcBorders>
              <w:top w:val="single" w:sz="4" w:space="0" w:color="auto"/>
              <w:left w:val="single" w:sz="4" w:space="0" w:color="auto"/>
              <w:bottom w:val="nil"/>
              <w:right w:val="single" w:sz="4" w:space="0" w:color="auto"/>
            </w:tcBorders>
            <w:shd w:val="clear" w:color="000000" w:fill="DCE6F1"/>
            <w:vAlign w:val="center"/>
            <w:hideMark/>
          </w:tcPr>
          <w:p w14:paraId="35938563"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 xml:space="preserve">Grupirano vodno tijelo podzemne vode </w:t>
            </w:r>
          </w:p>
        </w:tc>
        <w:tc>
          <w:tcPr>
            <w:tcW w:w="2520" w:type="dxa"/>
            <w:tcBorders>
              <w:top w:val="single" w:sz="4" w:space="0" w:color="auto"/>
              <w:left w:val="nil"/>
              <w:bottom w:val="nil"/>
              <w:right w:val="single" w:sz="4" w:space="0" w:color="auto"/>
            </w:tcBorders>
            <w:shd w:val="clear" w:color="000000" w:fill="DCE6F1"/>
            <w:vAlign w:val="center"/>
            <w:hideMark/>
          </w:tcPr>
          <w:p w14:paraId="7770F317"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Kod tijela podzemnih voda</w:t>
            </w:r>
          </w:p>
        </w:tc>
        <w:tc>
          <w:tcPr>
            <w:tcW w:w="2520" w:type="dxa"/>
            <w:tcBorders>
              <w:top w:val="single" w:sz="4" w:space="0" w:color="auto"/>
              <w:left w:val="nil"/>
              <w:bottom w:val="single" w:sz="4" w:space="0" w:color="auto"/>
              <w:right w:val="nil"/>
            </w:tcBorders>
            <w:shd w:val="clear" w:color="000000" w:fill="DCE6F1"/>
            <w:vAlign w:val="center"/>
            <w:hideMark/>
          </w:tcPr>
          <w:p w14:paraId="432AA82D"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Kemijsko stanje</w:t>
            </w:r>
          </w:p>
        </w:tc>
        <w:tc>
          <w:tcPr>
            <w:tcW w:w="188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68292B3"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Količinsko stanje</w:t>
            </w:r>
          </w:p>
        </w:tc>
      </w:tr>
      <w:tr w:rsidR="00034784" w:rsidRPr="00547C00" w14:paraId="2F149122" w14:textId="77777777" w:rsidTr="00072476">
        <w:trPr>
          <w:trHeight w:val="227"/>
        </w:trPr>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54E3F" w14:textId="77777777" w:rsidR="00034784" w:rsidRPr="00B25EA5" w:rsidRDefault="00034784" w:rsidP="00072476">
            <w:pPr>
              <w:spacing w:after="0" w:line="240" w:lineRule="auto"/>
              <w:rPr>
                <w:rFonts w:eastAsia="Times New Roman" w:cs="Calibri"/>
                <w:color w:val="000000"/>
                <w:sz w:val="20"/>
                <w:szCs w:val="20"/>
                <w:lang w:eastAsia="hr-HR"/>
              </w:rPr>
            </w:pPr>
            <w:r w:rsidRPr="00B25EA5">
              <w:rPr>
                <w:rFonts w:eastAsia="Times New Roman" w:cs="Calibri"/>
                <w:color w:val="000000"/>
                <w:sz w:val="20"/>
                <w:szCs w:val="20"/>
                <w:lang w:eastAsia="hr-HR"/>
              </w:rPr>
              <w:t>Zagreb</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9C7780B"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CSGI_27</w:t>
            </w:r>
          </w:p>
        </w:tc>
        <w:tc>
          <w:tcPr>
            <w:tcW w:w="2520" w:type="dxa"/>
            <w:tcBorders>
              <w:top w:val="nil"/>
              <w:left w:val="nil"/>
              <w:bottom w:val="single" w:sz="4" w:space="0" w:color="auto"/>
              <w:right w:val="single" w:sz="4" w:space="0" w:color="auto"/>
            </w:tcBorders>
            <w:shd w:val="clear" w:color="auto" w:fill="auto"/>
            <w:vAlign w:val="center"/>
            <w:hideMark/>
          </w:tcPr>
          <w:p w14:paraId="4454F777"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dobro</w:t>
            </w:r>
          </w:p>
        </w:tc>
        <w:tc>
          <w:tcPr>
            <w:tcW w:w="1880" w:type="dxa"/>
            <w:tcBorders>
              <w:top w:val="nil"/>
              <w:left w:val="nil"/>
              <w:bottom w:val="single" w:sz="4" w:space="0" w:color="auto"/>
              <w:right w:val="single" w:sz="4" w:space="0" w:color="auto"/>
            </w:tcBorders>
            <w:shd w:val="clear" w:color="auto" w:fill="auto"/>
            <w:vAlign w:val="center"/>
            <w:hideMark/>
          </w:tcPr>
          <w:p w14:paraId="0AA67649"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 xml:space="preserve">dobro </w:t>
            </w:r>
          </w:p>
        </w:tc>
      </w:tr>
      <w:tr w:rsidR="00034784" w:rsidRPr="00547C00" w14:paraId="3DD81CFF" w14:textId="77777777" w:rsidTr="00072476">
        <w:trPr>
          <w:trHeight w:val="227"/>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3108B2F" w14:textId="77777777" w:rsidR="00034784" w:rsidRPr="00B25EA5" w:rsidRDefault="00034784" w:rsidP="00072476">
            <w:pPr>
              <w:spacing w:after="0" w:line="240" w:lineRule="auto"/>
              <w:rPr>
                <w:rFonts w:eastAsia="Times New Roman" w:cs="Calibri"/>
                <w:color w:val="000000"/>
                <w:sz w:val="20"/>
                <w:szCs w:val="20"/>
                <w:lang w:eastAsia="hr-HR"/>
              </w:rPr>
            </w:pPr>
            <w:r w:rsidRPr="00B25EA5">
              <w:rPr>
                <w:rFonts w:eastAsia="Times New Roman" w:cs="Calibri"/>
                <w:color w:val="000000"/>
                <w:sz w:val="20"/>
                <w:szCs w:val="20"/>
                <w:lang w:eastAsia="hr-HR"/>
              </w:rPr>
              <w:t>Sliv Sutle i Krapine</w:t>
            </w:r>
          </w:p>
        </w:tc>
        <w:tc>
          <w:tcPr>
            <w:tcW w:w="2520" w:type="dxa"/>
            <w:tcBorders>
              <w:top w:val="nil"/>
              <w:left w:val="nil"/>
              <w:bottom w:val="single" w:sz="4" w:space="0" w:color="auto"/>
              <w:right w:val="single" w:sz="4" w:space="0" w:color="auto"/>
            </w:tcBorders>
            <w:shd w:val="clear" w:color="auto" w:fill="auto"/>
            <w:vAlign w:val="center"/>
            <w:hideMark/>
          </w:tcPr>
          <w:p w14:paraId="6CB86F00"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CSGI_24</w:t>
            </w:r>
          </w:p>
        </w:tc>
        <w:tc>
          <w:tcPr>
            <w:tcW w:w="2520" w:type="dxa"/>
            <w:tcBorders>
              <w:top w:val="nil"/>
              <w:left w:val="nil"/>
              <w:bottom w:val="single" w:sz="4" w:space="0" w:color="auto"/>
              <w:right w:val="single" w:sz="4" w:space="0" w:color="auto"/>
            </w:tcBorders>
            <w:shd w:val="clear" w:color="auto" w:fill="auto"/>
            <w:vAlign w:val="center"/>
            <w:hideMark/>
          </w:tcPr>
          <w:p w14:paraId="7A874689"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dobro</w:t>
            </w:r>
          </w:p>
        </w:tc>
        <w:tc>
          <w:tcPr>
            <w:tcW w:w="1880" w:type="dxa"/>
            <w:tcBorders>
              <w:top w:val="nil"/>
              <w:left w:val="nil"/>
              <w:bottom w:val="single" w:sz="4" w:space="0" w:color="auto"/>
              <w:right w:val="single" w:sz="4" w:space="0" w:color="auto"/>
            </w:tcBorders>
            <w:shd w:val="clear" w:color="auto" w:fill="auto"/>
            <w:vAlign w:val="center"/>
            <w:hideMark/>
          </w:tcPr>
          <w:p w14:paraId="32A9F992"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 xml:space="preserve">dobro </w:t>
            </w:r>
          </w:p>
        </w:tc>
      </w:tr>
      <w:tr w:rsidR="00034784" w:rsidRPr="00547C00" w14:paraId="48EDA7E2" w14:textId="77777777" w:rsidTr="00072476">
        <w:trPr>
          <w:trHeight w:val="227"/>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6DD3D01" w14:textId="77777777" w:rsidR="00034784" w:rsidRPr="00B25EA5" w:rsidRDefault="00034784" w:rsidP="00072476">
            <w:pPr>
              <w:spacing w:after="0" w:line="240" w:lineRule="auto"/>
              <w:rPr>
                <w:rFonts w:eastAsia="Times New Roman" w:cs="Calibri"/>
                <w:color w:val="000000"/>
                <w:sz w:val="20"/>
                <w:szCs w:val="20"/>
                <w:lang w:eastAsia="hr-HR"/>
              </w:rPr>
            </w:pPr>
            <w:r w:rsidRPr="00B25EA5">
              <w:rPr>
                <w:rFonts w:eastAsia="Times New Roman" w:cs="Calibri"/>
                <w:color w:val="000000"/>
                <w:sz w:val="20"/>
                <w:szCs w:val="20"/>
                <w:lang w:eastAsia="hr-HR"/>
              </w:rPr>
              <w:t>Lekenik - Lužani</w:t>
            </w:r>
          </w:p>
        </w:tc>
        <w:tc>
          <w:tcPr>
            <w:tcW w:w="2520" w:type="dxa"/>
            <w:tcBorders>
              <w:top w:val="nil"/>
              <w:left w:val="nil"/>
              <w:bottom w:val="single" w:sz="4" w:space="0" w:color="auto"/>
              <w:right w:val="single" w:sz="4" w:space="0" w:color="auto"/>
            </w:tcBorders>
            <w:shd w:val="clear" w:color="auto" w:fill="auto"/>
            <w:vAlign w:val="center"/>
            <w:hideMark/>
          </w:tcPr>
          <w:p w14:paraId="107A0517"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CSGI_28</w:t>
            </w:r>
          </w:p>
        </w:tc>
        <w:tc>
          <w:tcPr>
            <w:tcW w:w="2520" w:type="dxa"/>
            <w:tcBorders>
              <w:top w:val="nil"/>
              <w:left w:val="nil"/>
              <w:bottom w:val="single" w:sz="4" w:space="0" w:color="auto"/>
              <w:right w:val="single" w:sz="4" w:space="0" w:color="auto"/>
            </w:tcBorders>
            <w:shd w:val="clear" w:color="auto" w:fill="auto"/>
            <w:vAlign w:val="center"/>
            <w:hideMark/>
          </w:tcPr>
          <w:p w14:paraId="3421FFE6"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dobro</w:t>
            </w:r>
          </w:p>
        </w:tc>
        <w:tc>
          <w:tcPr>
            <w:tcW w:w="1880" w:type="dxa"/>
            <w:tcBorders>
              <w:top w:val="nil"/>
              <w:left w:val="nil"/>
              <w:bottom w:val="single" w:sz="4" w:space="0" w:color="auto"/>
              <w:right w:val="single" w:sz="4" w:space="0" w:color="auto"/>
            </w:tcBorders>
            <w:shd w:val="clear" w:color="auto" w:fill="auto"/>
            <w:vAlign w:val="center"/>
            <w:hideMark/>
          </w:tcPr>
          <w:p w14:paraId="1762EB68"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 xml:space="preserve">dobro </w:t>
            </w:r>
          </w:p>
        </w:tc>
      </w:tr>
      <w:tr w:rsidR="00034784" w:rsidRPr="00547C00" w14:paraId="1DCDE394" w14:textId="77777777" w:rsidTr="00072476">
        <w:trPr>
          <w:trHeight w:val="227"/>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04E5E4B" w14:textId="77777777" w:rsidR="00034784" w:rsidRPr="00B25EA5" w:rsidRDefault="00034784" w:rsidP="00072476">
            <w:pPr>
              <w:spacing w:after="0" w:line="240" w:lineRule="auto"/>
              <w:rPr>
                <w:rFonts w:eastAsia="Times New Roman" w:cs="Calibri"/>
                <w:color w:val="000000"/>
                <w:sz w:val="20"/>
                <w:szCs w:val="20"/>
                <w:lang w:eastAsia="hr-HR"/>
              </w:rPr>
            </w:pPr>
            <w:r w:rsidRPr="00B25EA5">
              <w:rPr>
                <w:rFonts w:eastAsia="Times New Roman" w:cs="Calibri"/>
                <w:color w:val="000000"/>
                <w:sz w:val="20"/>
                <w:szCs w:val="20"/>
                <w:lang w:eastAsia="hr-HR"/>
              </w:rPr>
              <w:t>Kupa</w:t>
            </w:r>
          </w:p>
        </w:tc>
        <w:tc>
          <w:tcPr>
            <w:tcW w:w="2520" w:type="dxa"/>
            <w:tcBorders>
              <w:top w:val="nil"/>
              <w:left w:val="nil"/>
              <w:bottom w:val="single" w:sz="4" w:space="0" w:color="auto"/>
              <w:right w:val="single" w:sz="4" w:space="0" w:color="auto"/>
            </w:tcBorders>
            <w:shd w:val="clear" w:color="auto" w:fill="auto"/>
            <w:vAlign w:val="center"/>
            <w:hideMark/>
          </w:tcPr>
          <w:p w14:paraId="3984513E"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CSGI_31</w:t>
            </w:r>
          </w:p>
        </w:tc>
        <w:tc>
          <w:tcPr>
            <w:tcW w:w="2520" w:type="dxa"/>
            <w:tcBorders>
              <w:top w:val="nil"/>
              <w:left w:val="nil"/>
              <w:bottom w:val="single" w:sz="4" w:space="0" w:color="auto"/>
              <w:right w:val="single" w:sz="4" w:space="0" w:color="auto"/>
            </w:tcBorders>
            <w:shd w:val="clear" w:color="auto" w:fill="auto"/>
            <w:vAlign w:val="center"/>
            <w:hideMark/>
          </w:tcPr>
          <w:p w14:paraId="242D83E1"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dobro</w:t>
            </w:r>
          </w:p>
        </w:tc>
        <w:tc>
          <w:tcPr>
            <w:tcW w:w="1880" w:type="dxa"/>
            <w:tcBorders>
              <w:top w:val="nil"/>
              <w:left w:val="nil"/>
              <w:bottom w:val="single" w:sz="4" w:space="0" w:color="auto"/>
              <w:right w:val="single" w:sz="4" w:space="0" w:color="auto"/>
            </w:tcBorders>
            <w:shd w:val="clear" w:color="auto" w:fill="auto"/>
            <w:vAlign w:val="center"/>
            <w:hideMark/>
          </w:tcPr>
          <w:p w14:paraId="012905BD"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 xml:space="preserve">dobro </w:t>
            </w:r>
          </w:p>
        </w:tc>
      </w:tr>
      <w:tr w:rsidR="00034784" w:rsidRPr="00547C00" w14:paraId="0DAEECD7" w14:textId="77777777" w:rsidTr="00072476">
        <w:trPr>
          <w:trHeight w:val="227"/>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EA055EB" w14:textId="77777777" w:rsidR="00034784" w:rsidRPr="00B25EA5" w:rsidRDefault="00034784" w:rsidP="00072476">
            <w:pPr>
              <w:spacing w:after="0" w:line="240" w:lineRule="auto"/>
              <w:rPr>
                <w:rFonts w:eastAsia="Times New Roman" w:cs="Calibri"/>
                <w:color w:val="000000"/>
                <w:sz w:val="20"/>
                <w:szCs w:val="20"/>
                <w:lang w:eastAsia="hr-HR"/>
              </w:rPr>
            </w:pPr>
            <w:r w:rsidRPr="00B25EA5">
              <w:rPr>
                <w:rFonts w:eastAsia="Times New Roman" w:cs="Calibri"/>
                <w:color w:val="000000"/>
                <w:sz w:val="20"/>
                <w:szCs w:val="20"/>
                <w:lang w:eastAsia="hr-HR"/>
              </w:rPr>
              <w:t>Sliv Lonja - Ilova - Pakra</w:t>
            </w:r>
          </w:p>
        </w:tc>
        <w:tc>
          <w:tcPr>
            <w:tcW w:w="2520" w:type="dxa"/>
            <w:tcBorders>
              <w:top w:val="nil"/>
              <w:left w:val="nil"/>
              <w:bottom w:val="single" w:sz="4" w:space="0" w:color="auto"/>
              <w:right w:val="single" w:sz="4" w:space="0" w:color="auto"/>
            </w:tcBorders>
            <w:shd w:val="clear" w:color="auto" w:fill="auto"/>
            <w:vAlign w:val="center"/>
            <w:hideMark/>
          </w:tcPr>
          <w:p w14:paraId="680D03B4"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CSGI_25</w:t>
            </w:r>
          </w:p>
        </w:tc>
        <w:tc>
          <w:tcPr>
            <w:tcW w:w="2520" w:type="dxa"/>
            <w:tcBorders>
              <w:top w:val="nil"/>
              <w:left w:val="nil"/>
              <w:bottom w:val="single" w:sz="4" w:space="0" w:color="auto"/>
              <w:right w:val="single" w:sz="4" w:space="0" w:color="auto"/>
            </w:tcBorders>
            <w:shd w:val="clear" w:color="auto" w:fill="auto"/>
            <w:vAlign w:val="center"/>
            <w:hideMark/>
          </w:tcPr>
          <w:p w14:paraId="56540534"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dobro</w:t>
            </w:r>
          </w:p>
        </w:tc>
        <w:tc>
          <w:tcPr>
            <w:tcW w:w="1880" w:type="dxa"/>
            <w:tcBorders>
              <w:top w:val="nil"/>
              <w:left w:val="nil"/>
              <w:bottom w:val="single" w:sz="4" w:space="0" w:color="auto"/>
              <w:right w:val="single" w:sz="4" w:space="0" w:color="auto"/>
            </w:tcBorders>
            <w:shd w:val="clear" w:color="auto" w:fill="auto"/>
            <w:vAlign w:val="center"/>
            <w:hideMark/>
          </w:tcPr>
          <w:p w14:paraId="70587C8C" w14:textId="77777777" w:rsidR="00034784" w:rsidRPr="00B25EA5" w:rsidRDefault="00034784" w:rsidP="00072476">
            <w:pPr>
              <w:spacing w:after="0" w:line="240" w:lineRule="auto"/>
              <w:jc w:val="center"/>
              <w:rPr>
                <w:rFonts w:eastAsia="Times New Roman" w:cs="Calibri"/>
                <w:color w:val="000000"/>
                <w:sz w:val="20"/>
                <w:szCs w:val="20"/>
                <w:lang w:eastAsia="hr-HR"/>
              </w:rPr>
            </w:pPr>
            <w:r w:rsidRPr="00B25EA5">
              <w:rPr>
                <w:rFonts w:eastAsia="Times New Roman" w:cs="Calibri"/>
                <w:color w:val="000000"/>
                <w:sz w:val="20"/>
                <w:szCs w:val="20"/>
                <w:lang w:eastAsia="hr-HR"/>
              </w:rPr>
              <w:t xml:space="preserve">dobro </w:t>
            </w:r>
          </w:p>
        </w:tc>
      </w:tr>
    </w:tbl>
    <w:p w14:paraId="0AC0AFD4" w14:textId="7EA80331" w:rsidR="00034784" w:rsidRDefault="00034784" w:rsidP="00034784">
      <w:pPr>
        <w:spacing w:before="240" w:line="240" w:lineRule="auto"/>
        <w:jc w:val="both"/>
        <w:rPr>
          <w:rFonts w:cs="Calibri"/>
        </w:rPr>
      </w:pPr>
      <w:r w:rsidRPr="00547C00">
        <w:rPr>
          <w:rFonts w:cs="Calibri"/>
        </w:rPr>
        <w:t xml:space="preserve">Grupirano tijelo podzemnih voda Zagreb, unutar kojeg se nalaze 23 osnovna tijela podzemnih voda, nalazi se u dobrom kemijskom i količinskom stanju. Od navedena 23 osnovna tijela podzemnih voda, samo jedno, koje pokriva svega 2,6% površine ukupnog grupiranog tijela, nije u zadovoljavajućem kemijskom stanju. Sva ostala osnovna tijela podzemnih voda su u dobrom kemijskom i količinskom stanju. </w:t>
      </w:r>
    </w:p>
    <w:p w14:paraId="1D260294" w14:textId="31711637" w:rsidR="00034784" w:rsidRDefault="00034784" w:rsidP="00034784">
      <w:pPr>
        <w:spacing w:before="240" w:line="240" w:lineRule="auto"/>
        <w:jc w:val="both"/>
        <w:rPr>
          <w:rFonts w:cs="Calibri"/>
        </w:rPr>
      </w:pPr>
      <w:r>
        <w:rPr>
          <w:rFonts w:cs="Calibri"/>
        </w:rPr>
        <w:t xml:space="preserve">Voda se dorađuje samo na crpilištu Petruševec, uređajem za uklanjanje mangana. Na crpilištu Sašnak je aktiviran uređaj za uklanjanje kloriranih ugljikovodika s tehnologijom filtriranja preko aktivnog ugljenja. Koncentracija mangana do danas pala je ispod dozvoljenih granica. </w:t>
      </w:r>
    </w:p>
    <w:p w14:paraId="563DA1D6" w14:textId="77777777" w:rsidR="00034784" w:rsidRPr="006A40A3" w:rsidRDefault="00034784" w:rsidP="00034784">
      <w:pPr>
        <w:spacing w:after="0" w:line="240" w:lineRule="auto"/>
        <w:jc w:val="both"/>
        <w:rPr>
          <w:rFonts w:cstheme="minorHAnsi"/>
        </w:rPr>
      </w:pPr>
      <w:r w:rsidRPr="000F0FDA">
        <w:rPr>
          <w:rFonts w:cstheme="minorHAnsi"/>
        </w:rPr>
        <w:t xml:space="preserve">Zone sanitarne zaštite izvorišta (I.,II.,III.), s mjerama zaštite i sanacije, određene su Odlukom o zaštiti izvorišta Stara Loza, Sašnjak, Žitnjak, Petruševec, Zapruđe, Mala Mlaka (SGGZ 21/14 i 12/16; dalje u tekstu Odluka) čiji je sastavni dio i Program mjera sanacije unutar zona sanitarne zaštite izvorišta za postojeće građevine i postojeće djelatnosti. </w:t>
      </w:r>
      <w:r w:rsidRPr="000F0FDA">
        <w:rPr>
          <w:rFonts w:eastAsia="Times New Roman" w:cstheme="minorHAnsi"/>
          <w:lang w:eastAsia="hr-HR"/>
        </w:rPr>
        <w:t xml:space="preserve">U cilju realizacija mjera i aktivnosti predviđenih </w:t>
      </w:r>
      <w:r w:rsidRPr="000F0FDA">
        <w:rPr>
          <w:rFonts w:cstheme="minorHAnsi"/>
        </w:rPr>
        <w:t>Programom tijekom ukupnog</w:t>
      </w:r>
      <w:r w:rsidRPr="000F0FDA">
        <w:rPr>
          <w:rFonts w:eastAsia="Times New Roman" w:cstheme="minorHAnsi"/>
          <w:lang w:eastAsia="hr-HR"/>
        </w:rPr>
        <w:t xml:space="preserve"> programskom razdoblja  od 2016. do 2019. godine, na području II i III zone sanitarne zaštite </w:t>
      </w:r>
      <w:r w:rsidRPr="004307A5">
        <w:rPr>
          <w:rFonts w:eastAsia="Times New Roman" w:cstheme="minorHAnsi"/>
          <w:lang w:eastAsia="hr-HR"/>
        </w:rPr>
        <w:t xml:space="preserve"> </w:t>
      </w:r>
      <w:r>
        <w:rPr>
          <w:rFonts w:eastAsia="Times New Roman" w:cstheme="minorHAnsi"/>
          <w:lang w:eastAsia="hr-HR"/>
        </w:rPr>
        <w:t xml:space="preserve">provedeni su </w:t>
      </w:r>
      <w:r w:rsidRPr="006A40A3">
        <w:rPr>
          <w:rFonts w:eastAsia="Times New Roman" w:cstheme="minorHAnsi"/>
          <w:lang w:eastAsia="hr-HR"/>
        </w:rPr>
        <w:t>s</w:t>
      </w:r>
      <w:r w:rsidRPr="0045724E">
        <w:rPr>
          <w:lang w:eastAsia="hr-HR"/>
        </w:rPr>
        <w:t>anacijski zahvati na lokacijama onečišćenih otpadom</w:t>
      </w:r>
      <w:r w:rsidRPr="006A40A3">
        <w:rPr>
          <w:rFonts w:eastAsia="Times New Roman" w:cs="Calibri"/>
          <w:lang w:eastAsia="hr-HR"/>
        </w:rPr>
        <w:t xml:space="preserve"> </w:t>
      </w:r>
      <w:r w:rsidRPr="006A40A3">
        <w:rPr>
          <w:rFonts w:eastAsia="Times New Roman" w:cstheme="minorHAnsi"/>
          <w:lang w:eastAsia="hr-HR"/>
        </w:rPr>
        <w:t>,</w:t>
      </w:r>
      <w:r w:rsidRPr="0045724E">
        <w:rPr>
          <w:color w:val="000000"/>
          <w:lang w:eastAsia="hr-HR"/>
        </w:rPr>
        <w:t>edukacija građana o ekonomičnoj potrošnji vode</w:t>
      </w:r>
      <w:r w:rsidRPr="0045724E">
        <w:rPr>
          <w:lang w:eastAsia="hr-HR"/>
        </w:rPr>
        <w:t xml:space="preserve"> te o pravilnom postupanju s otpadom i štetnosti divljih odlagališta otpada kao i edukacija</w:t>
      </w:r>
      <w:r w:rsidRPr="0045724E">
        <w:rPr>
          <w:color w:val="000000"/>
          <w:lang w:eastAsia="hr-HR"/>
        </w:rPr>
        <w:t xml:space="preserve"> poljoprivrednih proizvođača o sigurnom rukovanju pesticidima i pravilnoj primjeni pesticida.</w:t>
      </w:r>
    </w:p>
    <w:p w14:paraId="15765FD1" w14:textId="77777777" w:rsidR="00034784" w:rsidRDefault="00034784" w:rsidP="00034784">
      <w:pPr>
        <w:spacing w:after="0" w:line="240" w:lineRule="auto"/>
        <w:jc w:val="both"/>
        <w:rPr>
          <w:rFonts w:eastAsia="Times New Roman" w:cstheme="minorHAnsi"/>
          <w:lang w:eastAsia="hr-HR"/>
        </w:rPr>
      </w:pPr>
      <w:r w:rsidRPr="0045724E">
        <w:rPr>
          <w:color w:val="000000"/>
          <w:lang w:eastAsia="hr-HR"/>
        </w:rPr>
        <w:t xml:space="preserve">Također, provedeni su i dodatni istražni radovi kao i mjere </w:t>
      </w:r>
      <w:r w:rsidRPr="006A40A3">
        <w:rPr>
          <w:rFonts w:eastAsia="Times New Roman" w:cstheme="minorHAnsi"/>
          <w:lang w:eastAsia="hr-HR"/>
        </w:rPr>
        <w:t>izg</w:t>
      </w:r>
      <w:r>
        <w:rPr>
          <w:rFonts w:eastAsia="Times New Roman" w:cstheme="minorHAnsi"/>
          <w:lang w:eastAsia="hr-HR"/>
        </w:rPr>
        <w:t>radnje i rekonstrukcije komunalne infrastrukture i toplinske mreže.</w:t>
      </w:r>
    </w:p>
    <w:p w14:paraId="79469CEE" w14:textId="77777777" w:rsidR="00034784" w:rsidRPr="00A22A3E" w:rsidRDefault="00034784" w:rsidP="00034784">
      <w:pPr>
        <w:spacing w:after="0" w:line="240" w:lineRule="auto"/>
        <w:jc w:val="both"/>
        <w:rPr>
          <w:rFonts w:eastAsia="Times New Roman" w:cs="Calibri"/>
          <w:color w:val="000000"/>
          <w:lang w:eastAsia="en-GB"/>
        </w:rPr>
      </w:pPr>
      <w:r w:rsidRPr="00A22A3E">
        <w:rPr>
          <w:rFonts w:cs="Calibri"/>
        </w:rPr>
        <w:t xml:space="preserve">U cilju utvrđivanja potencijalnog utjecaja onečišćenja jezera Savica gudronom na podzemne vode priljevnog područja izvorišta Petruševec potrebna je izrada programa vodoistražnih radova čiji bi rezultati trebali predložiti </w:t>
      </w:r>
      <w:r w:rsidRPr="00A22A3E">
        <w:rPr>
          <w:rFonts w:eastAsia="Times New Roman" w:cs="Calibri"/>
          <w:color w:val="000000"/>
          <w:lang w:eastAsia="en-GB"/>
        </w:rPr>
        <w:t>rješenja sanacije onečišćenja gudronom, ako se pokaže da je sanacija potrebna i moguća, bez da se dodatno ugrozi kakvoća podzemne vode priljevnog područja izvorišta Petruševec.</w:t>
      </w:r>
    </w:p>
    <w:p w14:paraId="702006C9" w14:textId="77777777" w:rsidR="00034784" w:rsidRPr="001671FD" w:rsidRDefault="00034784" w:rsidP="00034784">
      <w:pPr>
        <w:shd w:val="clear" w:color="auto" w:fill="FFFFFF"/>
        <w:autoSpaceDN w:val="0"/>
        <w:spacing w:before="240" w:after="240" w:line="240" w:lineRule="auto"/>
        <w:jc w:val="both"/>
        <w:rPr>
          <w:rFonts w:eastAsia="Times New Roman" w:cstheme="minorHAnsi"/>
          <w:lang w:eastAsia="en-GB"/>
        </w:rPr>
      </w:pPr>
      <w:r>
        <w:rPr>
          <w:rFonts w:cs="Calibri"/>
        </w:rPr>
        <w:t xml:space="preserve">Zbog degradacije postojećeg korita rijeke Save na području Grada Zagreba, koje se ogleda u izuzetno velikom produbljenju dna rijeke pojavili su se nepovoljni utjecaji na stanje vodnog režima površinskih i podzemnih voda, te uvjete zahvaćanja vode iz Save i podzemnih voda kao i na sustav obrane od poplava. Posljedice produbljenja uzrokuju snižavanje vodnih razina, urušavanje obala i sl., a rezultat toga su nepovoljni utjecaji po okoliš (posebno sniženje vodnih razina podzemnih voda). </w:t>
      </w:r>
      <w:r w:rsidRPr="001671FD">
        <w:rPr>
          <w:rFonts w:eastAsia="Times New Roman" w:cstheme="minorHAnsi"/>
          <w:lang w:eastAsia="en-GB"/>
        </w:rPr>
        <w:t xml:space="preserve">Obzirom na donošenje Zakona o vodama i Zakona o vodim uslugama u 2019. godini, kojima je osiguran pravni okvir za provedbu cjelovite vodnokomunalne reforme u narednom razdoblju za očekivati je donošenje novih ili usklađivanje postojećih vodnih provedbenih propisa s novim zakonodavnim okvirom te pratećim planskim dokumentima i metodologijama iz područja upravljanja vodama. Obvezujuća primjena načela kombiniranog pristupa za sva vodna tijela površinskih </w:t>
      </w:r>
      <w:r>
        <w:rPr>
          <w:rFonts w:eastAsia="Times New Roman" w:cstheme="minorHAnsi"/>
          <w:lang w:eastAsia="en-GB"/>
        </w:rPr>
        <w:t xml:space="preserve">i </w:t>
      </w:r>
      <w:r w:rsidRPr="001671FD">
        <w:rPr>
          <w:rFonts w:eastAsia="Times New Roman" w:cstheme="minorHAnsi"/>
          <w:lang w:eastAsia="en-GB"/>
        </w:rPr>
        <w:t>podzemnih voda, koji podrazumijeva smanjenje onečišćenja voda iz točkastih I raspršenih izvora izravno doprinosi postizanju ciljeva zaštite vodnog okoliša.</w:t>
      </w:r>
    </w:p>
    <w:tbl>
      <w:tblPr>
        <w:tblW w:w="5000" w:type="pct"/>
        <w:shd w:val="clear" w:color="auto" w:fill="CCCCCC"/>
        <w:tblLook w:val="01E0" w:firstRow="1" w:lastRow="1" w:firstColumn="1" w:lastColumn="1" w:noHBand="0" w:noVBand="0"/>
      </w:tblPr>
      <w:tblGrid>
        <w:gridCol w:w="4536"/>
        <w:gridCol w:w="4536"/>
      </w:tblGrid>
      <w:tr w:rsidR="00034784" w:rsidRPr="00547C00" w14:paraId="20B0DC31" w14:textId="77777777" w:rsidTr="00072476">
        <w:tc>
          <w:tcPr>
            <w:tcW w:w="2500" w:type="pct"/>
            <w:shd w:val="clear" w:color="auto" w:fill="CCCCCC"/>
            <w:vAlign w:val="center"/>
            <w:hideMark/>
          </w:tcPr>
          <w:p w14:paraId="4A4F3C77" w14:textId="77777777" w:rsidR="00034784" w:rsidRPr="00CD2299" w:rsidRDefault="00034784" w:rsidP="00072476">
            <w:pPr>
              <w:spacing w:before="60" w:after="60" w:line="240" w:lineRule="auto"/>
              <w:jc w:val="both"/>
              <w:rPr>
                <w:rFonts w:eastAsia="Times New Roman" w:cs="Calibri"/>
                <w:b/>
                <w:sz w:val="18"/>
              </w:rPr>
            </w:pPr>
            <w:r w:rsidRPr="00CD2299">
              <w:rPr>
                <w:rFonts w:eastAsia="Times New Roman" w:cs="Calibri"/>
                <w:b/>
                <w:sz w:val="18"/>
              </w:rPr>
              <w:t>RAZVOJNI PROBLEMI</w:t>
            </w:r>
          </w:p>
        </w:tc>
        <w:tc>
          <w:tcPr>
            <w:tcW w:w="2500" w:type="pct"/>
            <w:shd w:val="clear" w:color="auto" w:fill="99CCFF"/>
            <w:vAlign w:val="center"/>
            <w:hideMark/>
          </w:tcPr>
          <w:p w14:paraId="5CCF8868" w14:textId="77777777" w:rsidR="00034784" w:rsidRPr="00CD2299" w:rsidRDefault="00034784" w:rsidP="00072476">
            <w:pPr>
              <w:spacing w:before="60" w:after="60" w:line="240" w:lineRule="auto"/>
              <w:jc w:val="both"/>
              <w:rPr>
                <w:rFonts w:eastAsia="Times New Roman" w:cs="Calibri"/>
                <w:b/>
                <w:sz w:val="18"/>
              </w:rPr>
            </w:pPr>
            <w:r w:rsidRPr="00CD2299">
              <w:rPr>
                <w:rFonts w:eastAsia="Times New Roman" w:cs="Calibri"/>
                <w:b/>
                <w:sz w:val="18"/>
              </w:rPr>
              <w:t>RAZVOJNE POTREBE</w:t>
            </w:r>
          </w:p>
        </w:tc>
      </w:tr>
      <w:tr w:rsidR="00034784" w:rsidRPr="00547C00" w14:paraId="613F6A6C" w14:textId="77777777" w:rsidTr="00072476">
        <w:tc>
          <w:tcPr>
            <w:tcW w:w="2500" w:type="pct"/>
            <w:shd w:val="clear" w:color="auto" w:fill="CCCCCC"/>
            <w:hideMark/>
          </w:tcPr>
          <w:p w14:paraId="3BFC188C"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lang w:eastAsia="hr-HR"/>
              </w:rPr>
            </w:pPr>
            <w:r w:rsidRPr="00CD2299">
              <w:rPr>
                <w:rFonts w:eastAsia="Times New Roman" w:cs="Calibri"/>
                <w:sz w:val="18"/>
              </w:rPr>
              <w:t>potencijalno onečišćenje podzemnih voda</w:t>
            </w:r>
          </w:p>
          <w:p w14:paraId="5146770B"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produbljenje dna rijeke Save i trend sniženja vodostaja</w:t>
            </w:r>
          </w:p>
          <w:p w14:paraId="1751C614"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nepročišćene tehnološke otpadne vode ispuštaju se u prirodne prijemnike na područjima na kojima nema sustava javne odvodnje.</w:t>
            </w:r>
          </w:p>
          <w:p w14:paraId="3728A204" w14:textId="77777777" w:rsidR="00034784"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ne prate se mjere i rezultati koje gospodarstvo uvodi u cilju unapređivanja tehnologija</w:t>
            </w:r>
          </w:p>
          <w:p w14:paraId="2CDC4880" w14:textId="77777777" w:rsidR="00034784" w:rsidRPr="00E919BC" w:rsidRDefault="00034784" w:rsidP="00165C16">
            <w:pPr>
              <w:numPr>
                <w:ilvl w:val="0"/>
                <w:numId w:val="1"/>
              </w:numPr>
              <w:tabs>
                <w:tab w:val="num" w:pos="284"/>
              </w:tabs>
              <w:spacing w:before="60" w:after="60" w:line="240" w:lineRule="auto"/>
              <w:ind w:left="284" w:right="-2" w:hanging="284"/>
              <w:rPr>
                <w:rFonts w:eastAsia="Times New Roman" w:cs="Calibri"/>
                <w:sz w:val="18"/>
              </w:rPr>
            </w:pPr>
            <w:bookmarkStart w:id="129" w:name="_Hlk54860679"/>
            <w:r w:rsidRPr="00E919BC">
              <w:rPr>
                <w:rFonts w:eastAsia="Times New Roman" w:cs="Calibri"/>
                <w:sz w:val="18"/>
              </w:rPr>
              <w:t>potencijalni utjecaj onečišćenja jezera Savica gudronom na podzemne vode priljevnog područja izvorišta Petruševec</w:t>
            </w:r>
          </w:p>
          <w:bookmarkEnd w:id="129"/>
          <w:p w14:paraId="19D61033" w14:textId="77777777" w:rsidR="00034784" w:rsidRPr="00CD2299" w:rsidRDefault="00034784" w:rsidP="00072476">
            <w:pPr>
              <w:spacing w:before="60" w:after="60" w:line="240" w:lineRule="auto"/>
              <w:ind w:left="284" w:right="-2"/>
              <w:rPr>
                <w:rFonts w:eastAsia="Times New Roman" w:cs="Calibri"/>
                <w:sz w:val="18"/>
              </w:rPr>
            </w:pPr>
          </w:p>
        </w:tc>
        <w:tc>
          <w:tcPr>
            <w:tcW w:w="2500" w:type="pct"/>
            <w:shd w:val="clear" w:color="auto" w:fill="99CCFF"/>
            <w:hideMark/>
          </w:tcPr>
          <w:p w14:paraId="443822C2" w14:textId="77777777" w:rsidR="00034784" w:rsidRDefault="00034784" w:rsidP="00165C16">
            <w:pPr>
              <w:numPr>
                <w:ilvl w:val="0"/>
                <w:numId w:val="1"/>
              </w:numPr>
              <w:tabs>
                <w:tab w:val="num" w:pos="284"/>
              </w:tabs>
              <w:spacing w:before="60" w:after="60" w:line="240" w:lineRule="auto"/>
              <w:ind w:left="284" w:right="-2" w:hanging="284"/>
              <w:rPr>
                <w:rFonts w:eastAsia="Times New Roman" w:cs="Calibri"/>
                <w:sz w:val="18"/>
                <w:lang w:eastAsia="hr-HR"/>
              </w:rPr>
            </w:pPr>
            <w:r>
              <w:rPr>
                <w:rFonts w:eastAsia="Times New Roman" w:cs="Calibri"/>
                <w:sz w:val="18"/>
              </w:rPr>
              <w:t>postizanje i očuvanje dobrog stanja voda</w:t>
            </w:r>
          </w:p>
          <w:p w14:paraId="389A4917"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lang w:eastAsia="hr-HR"/>
              </w:rPr>
            </w:pPr>
            <w:r w:rsidRPr="00CD2299">
              <w:rPr>
                <w:rFonts w:eastAsia="Times New Roman" w:cs="Calibri"/>
                <w:sz w:val="18"/>
              </w:rPr>
              <w:t xml:space="preserve"> saniranje ili uklanjanje izvora onečišćenja, pojačani nadzor</w:t>
            </w:r>
          </w:p>
          <w:p w14:paraId="11F2BE51" w14:textId="724557D4" w:rsidR="00034784" w:rsidRDefault="00D66A6E" w:rsidP="00165C16">
            <w:pPr>
              <w:numPr>
                <w:ilvl w:val="0"/>
                <w:numId w:val="1"/>
              </w:numPr>
              <w:tabs>
                <w:tab w:val="num" w:pos="284"/>
              </w:tabs>
              <w:spacing w:before="60" w:after="60" w:line="240" w:lineRule="auto"/>
              <w:ind w:left="284" w:right="-2" w:hanging="284"/>
              <w:rPr>
                <w:rFonts w:eastAsia="Times New Roman" w:cs="Calibri"/>
                <w:sz w:val="18"/>
              </w:rPr>
            </w:pPr>
            <w:r>
              <w:rPr>
                <w:rFonts w:eastAsia="Times New Roman" w:cs="Calibri"/>
                <w:sz w:val="18"/>
              </w:rPr>
              <w:t>D</w:t>
            </w:r>
            <w:r w:rsidR="00034784">
              <w:rPr>
                <w:rFonts w:eastAsia="Times New Roman" w:cs="Calibri"/>
                <w:sz w:val="18"/>
              </w:rPr>
              <w:t>ogradnj</w:t>
            </w:r>
            <w:r>
              <w:rPr>
                <w:rFonts w:eastAsia="Times New Roman" w:cs="Calibri"/>
                <w:sz w:val="18"/>
              </w:rPr>
              <w:t>a?</w:t>
            </w:r>
            <w:r w:rsidR="00034784">
              <w:rPr>
                <w:rFonts w:eastAsia="Times New Roman" w:cs="Calibri"/>
                <w:sz w:val="18"/>
              </w:rPr>
              <w:t xml:space="preserve"> CUPOVZ-a na III.stupanj pročišćavanja, </w:t>
            </w:r>
            <w:r w:rsidR="00034784" w:rsidRPr="00CD2299">
              <w:rPr>
                <w:rFonts w:eastAsia="Times New Roman" w:cs="Calibri"/>
                <w:sz w:val="18"/>
              </w:rPr>
              <w:t>intervencije kojima će se stabilizirati riječno dno, podići vodostaj Save te time omogućiti bolje prihrana vodocrpilišta i jezera i povećati sigurnost nizvodne dionice Save od poplava</w:t>
            </w:r>
          </w:p>
          <w:p w14:paraId="287BDD6E"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Pr>
                <w:rFonts w:eastAsia="Times New Roman" w:cs="Calibri"/>
                <w:sz w:val="18"/>
              </w:rPr>
              <w:t>nastavak aktivnosti vezanih uz praćenje kakvoće vode namijenjene ljudskoj potrošnji - Monitoring</w:t>
            </w:r>
          </w:p>
          <w:p w14:paraId="32EA7AB0"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zabrana gradnje na područjima na kojima se ugrožava kakvoća voda izvorišta i podzemnih voda koje se koriste ili planiraju koristiti za vodoopskrbu</w:t>
            </w:r>
          </w:p>
          <w:p w14:paraId="68716E7A"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 xml:space="preserve">zabrana eksploatacije šljunka </w:t>
            </w:r>
          </w:p>
          <w:p w14:paraId="62A83588" w14:textId="6B788C34"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korištenje plina i/ili drugih alternativnih izvora kao energenta za zagrijavanje na području Grada, a posebno na priljevnim područjima crpilišta</w:t>
            </w:r>
          </w:p>
          <w:p w14:paraId="6A1A7BDE"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Pr>
                <w:rFonts w:eastAsia="Times New Roman" w:cs="Calibri"/>
                <w:sz w:val="18"/>
              </w:rPr>
              <w:t>smanjenje onečišćenja voda iz točkastih i raspršenih izvora – primjena kombiniranog pristupa</w:t>
            </w:r>
          </w:p>
          <w:p w14:paraId="150EEF35" w14:textId="77777777" w:rsidR="00034784" w:rsidRDefault="00034784" w:rsidP="00165C16">
            <w:pPr>
              <w:numPr>
                <w:ilvl w:val="0"/>
                <w:numId w:val="1"/>
              </w:numPr>
              <w:tabs>
                <w:tab w:val="num" w:pos="284"/>
              </w:tabs>
              <w:spacing w:before="60" w:after="60" w:line="240" w:lineRule="auto"/>
              <w:ind w:left="284" w:right="-2" w:hanging="284"/>
              <w:rPr>
                <w:rFonts w:eastAsia="Times New Roman" w:cs="Calibri"/>
                <w:sz w:val="18"/>
              </w:rPr>
            </w:pPr>
            <w:r>
              <w:rPr>
                <w:rFonts w:eastAsia="Times New Roman" w:cs="Calibri"/>
                <w:sz w:val="18"/>
              </w:rPr>
              <w:t>nastavak edukativnih aktivnosti za građane i poljoprivredne proizvođače</w:t>
            </w:r>
          </w:p>
          <w:p w14:paraId="78FB8BE2" w14:textId="77777777" w:rsidR="00034784" w:rsidRPr="004307A5" w:rsidRDefault="00034784" w:rsidP="00165C16">
            <w:pPr>
              <w:numPr>
                <w:ilvl w:val="0"/>
                <w:numId w:val="1"/>
              </w:numPr>
              <w:tabs>
                <w:tab w:val="num" w:pos="284"/>
              </w:tabs>
              <w:spacing w:before="60" w:after="60" w:line="240" w:lineRule="auto"/>
              <w:ind w:left="284" w:right="-2" w:hanging="284"/>
              <w:rPr>
                <w:rFonts w:eastAsia="Times New Roman" w:cs="Calibri"/>
                <w:sz w:val="18"/>
              </w:rPr>
            </w:pPr>
            <w:r>
              <w:rPr>
                <w:rFonts w:eastAsia="Times New Roman" w:cs="Calibri"/>
                <w:sz w:val="18"/>
              </w:rPr>
              <w:t xml:space="preserve">promocija ponovne upotrebe vode (water reuse) i korištenja vode iz sustava javne odvodnje (tap water) </w:t>
            </w:r>
          </w:p>
          <w:p w14:paraId="65324FD1"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zamjena konvencionalne poljoprivredne proizvodnje ekološkom</w:t>
            </w:r>
          </w:p>
          <w:p w14:paraId="562CE25C" w14:textId="77777777" w:rsidR="00034784" w:rsidRDefault="00034784" w:rsidP="00165C16">
            <w:pPr>
              <w:numPr>
                <w:ilvl w:val="0"/>
                <w:numId w:val="1"/>
              </w:numPr>
              <w:tabs>
                <w:tab w:val="num" w:pos="284"/>
              </w:tabs>
              <w:spacing w:before="60" w:after="60" w:line="240" w:lineRule="auto"/>
              <w:ind w:left="284" w:right="-2" w:hanging="284"/>
              <w:rPr>
                <w:rFonts w:eastAsia="Times New Roman" w:cs="Calibri"/>
                <w:sz w:val="18"/>
              </w:rPr>
            </w:pPr>
            <w:r w:rsidRPr="00CD2299">
              <w:rPr>
                <w:rFonts w:eastAsia="Times New Roman" w:cs="Calibri"/>
                <w:sz w:val="18"/>
              </w:rPr>
              <w:t>unapređivanje kvalitete podataka što se dostavljaju u Registar onečišćavanja okoliša (ROO)</w:t>
            </w:r>
          </w:p>
          <w:p w14:paraId="12F4D0AC" w14:textId="77777777" w:rsidR="00034784" w:rsidRDefault="00034784" w:rsidP="00165C16">
            <w:pPr>
              <w:numPr>
                <w:ilvl w:val="0"/>
                <w:numId w:val="1"/>
              </w:numPr>
              <w:tabs>
                <w:tab w:val="num" w:pos="284"/>
              </w:tabs>
              <w:spacing w:before="60" w:after="60" w:line="240" w:lineRule="auto"/>
              <w:ind w:left="284" w:right="-2" w:hanging="284"/>
              <w:rPr>
                <w:rFonts w:eastAsia="Times New Roman" w:cs="Calibri"/>
                <w:sz w:val="18"/>
              </w:rPr>
            </w:pPr>
            <w:bookmarkStart w:id="130" w:name="_Hlk54860712"/>
            <w:r w:rsidRPr="009D67FC">
              <w:rPr>
                <w:rFonts w:eastAsia="Times New Roman" w:cs="Calibri"/>
                <w:sz w:val="18"/>
              </w:rPr>
              <w:t>projekt sanacije onečišćenja jezera Savica gudronom</w:t>
            </w:r>
            <w:bookmarkEnd w:id="130"/>
          </w:p>
          <w:p w14:paraId="54F60384" w14:textId="77777777" w:rsidR="00034784" w:rsidRDefault="00034784" w:rsidP="00165C16">
            <w:pPr>
              <w:numPr>
                <w:ilvl w:val="0"/>
                <w:numId w:val="1"/>
              </w:numPr>
              <w:tabs>
                <w:tab w:val="num" w:pos="284"/>
              </w:tabs>
              <w:spacing w:before="60" w:after="60" w:line="240" w:lineRule="auto"/>
              <w:ind w:left="284" w:right="-2" w:hanging="284"/>
              <w:rPr>
                <w:rFonts w:eastAsia="Times New Roman" w:cs="Calibri"/>
                <w:sz w:val="18"/>
              </w:rPr>
            </w:pPr>
            <w:r>
              <w:rPr>
                <w:rFonts w:eastAsia="Times New Roman" w:cs="Calibri"/>
                <w:sz w:val="18"/>
              </w:rPr>
              <w:t>Donošenje nove ili potvrđivanje ( usklađivanje) odluke o zaštiti izvorišta sa zonama sanitarne zaštite i priprema programa mjera zaštite s rokovima za njihovu provedbu</w:t>
            </w:r>
          </w:p>
          <w:p w14:paraId="7CF1BF28" w14:textId="77777777" w:rsidR="00034784" w:rsidRPr="00CD2299" w:rsidRDefault="00034784" w:rsidP="00165C16">
            <w:pPr>
              <w:numPr>
                <w:ilvl w:val="0"/>
                <w:numId w:val="1"/>
              </w:numPr>
              <w:tabs>
                <w:tab w:val="num" w:pos="284"/>
              </w:tabs>
              <w:spacing w:before="60" w:after="60" w:line="240" w:lineRule="auto"/>
              <w:ind w:left="284" w:right="-2" w:hanging="284"/>
              <w:rPr>
                <w:rFonts w:eastAsia="Times New Roman" w:cs="Calibri"/>
                <w:sz w:val="18"/>
              </w:rPr>
            </w:pPr>
            <w:r>
              <w:rPr>
                <w:rFonts w:eastAsia="Times New Roman" w:cs="Calibri"/>
                <w:sz w:val="18"/>
              </w:rPr>
              <w:t>Kontrola i smanjenje raspršenog onečišćenja iz individualnih sustava odvodnje</w:t>
            </w:r>
          </w:p>
        </w:tc>
      </w:tr>
    </w:tbl>
    <w:p w14:paraId="0AEEF0AD" w14:textId="77777777" w:rsidR="00034784" w:rsidRDefault="00034784" w:rsidP="00034784">
      <w:pPr>
        <w:pStyle w:val="Odlomakpopisa"/>
        <w:ind w:left="0"/>
        <w:jc w:val="both"/>
        <w:rPr>
          <w:rFonts w:cs="Calibri"/>
          <w:b/>
          <w:bCs/>
        </w:rPr>
      </w:pPr>
    </w:p>
    <w:p w14:paraId="0B93C5B0" w14:textId="1D0254F1" w:rsidR="00034784" w:rsidRPr="00A33E06" w:rsidRDefault="00034784" w:rsidP="00B8319D">
      <w:pPr>
        <w:pStyle w:val="Stil2"/>
      </w:pPr>
      <w:bookmarkStart w:id="131" w:name="_Toc97123847"/>
      <w:r>
        <w:t>5</w:t>
      </w:r>
      <w:r w:rsidRPr="00A33E06">
        <w:t>.1.3. Zrak</w:t>
      </w:r>
      <w:bookmarkEnd w:id="131"/>
    </w:p>
    <w:p w14:paraId="3F13A430" w14:textId="77777777" w:rsidR="00034784" w:rsidRPr="009D67FC" w:rsidRDefault="00034784" w:rsidP="00034784">
      <w:pPr>
        <w:spacing w:line="240" w:lineRule="auto"/>
        <w:jc w:val="both"/>
      </w:pPr>
      <w:r w:rsidRPr="009D67FC">
        <w:rPr>
          <w:rFonts w:cs="Calibri"/>
          <w:bCs/>
        </w:rPr>
        <w:t xml:space="preserve">Glavni izvori onečišćenja zraka na području Grada Zagreba su – </w:t>
      </w:r>
      <w:r w:rsidRPr="0045724E">
        <w:rPr>
          <w:rFonts w:cs="Calibri"/>
          <w:bCs/>
        </w:rPr>
        <w:t>nepokretni izvori</w:t>
      </w:r>
      <w:r w:rsidRPr="006A40A3">
        <w:rPr>
          <w:rFonts w:cs="Calibri"/>
          <w:bCs/>
        </w:rPr>
        <w:t xml:space="preserve">: </w:t>
      </w:r>
      <w:r w:rsidRPr="006A40A3">
        <w:rPr>
          <w:rFonts w:cs="Calibri"/>
        </w:rPr>
        <w:t xml:space="preserve"> veliki uređaji za loženje; pogoni elektrane-toplane (EL-TO) i termoelektrane (TE-TO), male toplane, postrojenja za grijanje, pripremu pare i tople vode, mala kućna ložišta (osobito na kruta goriva i loživo ulje) te industrijska postrojenja - </w:t>
      </w:r>
      <w:r w:rsidRPr="0045724E">
        <w:t>difuzni izvori</w:t>
      </w:r>
      <w:r w:rsidRPr="006A40A3">
        <w:t xml:space="preserve">: izvori kod kojih se onečišćujuće tvari unose u zrak bez određena ispusta/dimnjaka (aktivna gradilišta, odlagalište otpada, GOK- otvoreni kanal) - </w:t>
      </w:r>
      <w:r w:rsidRPr="0045724E">
        <w:t>pokretni izvori:</w:t>
      </w:r>
      <w:r w:rsidRPr="009D67FC">
        <w:t xml:space="preserve"> cestovni promet motornih vozila. </w:t>
      </w:r>
    </w:p>
    <w:p w14:paraId="6F8EA891" w14:textId="77777777" w:rsidR="00034784" w:rsidRPr="009D67FC" w:rsidRDefault="00034784" w:rsidP="00034784">
      <w:pPr>
        <w:spacing w:line="240" w:lineRule="auto"/>
        <w:jc w:val="both"/>
      </w:pPr>
      <w:r w:rsidRPr="009D67FC">
        <w:t xml:space="preserve">Praćenje kvalitete zraka je kontinuirano i trenutno se obavlja na ukupno 14 mjernih postaja od kojih je 6 </w:t>
      </w:r>
      <w:hyperlink r:id="rId46" w:tgtFrame="_blank" w:history="1">
        <w:r w:rsidRPr="009D67FC">
          <w:rPr>
            <w:rStyle w:val="Hiperveza"/>
          </w:rPr>
          <w:t>gradskih mjernih postaja</w:t>
        </w:r>
      </w:hyperlink>
      <w:r w:rsidRPr="009D67FC">
        <w:t xml:space="preserve"> za trajno praćenje kvalitete zraka, 4 postaja koje su dio </w:t>
      </w:r>
      <w:hyperlink r:id="rId47" w:tgtFrame="_blank" w:history="1">
        <w:r w:rsidRPr="009D67FC">
          <w:rPr>
            <w:rStyle w:val="Hiperveza"/>
          </w:rPr>
          <w:t>državne mreže</w:t>
        </w:r>
      </w:hyperlink>
      <w:r w:rsidRPr="009D67FC">
        <w:t xml:space="preserve"> ili se koriste za njene potrebe i 4 postaja za mjerenja posebne namjene. </w:t>
      </w:r>
    </w:p>
    <w:p w14:paraId="4EE5A86E" w14:textId="77777777" w:rsidR="00034784" w:rsidRPr="009D67FC" w:rsidRDefault="00034784" w:rsidP="00034784">
      <w:pPr>
        <w:spacing w:line="240" w:lineRule="auto"/>
        <w:jc w:val="both"/>
        <w:rPr>
          <w:bCs/>
        </w:rPr>
      </w:pPr>
      <w:r w:rsidRPr="009D67FC">
        <w:t>Rezultati mjerenja, ovisno o godini praćenja, ukazuju na II. kategoriju kvalitete zraka u odnosu na izmjerene koncentracije</w:t>
      </w:r>
      <w:r w:rsidRPr="009D67FC">
        <w:rPr>
          <w:bCs/>
        </w:rPr>
        <w:t xml:space="preserve"> dušikovih oksida (NO</w:t>
      </w:r>
      <w:r w:rsidRPr="009D67FC">
        <w:rPr>
          <w:bCs/>
          <w:vertAlign w:val="subscript"/>
        </w:rPr>
        <w:t>x</w:t>
      </w:r>
      <w:r w:rsidRPr="009D67FC">
        <w:rPr>
          <w:bCs/>
        </w:rPr>
        <w:t>), lebdećih čestica PM</w:t>
      </w:r>
      <w:r w:rsidRPr="009D67FC">
        <w:rPr>
          <w:bCs/>
          <w:vertAlign w:val="subscript"/>
        </w:rPr>
        <w:t>10</w:t>
      </w:r>
      <w:r w:rsidRPr="009D67FC">
        <w:rPr>
          <w:bCs/>
        </w:rPr>
        <w:t xml:space="preserve"> i PM</w:t>
      </w:r>
      <w:r w:rsidRPr="009D67FC">
        <w:rPr>
          <w:bCs/>
          <w:vertAlign w:val="subscript"/>
        </w:rPr>
        <w:t>2.5</w:t>
      </w:r>
      <w:r w:rsidRPr="009D67FC">
        <w:rPr>
          <w:bCs/>
        </w:rPr>
        <w:t>, benzo(a)pirena u PM</w:t>
      </w:r>
      <w:r w:rsidRPr="009D67FC">
        <w:rPr>
          <w:bCs/>
          <w:vertAlign w:val="subscript"/>
        </w:rPr>
        <w:t>10</w:t>
      </w:r>
      <w:r w:rsidRPr="009D67FC">
        <w:rPr>
          <w:bCs/>
        </w:rPr>
        <w:t xml:space="preserve"> i  prizemnog ozona (O</w:t>
      </w:r>
      <w:r w:rsidRPr="009D67FC">
        <w:rPr>
          <w:bCs/>
          <w:vertAlign w:val="subscript"/>
        </w:rPr>
        <w:t>3</w:t>
      </w:r>
      <w:r w:rsidRPr="009D67FC">
        <w:rPr>
          <w:bCs/>
        </w:rPr>
        <w:t>), dok je u odnosu na sve druge onečišćujuće tvari zrak I. kategorije kvalitete</w:t>
      </w:r>
    </w:p>
    <w:p w14:paraId="5B7B5136" w14:textId="77777777" w:rsidR="00034784" w:rsidRPr="009D67FC" w:rsidRDefault="00034784" w:rsidP="00034784">
      <w:pPr>
        <w:autoSpaceDE w:val="0"/>
        <w:autoSpaceDN w:val="0"/>
        <w:adjustRightInd w:val="0"/>
        <w:spacing w:after="0" w:line="240" w:lineRule="auto"/>
        <w:jc w:val="both"/>
        <w:rPr>
          <w:rFonts w:cs="Calibri"/>
        </w:rPr>
      </w:pPr>
      <w:r w:rsidRPr="009D67FC">
        <w:rPr>
          <w:rFonts w:cs="Calibri"/>
        </w:rPr>
        <w:t xml:space="preserve">Kao razlozi prekoračenja graničnih vrijednosti </w:t>
      </w:r>
      <w:r w:rsidRPr="009D67FC">
        <w:rPr>
          <w:rFonts w:cs="Calibri"/>
          <w:b/>
        </w:rPr>
        <w:t>za NO</w:t>
      </w:r>
      <w:r w:rsidRPr="009D67FC">
        <w:rPr>
          <w:rFonts w:cs="Calibri"/>
          <w:b/>
          <w:vertAlign w:val="subscript"/>
        </w:rPr>
        <w:t>2</w:t>
      </w:r>
      <w:r w:rsidRPr="009D67FC">
        <w:rPr>
          <w:rFonts w:cs="Calibri"/>
        </w:rPr>
        <w:t xml:space="preserve"> ističe se</w:t>
      </w:r>
      <w:r w:rsidRPr="009D67FC">
        <w:t xml:space="preserve"> svakodnevna i intenzivna prometna aktivnost</w:t>
      </w:r>
      <w:r w:rsidRPr="009D67FC">
        <w:rPr>
          <w:rFonts w:cs="Calibri"/>
        </w:rPr>
        <w:t xml:space="preserve"> na </w:t>
      </w:r>
      <w:r w:rsidRPr="009D67FC">
        <w:rPr>
          <w:iCs/>
        </w:rPr>
        <w:t xml:space="preserve">avenijama i glavnim gradskim ulicama te </w:t>
      </w:r>
      <w:r w:rsidRPr="009D67FC">
        <w:rPr>
          <w:rFonts w:cs="Calibri"/>
        </w:rPr>
        <w:t xml:space="preserve">lokalna industrija uključujući proizvodnju struje i sektor usluga, </w:t>
      </w:r>
      <w:r w:rsidRPr="009D67FC">
        <w:rPr>
          <w:rFonts w:cs="Calibri"/>
          <w:b/>
        </w:rPr>
        <w:t>za PM₁₀, i B(a)P)</w:t>
      </w:r>
      <w:r w:rsidRPr="009D67FC">
        <w:rPr>
          <w:rFonts w:cs="Calibri"/>
        </w:rPr>
        <w:t xml:space="preserve"> </w:t>
      </w:r>
      <w:r w:rsidRPr="009D67FC">
        <w:rPr>
          <w:rFonts w:cs="Calibri"/>
          <w:b/>
        </w:rPr>
        <w:t>u PM</w:t>
      </w:r>
      <w:r w:rsidRPr="009D67FC">
        <w:rPr>
          <w:rFonts w:cs="Calibri"/>
          <w:b/>
          <w:vertAlign w:val="subscript"/>
        </w:rPr>
        <w:t>10</w:t>
      </w:r>
      <w:r w:rsidRPr="009D67FC">
        <w:rPr>
          <w:rFonts w:cs="Calibri"/>
        </w:rPr>
        <w:t xml:space="preserve"> </w:t>
      </w:r>
      <w:r w:rsidRPr="009D67FC">
        <w:t xml:space="preserve">izgaranje drva kao ogrjevnog goriva u malim kućnim ložištima tijekom sezone grijanja, </w:t>
      </w:r>
      <w:r w:rsidRPr="009D67FC">
        <w:rPr>
          <w:rFonts w:cs="Calibri"/>
        </w:rPr>
        <w:t xml:space="preserve">izgaranje motornih goriva, </w:t>
      </w:r>
      <w:r w:rsidRPr="009D67FC">
        <w:t xml:space="preserve">posljedica trošenja guma i kočnica vozila i abrazije cestovnih površina, građevinski radovi, pozadinsko onečišćenje </w:t>
      </w:r>
      <w:r w:rsidRPr="009D67FC">
        <w:rPr>
          <w:rFonts w:cs="Calibri"/>
        </w:rPr>
        <w:t xml:space="preserve">te prirodni izvori ili prirodni događaji, </w:t>
      </w:r>
      <w:r w:rsidRPr="009D67FC">
        <w:rPr>
          <w:rFonts w:cs="Calibri"/>
          <w:b/>
        </w:rPr>
        <w:t>za prizemni O</w:t>
      </w:r>
      <w:r w:rsidRPr="009D67FC">
        <w:rPr>
          <w:rFonts w:cs="Calibri"/>
          <w:b/>
          <w:vertAlign w:val="subscript"/>
        </w:rPr>
        <w:t>3</w:t>
      </w:r>
      <w:r w:rsidRPr="009D67FC">
        <w:rPr>
          <w:rFonts w:cs="Calibri"/>
        </w:rPr>
        <w:t xml:space="preserve"> nastajanje u </w:t>
      </w:r>
      <w:r w:rsidRPr="009D67FC">
        <w:t>fotokemijskim reakcijama dušikovih oksida i hlapljivih organskih spojeva (HOS) u uvjetima pojačanog UV zračenja, velika migrabilnosti zračnim strujama, relativno dugi životni vijek.</w:t>
      </w:r>
      <w:r w:rsidRPr="009D67FC">
        <w:rPr>
          <w:rFonts w:cs="Calibri"/>
        </w:rPr>
        <w:t xml:space="preserve"> </w:t>
      </w:r>
      <w:r w:rsidRPr="009D67FC">
        <w:t>Zbog toga je prisutnost povišenih koncentracija prizemnog ozona uglavnom posljedica njegovog dolaska iz drugih okolnih regija ili sinteze i razgradnje na područjima u uvjetima gdje postoje „sviježe“ emisije kemijskih prekursora.</w:t>
      </w:r>
    </w:p>
    <w:p w14:paraId="24E768E0" w14:textId="77777777" w:rsidR="00034784" w:rsidRPr="009D67FC" w:rsidRDefault="00034784" w:rsidP="00034784">
      <w:pPr>
        <w:spacing w:line="240" w:lineRule="auto"/>
        <w:jc w:val="both"/>
        <w:rPr>
          <w:szCs w:val="24"/>
        </w:rPr>
      </w:pPr>
      <w:r w:rsidRPr="009D67FC">
        <w:rPr>
          <w:szCs w:val="24"/>
        </w:rPr>
        <w:t>S obzirom na navedena prekoračenja na području Grada Zagreba kontinuirano se provode mjere zaštite zraka čiji se izbor i obuhvat zasnivaju na obvezama iz nacionalnih propisa, gradskih dokumenata i pozitivne prakse drugih europskih gradova.</w:t>
      </w:r>
    </w:p>
    <w:p w14:paraId="5CAF0E33" w14:textId="77777777" w:rsidR="00034784" w:rsidRPr="009D67FC" w:rsidRDefault="00034784" w:rsidP="00034784">
      <w:pPr>
        <w:spacing w:line="240" w:lineRule="auto"/>
        <w:jc w:val="both"/>
        <w:rPr>
          <w:rFonts w:cs="Calibri"/>
          <w:bCs/>
          <w:u w:val="single"/>
        </w:rPr>
      </w:pPr>
      <w:r w:rsidRPr="009D67FC">
        <w:rPr>
          <w:rFonts w:cs="Calibri"/>
          <w:bCs/>
        </w:rPr>
        <w:t xml:space="preserve">U svrhu poboljšanja kvalitete zraka provode se mjere utvrđene Programom zaštite zraka, ozonskog sloja, ublažavanja klimatskih promjena i prilagodbe klimatskim promjenama u Gradu Zagrebu (SGGZ 6/16) i Akcijskim planom za poboljšanje kvalitete zraka na području Grada Zagreba (SGGZ 5/15). O provedbi mjera su izrađena godišnja </w:t>
      </w:r>
      <w:hyperlink r:id="rId48" w:tgtFrame="_blank" w:history="1">
        <w:r w:rsidRPr="009D67FC">
          <w:rPr>
            <w:rFonts w:cs="Calibri"/>
            <w:bCs/>
          </w:rPr>
          <w:t>Izvješća za 2015., 2016., 2017., 2018. i  2019. godinu.</w:t>
        </w:r>
      </w:hyperlink>
      <w:r w:rsidRPr="009D67FC">
        <w:rPr>
          <w:rFonts w:cs="Calibri"/>
          <w:bCs/>
        </w:rPr>
        <w:t xml:space="preserve"> Navedeni dokumenti i izvješća objavljeni su na službenim stranicama Grada Zagreba, pod:  </w:t>
      </w:r>
      <w:hyperlink r:id="rId49" w:history="1">
        <w:r w:rsidRPr="009D67FC">
          <w:rPr>
            <w:rFonts w:cs="Calibri"/>
            <w:bCs/>
            <w:u w:val="single"/>
          </w:rPr>
          <w:t>https://eko.zagreb.hr/</w:t>
        </w:r>
      </w:hyperlink>
      <w:r w:rsidRPr="009D67FC">
        <w:rPr>
          <w:rFonts w:cs="Calibri"/>
          <w:bCs/>
        </w:rPr>
        <w:t xml:space="preserve">, na: </w:t>
      </w:r>
      <w:hyperlink r:id="rId50" w:history="1">
        <w:r w:rsidRPr="009D67FC">
          <w:rPr>
            <w:rFonts w:cs="Calibri"/>
            <w:bCs/>
            <w:u w:val="single"/>
          </w:rPr>
          <w:t>https://eko.zagreb.hr/propisi-i-akti-grada-zagreba/247</w:t>
        </w:r>
      </w:hyperlink>
    </w:p>
    <w:p w14:paraId="42C0968A" w14:textId="77777777" w:rsidR="00034784" w:rsidRPr="002967E6" w:rsidRDefault="00034784" w:rsidP="00034784">
      <w:pPr>
        <w:jc w:val="both"/>
      </w:pPr>
      <w:r w:rsidRPr="009D67FC">
        <w:rPr>
          <w:rFonts w:cs="Calibri"/>
          <w:bCs/>
        </w:rPr>
        <w:t xml:space="preserve">Na učinkovitost poduzetih mjera ukazuju </w:t>
      </w:r>
      <w:r w:rsidRPr="009D67FC">
        <w:rPr>
          <w:rFonts w:eastAsia="Times New Roman"/>
        </w:rPr>
        <w:t>r</w:t>
      </w:r>
      <w:r w:rsidRPr="009D67FC">
        <w:t>ezultati praćenja kvalitete zraka u razdoblju 2011.-2019. koji potvrđuju trend opadanja godišnjih prosjeka NO</w:t>
      </w:r>
      <w:r w:rsidRPr="009D67FC">
        <w:rPr>
          <w:vertAlign w:val="subscript"/>
        </w:rPr>
        <w:t>2</w:t>
      </w:r>
      <w:r w:rsidRPr="009D67FC">
        <w:t>, PM</w:t>
      </w:r>
      <w:r w:rsidRPr="009D67FC">
        <w:rPr>
          <w:vertAlign w:val="subscript"/>
        </w:rPr>
        <w:t>10</w:t>
      </w:r>
      <w:r w:rsidRPr="009D67FC">
        <w:t xml:space="preserve"> i PM</w:t>
      </w:r>
      <w:r w:rsidRPr="009D67FC">
        <w:rPr>
          <w:vertAlign w:val="subscript"/>
        </w:rPr>
        <w:t xml:space="preserve">2,5 </w:t>
      </w:r>
      <w:r w:rsidRPr="009D67FC">
        <w:t>za svaku mjernu postaju za trajno praćenje kvalitete zraka u okviru gradske mreže, kao i opadajući broj prekoračenja dnevnih ograničenja za PM</w:t>
      </w:r>
      <w:r w:rsidRPr="009D67FC">
        <w:rPr>
          <w:vertAlign w:val="subscript"/>
        </w:rPr>
        <w:t>10.</w:t>
      </w:r>
      <w:r w:rsidRPr="009D67FC">
        <w:t>.</w:t>
      </w:r>
      <w:r w:rsidRPr="009D67FC">
        <w:rPr>
          <w:rFonts w:eastAsia="Times New Roman"/>
        </w:rPr>
        <w:t xml:space="preserve"> </w:t>
      </w:r>
      <w:r w:rsidRPr="009D67FC">
        <w:t>Takav trend smanjenja preduvjet je za održiv razvoj Grada Zagreba, zaštitu i unaprjeđenje kvalitete okoliša i zdravlja njegovih građana.</w:t>
      </w:r>
      <w:r>
        <w:t xml:space="preserve"> </w:t>
      </w:r>
      <w:r w:rsidRPr="0045724E">
        <w:t>Također, tijekom pandemije COVID -19 kao jedan od specifičnih pozitivnih utjecaja primijećen je povećanje kvalitete zraka za vrijeme lockdowna.</w:t>
      </w:r>
    </w:p>
    <w:p w14:paraId="715C0811" w14:textId="77777777" w:rsidR="00034784" w:rsidRPr="009D67FC" w:rsidRDefault="00034784" w:rsidP="00034784">
      <w:pPr>
        <w:autoSpaceDE w:val="0"/>
        <w:autoSpaceDN w:val="0"/>
        <w:adjustRightInd w:val="0"/>
        <w:spacing w:after="0" w:line="240" w:lineRule="auto"/>
        <w:jc w:val="both"/>
      </w:pPr>
    </w:p>
    <w:p w14:paraId="72AE6F81" w14:textId="77777777" w:rsidR="00034784" w:rsidRPr="009D67FC" w:rsidRDefault="00034784" w:rsidP="00034784">
      <w:pPr>
        <w:autoSpaceDE w:val="0"/>
        <w:autoSpaceDN w:val="0"/>
        <w:adjustRightInd w:val="0"/>
        <w:spacing w:after="0" w:line="240" w:lineRule="auto"/>
        <w:jc w:val="both"/>
        <w:rPr>
          <w:rFonts w:eastAsia="Times New Roman"/>
        </w:rPr>
      </w:pPr>
      <w:r w:rsidRPr="009D67FC">
        <w:rPr>
          <w:rFonts w:eastAsia="Times New Roman"/>
        </w:rPr>
        <w:t>Među poslovnim aktivnostima u okviru tranzicije Hrvatske prema niskougljičnom gospodarstvu</w:t>
      </w:r>
    </w:p>
    <w:p w14:paraId="28F8A778" w14:textId="77777777" w:rsidR="00034784" w:rsidRPr="009D67FC" w:rsidRDefault="00034784" w:rsidP="00034784">
      <w:pPr>
        <w:autoSpaceDE w:val="0"/>
        <w:autoSpaceDN w:val="0"/>
        <w:adjustRightInd w:val="0"/>
        <w:spacing w:after="0" w:line="240" w:lineRule="auto"/>
        <w:jc w:val="both"/>
        <w:rPr>
          <w:rFonts w:eastAsia="Times New Roman"/>
        </w:rPr>
      </w:pPr>
      <w:r w:rsidRPr="009D67FC">
        <w:rPr>
          <w:rFonts w:eastAsia="Times New Roman"/>
        </w:rPr>
        <w:t>HEP provodi program e-Mobilnost. HEP je u sklopu projekta ELEN  izveo više od 200 javnih i internih punionica električnih vozila u gradovima, na turističkim rutama i TEN-T koridoru i odmorištima na autocestama, od toga je na području Grada Zagreba do sada postavljeno 25 punionica.</w:t>
      </w:r>
    </w:p>
    <w:p w14:paraId="663D66F5" w14:textId="77777777" w:rsidR="00034784" w:rsidRPr="009D67FC" w:rsidRDefault="00034784" w:rsidP="00034784">
      <w:pPr>
        <w:spacing w:line="240" w:lineRule="auto"/>
        <w:jc w:val="both"/>
        <w:rPr>
          <w:rFonts w:cs="Calibri"/>
          <w:bCs/>
        </w:rPr>
      </w:pPr>
      <w:r w:rsidRPr="009D67FC">
        <w:rPr>
          <w:rFonts w:cs="Calibri"/>
          <w:bCs/>
        </w:rPr>
        <w:t>Taj broj je nedostatan te i dalje treba ulagati u punionice na drugim lokacijama tako da razvojna potreba i dalje postoji.</w:t>
      </w:r>
    </w:p>
    <w:tbl>
      <w:tblPr>
        <w:tblW w:w="5000" w:type="pct"/>
        <w:shd w:val="clear" w:color="auto" w:fill="CCCCCC"/>
        <w:tblLook w:val="01E0" w:firstRow="1" w:lastRow="1" w:firstColumn="1" w:lastColumn="1" w:noHBand="0" w:noVBand="0"/>
      </w:tblPr>
      <w:tblGrid>
        <w:gridCol w:w="4536"/>
        <w:gridCol w:w="4536"/>
      </w:tblGrid>
      <w:tr w:rsidR="00034784" w14:paraId="36F8C8DC" w14:textId="77777777" w:rsidTr="00072476">
        <w:tc>
          <w:tcPr>
            <w:tcW w:w="2500" w:type="pct"/>
            <w:shd w:val="clear" w:color="auto" w:fill="CCCCCC"/>
            <w:vAlign w:val="center"/>
            <w:hideMark/>
          </w:tcPr>
          <w:p w14:paraId="0C3CB434" w14:textId="77777777" w:rsidR="00034784" w:rsidRDefault="00034784" w:rsidP="00072476">
            <w:pPr>
              <w:pStyle w:val="StandardWeb"/>
              <w:spacing w:before="60" w:beforeAutospacing="0" w:after="60" w:afterAutospacing="0"/>
              <w:jc w:val="both"/>
              <w:rPr>
                <w:rFonts w:ascii="Calibri" w:hAnsi="Calibri" w:cs="Calibri"/>
                <w:b/>
                <w:sz w:val="18"/>
                <w:szCs w:val="18"/>
              </w:rPr>
            </w:pPr>
            <w:r>
              <w:rPr>
                <w:rFonts w:ascii="Calibri" w:hAnsi="Calibri" w:cs="Calibri"/>
                <w:b/>
                <w:sz w:val="18"/>
                <w:szCs w:val="18"/>
              </w:rPr>
              <w:t>RAZVOJNI PROBLEMI</w:t>
            </w:r>
          </w:p>
        </w:tc>
        <w:tc>
          <w:tcPr>
            <w:tcW w:w="2500" w:type="pct"/>
            <w:shd w:val="clear" w:color="auto" w:fill="99CCFF"/>
            <w:vAlign w:val="center"/>
            <w:hideMark/>
          </w:tcPr>
          <w:p w14:paraId="0FD9F0D5" w14:textId="77777777" w:rsidR="00034784" w:rsidRDefault="00034784" w:rsidP="00072476">
            <w:pPr>
              <w:pStyle w:val="StandardWeb"/>
              <w:spacing w:before="60" w:beforeAutospacing="0" w:after="60" w:afterAutospacing="0"/>
              <w:jc w:val="both"/>
              <w:rPr>
                <w:rFonts w:ascii="Calibri" w:hAnsi="Calibri" w:cs="Calibri"/>
                <w:b/>
                <w:sz w:val="18"/>
                <w:szCs w:val="18"/>
              </w:rPr>
            </w:pPr>
            <w:r>
              <w:rPr>
                <w:rFonts w:ascii="Calibri" w:hAnsi="Calibri" w:cs="Calibri"/>
                <w:b/>
                <w:sz w:val="18"/>
                <w:szCs w:val="18"/>
              </w:rPr>
              <w:t>RAZVOJNE POTREBE</w:t>
            </w:r>
          </w:p>
        </w:tc>
      </w:tr>
      <w:tr w:rsidR="00034784" w14:paraId="1C747AEC" w14:textId="77777777" w:rsidTr="00072476">
        <w:tc>
          <w:tcPr>
            <w:tcW w:w="2500" w:type="pct"/>
            <w:shd w:val="clear" w:color="auto" w:fill="CCCCCC"/>
          </w:tcPr>
          <w:p w14:paraId="013E8395"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emisije u zrak iz prometa</w:t>
            </w:r>
          </w:p>
          <w:p w14:paraId="564A8E92"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emisije u zrak iz difuznih izvora</w:t>
            </w:r>
          </w:p>
          <w:p w14:paraId="054C4DA9"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nedostatna financijska sredstva i tehnički uvjeti potrebni za proširivanje, unapređivanje i osuvremenjivanje gradske mreže</w:t>
            </w:r>
          </w:p>
          <w:p w14:paraId="5B4C0A6F"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nedosljedno uvažavanje planova, programa i mjera s područja zaštite okoliša prilikom planiranja i upravljanja prostorom</w:t>
            </w:r>
          </w:p>
          <w:p w14:paraId="0F392D74" w14:textId="77777777" w:rsidR="00034784" w:rsidRPr="009D67FC" w:rsidRDefault="00034784" w:rsidP="00072476">
            <w:pPr>
              <w:pStyle w:val="StandardWeb"/>
              <w:spacing w:before="60" w:after="60"/>
              <w:ind w:left="360" w:right="-2"/>
              <w:rPr>
                <w:rFonts w:ascii="Calibri" w:hAnsi="Calibri" w:cs="Calibri"/>
                <w:sz w:val="18"/>
                <w:szCs w:val="18"/>
              </w:rPr>
            </w:pPr>
          </w:p>
          <w:p w14:paraId="1F91688D" w14:textId="77777777" w:rsidR="00034784" w:rsidRDefault="00034784" w:rsidP="00072476">
            <w:pPr>
              <w:pStyle w:val="StandardWeb"/>
              <w:spacing w:before="60" w:beforeAutospacing="0" w:after="60" w:afterAutospacing="0"/>
              <w:ind w:left="284" w:right="-2"/>
              <w:rPr>
                <w:rFonts w:ascii="Calibri" w:hAnsi="Calibri" w:cs="Calibri"/>
                <w:sz w:val="18"/>
                <w:szCs w:val="18"/>
              </w:rPr>
            </w:pPr>
          </w:p>
        </w:tc>
        <w:tc>
          <w:tcPr>
            <w:tcW w:w="2500" w:type="pct"/>
            <w:shd w:val="clear" w:color="auto" w:fill="99CCFF"/>
            <w:hideMark/>
          </w:tcPr>
          <w:p w14:paraId="28649F8C" w14:textId="77777777" w:rsidR="00034784" w:rsidRPr="00662248" w:rsidRDefault="00034784" w:rsidP="00165C16">
            <w:pPr>
              <w:pStyle w:val="StandardWeb"/>
              <w:numPr>
                <w:ilvl w:val="0"/>
                <w:numId w:val="1"/>
              </w:numPr>
              <w:tabs>
                <w:tab w:val="num" w:pos="284"/>
              </w:tabs>
              <w:spacing w:before="60" w:beforeAutospacing="0" w:after="60" w:afterAutospacing="0"/>
              <w:ind w:left="284" w:right="-2" w:hanging="284"/>
              <w:rPr>
                <w:rFonts w:asciiTheme="minorHAnsi" w:hAnsiTheme="minorHAnsi" w:cstheme="minorHAnsi"/>
                <w:sz w:val="18"/>
                <w:szCs w:val="18"/>
              </w:rPr>
            </w:pPr>
            <w:r w:rsidRPr="00662248">
              <w:rPr>
                <w:rFonts w:asciiTheme="minorHAnsi" w:hAnsiTheme="minorHAnsi" w:cstheme="minorHAnsi"/>
                <w:sz w:val="18"/>
                <w:szCs w:val="18"/>
              </w:rPr>
              <w:t>osigurati provedbu mjera za smanjivanje ukupnih emisija iz sektora prometa s posebnim naglaskom na unapređenje i poboljšanje sustava javnog gradskog prijevoza (autobusni, tramvajski, željeznički)</w:t>
            </w:r>
          </w:p>
          <w:p w14:paraId="37498BC9"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Theme="minorHAnsi" w:hAnsiTheme="minorHAnsi" w:cstheme="minorHAnsi"/>
                <w:sz w:val="18"/>
                <w:szCs w:val="18"/>
              </w:rPr>
            </w:pPr>
            <w:r w:rsidRPr="00662248">
              <w:rPr>
                <w:rFonts w:asciiTheme="minorHAnsi" w:hAnsiTheme="minorHAnsi" w:cstheme="minorHAnsi"/>
                <w:sz w:val="18"/>
                <w:szCs w:val="18"/>
              </w:rPr>
              <w:t>unapređenje regulacije cestovnog prometa i automatizacija sustava upravljanja prometom</w:t>
            </w:r>
          </w:p>
          <w:p w14:paraId="1B847444" w14:textId="5A6E0A0E" w:rsidR="00034784" w:rsidRDefault="00034784"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9D67FC">
              <w:rPr>
                <w:rFonts w:asciiTheme="minorHAnsi" w:hAnsiTheme="minorHAnsi" w:cstheme="minorHAnsi"/>
                <w:sz w:val="18"/>
                <w:szCs w:val="18"/>
              </w:rPr>
              <w:t xml:space="preserve">poticati obnovu voznih parkova nabavom novih vozila na </w:t>
            </w:r>
            <w:sdt>
              <w:sdtPr>
                <w:tag w:val="goog_rdk_51"/>
                <w:id w:val="1391456151"/>
              </w:sdtPr>
              <w:sdtEndPr/>
              <w:sdtContent>
                <w:r w:rsidR="004326EC">
                  <w:rPr>
                    <w:rFonts w:ascii="Calibri" w:eastAsia="Calibri" w:hAnsi="Calibri" w:cs="Calibri"/>
                    <w:color w:val="000000"/>
                    <w:sz w:val="18"/>
                    <w:szCs w:val="18"/>
                  </w:rPr>
                  <w:t xml:space="preserve">električni ili drugi nefosilni </w:t>
                </w:r>
              </w:sdtContent>
            </w:sdt>
            <w:r w:rsidR="004326EC" w:rsidRPr="009D67FC">
              <w:rPr>
                <w:rFonts w:asciiTheme="minorHAnsi" w:hAnsiTheme="minorHAnsi" w:cstheme="minorHAnsi"/>
                <w:sz w:val="18"/>
                <w:szCs w:val="18"/>
              </w:rPr>
              <w:t xml:space="preserve"> </w:t>
            </w:r>
            <w:r w:rsidRPr="009D67FC">
              <w:rPr>
                <w:rFonts w:asciiTheme="minorHAnsi" w:hAnsiTheme="minorHAnsi" w:cstheme="minorHAnsi"/>
                <w:sz w:val="18"/>
                <w:szCs w:val="18"/>
              </w:rPr>
              <w:t xml:space="preserve">u javnom gradskom prijevozu </w:t>
            </w:r>
          </w:p>
          <w:p w14:paraId="31312794" w14:textId="6C2323E0" w:rsidR="005164AA" w:rsidRPr="00D775F8" w:rsidRDefault="005164AA" w:rsidP="00165C16">
            <w:pPr>
              <w:pStyle w:val="StandardWeb"/>
              <w:numPr>
                <w:ilvl w:val="0"/>
                <w:numId w:val="1"/>
              </w:numPr>
              <w:tabs>
                <w:tab w:val="clear" w:pos="720"/>
                <w:tab w:val="num" w:pos="284"/>
                <w:tab w:val="num" w:pos="360"/>
              </w:tabs>
              <w:spacing w:before="60" w:beforeAutospacing="0" w:after="60" w:afterAutospacing="0"/>
              <w:ind w:left="284" w:right="-2" w:hanging="284"/>
              <w:rPr>
                <w:rFonts w:asciiTheme="minorHAnsi" w:hAnsiTheme="minorHAnsi" w:cstheme="minorHAnsi"/>
                <w:sz w:val="18"/>
                <w:szCs w:val="18"/>
              </w:rPr>
            </w:pPr>
            <w:r w:rsidRPr="00D775F8">
              <w:rPr>
                <w:rFonts w:asciiTheme="minorHAnsi" w:hAnsiTheme="minorHAnsi" w:cstheme="minorHAnsi"/>
                <w:sz w:val="18"/>
                <w:szCs w:val="18"/>
              </w:rPr>
              <w:t>poticati obnovu voznih parkova nabavom novih vozila na ekološki prihvatljive pogone u javnom gradskom prijevozu</w:t>
            </w:r>
          </w:p>
          <w:p w14:paraId="436D0ACD"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Theme="minorHAnsi" w:hAnsiTheme="minorHAnsi" w:cstheme="minorHAnsi"/>
                <w:sz w:val="18"/>
                <w:szCs w:val="18"/>
              </w:rPr>
            </w:pPr>
            <w:r w:rsidRPr="009D67FC">
              <w:rPr>
                <w:rFonts w:asciiTheme="minorHAnsi" w:hAnsiTheme="minorHAnsi" w:cstheme="minorHAnsi"/>
                <w:sz w:val="18"/>
                <w:szCs w:val="18"/>
              </w:rPr>
              <w:t>planiranje i omogućavanje daljnje izgradnje biciklističkih staza i njihovo povezivanje u smislenu cjelinu</w:t>
            </w:r>
          </w:p>
          <w:p w14:paraId="494439DB"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Theme="minorHAnsi" w:hAnsiTheme="minorHAnsi" w:cstheme="minorHAnsi"/>
                <w:sz w:val="18"/>
                <w:szCs w:val="18"/>
              </w:rPr>
            </w:pPr>
            <w:r w:rsidRPr="009D67FC">
              <w:rPr>
                <w:rFonts w:asciiTheme="minorHAnsi" w:hAnsiTheme="minorHAnsi" w:cstheme="minorHAnsi"/>
                <w:sz w:val="18"/>
                <w:szCs w:val="18"/>
              </w:rPr>
              <w:t>planirati i poticati promet električnih vozila te daljnji razvoj i širenje infrastrukture potrebne za njihovo korištenje (osobna vozila, željeznica kao vid JGP)</w:t>
            </w:r>
          </w:p>
          <w:p w14:paraId="596C692A"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Theme="minorHAnsi" w:hAnsiTheme="minorHAnsi" w:cstheme="minorHAnsi"/>
                <w:sz w:val="18"/>
                <w:szCs w:val="18"/>
              </w:rPr>
            </w:pPr>
            <w:r w:rsidRPr="009D67FC">
              <w:rPr>
                <w:rFonts w:asciiTheme="minorHAnsi" w:hAnsiTheme="minorHAnsi" w:cstheme="minorHAnsi"/>
                <w:sz w:val="18"/>
                <w:szCs w:val="18"/>
              </w:rPr>
              <w:t>omogućiti trening eko vožnje za vozače voznog parka u vlasništvu Grada Zagreba  i podružnica ZH</w:t>
            </w:r>
          </w:p>
          <w:p w14:paraId="2F0B4B99" w14:textId="77777777" w:rsidR="00034784" w:rsidRDefault="00034784" w:rsidP="00165C16">
            <w:pPr>
              <w:numPr>
                <w:ilvl w:val="0"/>
                <w:numId w:val="1"/>
              </w:numPr>
              <w:tabs>
                <w:tab w:val="clear" w:pos="720"/>
                <w:tab w:val="num" w:pos="284"/>
                <w:tab w:val="num" w:pos="502"/>
              </w:tabs>
              <w:spacing w:before="60" w:after="60" w:line="240" w:lineRule="auto"/>
              <w:ind w:left="284" w:right="-2" w:hanging="284"/>
              <w:rPr>
                <w:rFonts w:eastAsia="Times New Roman" w:cstheme="minorHAnsi"/>
                <w:sz w:val="18"/>
                <w:szCs w:val="18"/>
                <w:lang w:eastAsia="hr-HR"/>
              </w:rPr>
            </w:pPr>
            <w:r w:rsidRPr="009D67FC">
              <w:rPr>
                <w:rFonts w:cstheme="minorHAnsi"/>
                <w:sz w:val="18"/>
                <w:szCs w:val="18"/>
              </w:rPr>
              <w:t>nastaviti s provedbom postojećih i donošenjem novih gradskih planova i programa zaštite zraka</w:t>
            </w:r>
            <w:r w:rsidRPr="009D67FC">
              <w:rPr>
                <w:rFonts w:eastAsia="Times New Roman" w:cstheme="minorHAnsi"/>
                <w:sz w:val="18"/>
                <w:szCs w:val="18"/>
                <w:lang w:eastAsia="hr-HR"/>
              </w:rPr>
              <w:t xml:space="preserve"> </w:t>
            </w:r>
          </w:p>
          <w:p w14:paraId="5F5FF02A" w14:textId="77777777" w:rsidR="00034784" w:rsidRPr="009D67FC" w:rsidRDefault="00034784" w:rsidP="00165C16">
            <w:pPr>
              <w:numPr>
                <w:ilvl w:val="0"/>
                <w:numId w:val="1"/>
              </w:numPr>
              <w:tabs>
                <w:tab w:val="clear" w:pos="720"/>
                <w:tab w:val="num" w:pos="284"/>
                <w:tab w:val="num" w:pos="502"/>
              </w:tabs>
              <w:spacing w:before="60" w:after="60" w:line="240" w:lineRule="auto"/>
              <w:ind w:left="284" w:right="-2" w:hanging="284"/>
              <w:rPr>
                <w:rFonts w:cstheme="minorHAnsi"/>
                <w:sz w:val="18"/>
                <w:szCs w:val="18"/>
              </w:rPr>
            </w:pPr>
            <w:r w:rsidRPr="009D67FC">
              <w:rPr>
                <w:rFonts w:cstheme="minorHAnsi"/>
                <w:sz w:val="18"/>
                <w:szCs w:val="18"/>
              </w:rPr>
              <w:t>proširenje i osuvremenjivanje mreže gradskih mjernih postaja za trajno praćenje kvalitete zraka</w:t>
            </w:r>
          </w:p>
          <w:p w14:paraId="7E8D7550" w14:textId="6DED1575" w:rsidR="00034784" w:rsidRPr="000C3002" w:rsidRDefault="00034784" w:rsidP="000C3002">
            <w:pPr>
              <w:numPr>
                <w:ilvl w:val="0"/>
                <w:numId w:val="48"/>
              </w:numPr>
              <w:spacing w:before="60" w:after="60" w:line="240" w:lineRule="auto"/>
              <w:ind w:left="284" w:right="-2" w:hanging="284"/>
              <w:rPr>
                <w:rFonts w:ascii="Calibri" w:eastAsia="Calibri" w:hAnsi="Calibri" w:cs="Calibri"/>
                <w:sz w:val="18"/>
                <w:szCs w:val="18"/>
                <w:lang w:eastAsia="hr-HR"/>
              </w:rPr>
            </w:pPr>
            <w:r w:rsidRPr="009D67FC">
              <w:rPr>
                <w:rFonts w:cstheme="minorHAnsi"/>
                <w:sz w:val="18"/>
                <w:szCs w:val="18"/>
              </w:rPr>
              <w:t>uvoditi i širiti postojeće pješačke zone bez prometa u užem gradskom području</w:t>
            </w:r>
            <w:r w:rsidR="000C3002" w:rsidRPr="000C3002">
              <w:rPr>
                <w:rFonts w:ascii="Calibri" w:eastAsia="Calibri" w:hAnsi="Calibri" w:cs="Calibri"/>
                <w:lang w:eastAsia="hr-HR"/>
              </w:rPr>
              <w:t xml:space="preserve"> </w:t>
            </w:r>
            <w:sdt>
              <w:sdtPr>
                <w:rPr>
                  <w:rFonts w:ascii="Calibri" w:eastAsia="Calibri" w:hAnsi="Calibri" w:cs="Calibri"/>
                  <w:lang w:eastAsia="hr-HR"/>
                </w:rPr>
                <w:tag w:val="goog_rdk_52"/>
                <w:id w:val="-515538743"/>
              </w:sdtPr>
              <w:sdtEndPr/>
              <w:sdtContent>
                <w:r w:rsidR="000C3002" w:rsidRPr="000C3002">
                  <w:rPr>
                    <w:rFonts w:ascii="Calibri" w:eastAsia="Calibri" w:hAnsi="Calibri" w:cs="Calibri"/>
                    <w:sz w:val="18"/>
                    <w:szCs w:val="18"/>
                    <w:lang w:eastAsia="hr-HR"/>
                  </w:rPr>
                  <w:t xml:space="preserve"> i drugim dijelovima grada</w:t>
                </w:r>
              </w:sdtContent>
            </w:sdt>
          </w:p>
          <w:p w14:paraId="13DA7A26" w14:textId="77777777" w:rsidR="00034784" w:rsidRPr="009D67FC" w:rsidRDefault="00034784" w:rsidP="00165C16">
            <w:pPr>
              <w:numPr>
                <w:ilvl w:val="0"/>
                <w:numId w:val="1"/>
              </w:numPr>
              <w:tabs>
                <w:tab w:val="clear" w:pos="720"/>
                <w:tab w:val="num" w:pos="284"/>
                <w:tab w:val="num" w:pos="502"/>
              </w:tabs>
              <w:spacing w:before="60" w:after="60" w:line="240" w:lineRule="auto"/>
              <w:ind w:left="284" w:right="-2" w:hanging="284"/>
              <w:rPr>
                <w:rFonts w:cstheme="minorHAnsi"/>
                <w:sz w:val="18"/>
                <w:szCs w:val="18"/>
              </w:rPr>
            </w:pPr>
            <w:r w:rsidRPr="009D67FC">
              <w:rPr>
                <w:rFonts w:cstheme="minorHAnsi"/>
                <w:sz w:val="18"/>
                <w:szCs w:val="18"/>
              </w:rPr>
              <w:t>održavati zelene površine u Gradu Zagrebu, sprječavati njihovo smanjivanja i planirati nove zelene površine</w:t>
            </w:r>
          </w:p>
          <w:p w14:paraId="3F8CAF7D" w14:textId="77777777" w:rsidR="00034784" w:rsidRPr="009D67FC" w:rsidRDefault="00034784" w:rsidP="00165C16">
            <w:pPr>
              <w:numPr>
                <w:ilvl w:val="0"/>
                <w:numId w:val="1"/>
              </w:numPr>
              <w:tabs>
                <w:tab w:val="clear" w:pos="720"/>
                <w:tab w:val="num" w:pos="284"/>
                <w:tab w:val="num" w:pos="502"/>
              </w:tabs>
              <w:spacing w:before="60" w:after="60" w:line="240" w:lineRule="auto"/>
              <w:ind w:left="284" w:right="-2" w:hanging="284"/>
              <w:rPr>
                <w:rFonts w:cstheme="minorHAnsi"/>
                <w:sz w:val="18"/>
                <w:szCs w:val="18"/>
              </w:rPr>
            </w:pPr>
            <w:r w:rsidRPr="009D67FC">
              <w:rPr>
                <w:rFonts w:cstheme="minorHAnsi"/>
                <w:sz w:val="18"/>
                <w:szCs w:val="18"/>
              </w:rPr>
              <w:t>prostorno, urbanistički i prometno planirati promet na način da se potiče oblik prijevoza robe i ljudi s manjom potrošnjom goriva i emisijama</w:t>
            </w:r>
          </w:p>
          <w:p w14:paraId="13352448" w14:textId="77777777" w:rsidR="00034784" w:rsidRPr="009D67FC" w:rsidRDefault="00034784" w:rsidP="00165C16">
            <w:pPr>
              <w:numPr>
                <w:ilvl w:val="0"/>
                <w:numId w:val="1"/>
              </w:numPr>
              <w:tabs>
                <w:tab w:val="clear" w:pos="720"/>
                <w:tab w:val="num" w:pos="284"/>
                <w:tab w:val="num" w:pos="502"/>
              </w:tabs>
              <w:spacing w:before="60" w:after="60" w:line="240" w:lineRule="auto"/>
              <w:ind w:left="284" w:right="-2" w:hanging="284"/>
              <w:rPr>
                <w:rFonts w:cstheme="minorHAnsi"/>
                <w:sz w:val="18"/>
                <w:szCs w:val="18"/>
              </w:rPr>
            </w:pPr>
            <w:r w:rsidRPr="009D67FC">
              <w:rPr>
                <w:rFonts w:cstheme="minorHAnsi"/>
                <w:sz w:val="18"/>
                <w:szCs w:val="18"/>
              </w:rPr>
              <w:t>osigurati dostupnost informacija javnosti iz područja zaštite zraka</w:t>
            </w:r>
          </w:p>
          <w:p w14:paraId="78BD97C6" w14:textId="77777777" w:rsidR="00034784" w:rsidRPr="00662248" w:rsidRDefault="00034784" w:rsidP="00072476">
            <w:pPr>
              <w:pStyle w:val="StandardWeb"/>
              <w:spacing w:before="60" w:beforeAutospacing="0" w:after="60" w:afterAutospacing="0"/>
              <w:ind w:left="284" w:right="-2"/>
              <w:rPr>
                <w:rFonts w:asciiTheme="minorHAnsi" w:hAnsiTheme="minorHAnsi" w:cstheme="minorHAnsi"/>
                <w:sz w:val="18"/>
                <w:szCs w:val="18"/>
              </w:rPr>
            </w:pPr>
          </w:p>
        </w:tc>
      </w:tr>
      <w:tr w:rsidR="00034784" w14:paraId="4D755E36" w14:textId="77777777" w:rsidTr="00072476">
        <w:tc>
          <w:tcPr>
            <w:tcW w:w="2500" w:type="pct"/>
            <w:shd w:val="clear" w:color="auto" w:fill="CCCCCC"/>
            <w:hideMark/>
          </w:tcPr>
          <w:p w14:paraId="3B9C6A1B" w14:textId="77777777" w:rsidR="00034784" w:rsidRDefault="00034784" w:rsidP="00072476">
            <w:pPr>
              <w:pStyle w:val="StandardWeb"/>
              <w:spacing w:before="60" w:beforeAutospacing="0" w:after="60" w:afterAutospacing="0"/>
              <w:ind w:right="-2"/>
              <w:rPr>
                <w:rFonts w:ascii="Calibri" w:hAnsi="Calibri" w:cs="Calibri"/>
                <w:sz w:val="18"/>
                <w:szCs w:val="18"/>
              </w:rPr>
            </w:pPr>
          </w:p>
        </w:tc>
        <w:tc>
          <w:tcPr>
            <w:tcW w:w="2500" w:type="pct"/>
            <w:shd w:val="clear" w:color="auto" w:fill="99CCFF"/>
            <w:hideMark/>
          </w:tcPr>
          <w:p w14:paraId="7A9F5463" w14:textId="77777777" w:rsidR="00034784" w:rsidRPr="00662248" w:rsidRDefault="00034784" w:rsidP="00072476">
            <w:pPr>
              <w:pStyle w:val="StandardWeb"/>
              <w:spacing w:before="60" w:beforeAutospacing="0" w:after="60" w:afterAutospacing="0"/>
              <w:ind w:right="-2"/>
              <w:rPr>
                <w:rFonts w:asciiTheme="minorHAnsi" w:hAnsiTheme="minorHAnsi" w:cstheme="minorHAnsi"/>
                <w:sz w:val="18"/>
                <w:szCs w:val="18"/>
              </w:rPr>
            </w:pPr>
          </w:p>
        </w:tc>
      </w:tr>
    </w:tbl>
    <w:p w14:paraId="2A7C4D9B" w14:textId="301DF128" w:rsidR="00034784" w:rsidRDefault="00034784" w:rsidP="00B8319D">
      <w:pPr>
        <w:pStyle w:val="Stil2"/>
      </w:pPr>
      <w:r w:rsidRPr="00A33E06">
        <w:br/>
      </w:r>
      <w:bookmarkStart w:id="132" w:name="_Toc97123848"/>
      <w:r>
        <w:t>5</w:t>
      </w:r>
      <w:r w:rsidRPr="00A33E06">
        <w:t>.1.4. Otpad</w:t>
      </w:r>
      <w:bookmarkEnd w:id="132"/>
      <w:r w:rsidRPr="00A33E06">
        <w:t xml:space="preserve"> </w:t>
      </w:r>
    </w:p>
    <w:p w14:paraId="7DB9EB47" w14:textId="77777777" w:rsidR="00034784" w:rsidRPr="009D67FC" w:rsidRDefault="00034784" w:rsidP="00034784">
      <w:pPr>
        <w:spacing w:line="240" w:lineRule="auto"/>
        <w:jc w:val="both"/>
        <w:rPr>
          <w:rFonts w:cs="Calibri"/>
        </w:rPr>
      </w:pPr>
      <w:r w:rsidRPr="009D67FC">
        <w:rPr>
          <w:rFonts w:cs="Calibri"/>
        </w:rPr>
        <w:t xml:space="preserve">Ostvarivanje strateških ciljeva višegodišnji je proces kojim se jamči jačanje sustava gospodarenja otpadom i njegovo funkcioniranje s ciljem postupnog smanjenja pritisaka na okoliš i ljudsko zdravlje, racionalnog korištenja resursa i ostvarivanja održivosti. Gospodarenje otpadom temelji se na poštivanju načela zaštite okoliša propisanih zakonom kojim se uređuje zaštita okoliša i pravna stečevina Europske unije, načelima međunarodnog prava zaštite okoliša te znanstvenih spoznaja, najbolje svjetske prakse i pravila struke. </w:t>
      </w:r>
    </w:p>
    <w:p w14:paraId="6083F6EE" w14:textId="77777777" w:rsidR="00034784" w:rsidRPr="009D67FC" w:rsidRDefault="00034784" w:rsidP="00034784">
      <w:pPr>
        <w:spacing w:line="240" w:lineRule="auto"/>
        <w:jc w:val="both"/>
      </w:pPr>
      <w:r w:rsidRPr="009D67FC">
        <w:rPr>
          <w:rFonts w:cs="Calibri"/>
        </w:rPr>
        <w:t xml:space="preserve">Stoga, Gradska skupština Grada Zagreba na temelju članka 21. stavak 4. Zakona o održivom gospodarenju otpadom gospodarenju otpadom (Narodne novine 94/13, 73/17, 14/19 i 98/19) i članka 41. točke 6. Statuta Grada Zagreba (Službeni glasnik Grada Zagreba 23/16 i 2/18) donijela je Plan gospodarenja otpadom Grada Zagreba 2018.-2023.. Plan gospodarenja otpadom Grada Zagreba za razdoblje 2018.-2023. odredio je aktivnosti koje će se provoditi u idućem planskom razdoblju, a isti je usuglašen s </w:t>
      </w:r>
      <w:r w:rsidRPr="009D67FC">
        <w:t xml:space="preserve">Planom gospodarenja otpadom Republike Hrvatske za razdoblje 2017.-2022. godine. </w:t>
      </w:r>
    </w:p>
    <w:p w14:paraId="41A4F748" w14:textId="77777777" w:rsidR="00034784" w:rsidRPr="009D67FC" w:rsidRDefault="00034784" w:rsidP="00034784">
      <w:pPr>
        <w:pStyle w:val="Tijeloteksta2"/>
        <w:ind w:right="-2"/>
        <w:rPr>
          <w:rFonts w:ascii="Calibri" w:hAnsi="Calibri" w:cs="Calibri"/>
          <w:b w:val="0"/>
          <w:bCs w:val="0"/>
          <w:sz w:val="22"/>
          <w:szCs w:val="22"/>
        </w:rPr>
      </w:pPr>
      <w:r w:rsidRPr="009D67FC">
        <w:rPr>
          <w:rFonts w:ascii="Calibri" w:hAnsi="Calibri" w:cs="Calibri"/>
          <w:b w:val="0"/>
          <w:bCs w:val="0"/>
          <w:sz w:val="22"/>
          <w:szCs w:val="22"/>
        </w:rPr>
        <w:t>Sukladno Uredbi o gospodarenju komunalnim otpadom (Narodne novine 50/17) kojom se dodatno propisuje sadržaj Odluke o na</w:t>
      </w:r>
      <w:r w:rsidRPr="009D67FC">
        <w:rPr>
          <w:rFonts w:ascii="Calibri" w:hAnsi="Calibri" w:cs="Calibri" w:hint="eastAsia"/>
          <w:b w:val="0"/>
          <w:bCs w:val="0"/>
          <w:sz w:val="22"/>
          <w:szCs w:val="22"/>
        </w:rPr>
        <w:t>č</w:t>
      </w:r>
      <w:r w:rsidRPr="009D67FC">
        <w:rPr>
          <w:rFonts w:ascii="Calibri" w:hAnsi="Calibri" w:cs="Calibri"/>
          <w:b w:val="0"/>
          <w:bCs w:val="0"/>
          <w:sz w:val="22"/>
          <w:szCs w:val="22"/>
        </w:rPr>
        <w:t xml:space="preserve">inu prikupljanja miješanog komunalnog otpada i biorazgradivog komunalnog otpada Gradska skupština Grada Zagreba na temelju </w:t>
      </w:r>
      <w:r w:rsidRPr="009D67FC">
        <w:rPr>
          <w:rFonts w:ascii="Calibri" w:hAnsi="Calibri" w:cs="Calibri" w:hint="eastAsia"/>
          <w:b w:val="0"/>
          <w:bCs w:val="0"/>
          <w:sz w:val="22"/>
          <w:szCs w:val="22"/>
        </w:rPr>
        <w:t>č</w:t>
      </w:r>
      <w:r w:rsidRPr="009D67FC">
        <w:rPr>
          <w:rFonts w:ascii="Calibri" w:hAnsi="Calibri" w:cs="Calibri"/>
          <w:b w:val="0"/>
          <w:bCs w:val="0"/>
          <w:sz w:val="22"/>
          <w:szCs w:val="22"/>
        </w:rPr>
        <w:t xml:space="preserve">lanka 30. stavka 7. Zakona održivom gospodarenju otpadom i </w:t>
      </w:r>
      <w:r w:rsidRPr="009D67FC">
        <w:rPr>
          <w:rFonts w:ascii="Calibri" w:hAnsi="Calibri" w:cs="Calibri" w:hint="eastAsia"/>
          <w:b w:val="0"/>
          <w:bCs w:val="0"/>
          <w:sz w:val="22"/>
          <w:szCs w:val="22"/>
        </w:rPr>
        <w:t>č</w:t>
      </w:r>
      <w:r w:rsidRPr="009D67FC">
        <w:rPr>
          <w:rFonts w:ascii="Calibri" w:hAnsi="Calibri" w:cs="Calibri"/>
          <w:b w:val="0"/>
          <w:bCs w:val="0"/>
          <w:sz w:val="22"/>
          <w:szCs w:val="22"/>
        </w:rPr>
        <w:t>lanka 41. to</w:t>
      </w:r>
      <w:r w:rsidRPr="009D67FC">
        <w:rPr>
          <w:rFonts w:ascii="Calibri" w:hAnsi="Calibri" w:cs="Calibri" w:hint="eastAsia"/>
          <w:b w:val="0"/>
          <w:bCs w:val="0"/>
          <w:sz w:val="22"/>
          <w:szCs w:val="22"/>
        </w:rPr>
        <w:t>č</w:t>
      </w:r>
      <w:r w:rsidRPr="009D67FC">
        <w:rPr>
          <w:rFonts w:ascii="Calibri" w:hAnsi="Calibri" w:cs="Calibri"/>
          <w:b w:val="0"/>
          <w:bCs w:val="0"/>
          <w:sz w:val="22"/>
          <w:szCs w:val="22"/>
        </w:rPr>
        <w:t>ke 2. Statuta Grada Zagreba, donijela je 30. sije</w:t>
      </w:r>
      <w:r w:rsidRPr="009D67FC">
        <w:rPr>
          <w:rFonts w:ascii="Calibri" w:hAnsi="Calibri" w:cs="Calibri" w:hint="eastAsia"/>
          <w:b w:val="0"/>
          <w:bCs w:val="0"/>
          <w:sz w:val="22"/>
          <w:szCs w:val="22"/>
        </w:rPr>
        <w:t>č</w:t>
      </w:r>
      <w:r w:rsidRPr="009D67FC">
        <w:rPr>
          <w:rFonts w:ascii="Calibri" w:hAnsi="Calibri" w:cs="Calibri"/>
          <w:b w:val="0"/>
          <w:bCs w:val="0"/>
          <w:sz w:val="22"/>
          <w:szCs w:val="22"/>
        </w:rPr>
        <w:t>nja 2018., Odluku o na</w:t>
      </w:r>
      <w:r w:rsidRPr="009D67FC">
        <w:rPr>
          <w:rFonts w:ascii="Calibri" w:hAnsi="Calibri" w:cs="Calibri" w:hint="eastAsia"/>
          <w:b w:val="0"/>
          <w:bCs w:val="0"/>
          <w:sz w:val="22"/>
          <w:szCs w:val="22"/>
        </w:rPr>
        <w:t>č</w:t>
      </w:r>
      <w:r w:rsidRPr="009D67FC">
        <w:rPr>
          <w:rFonts w:ascii="Calibri" w:hAnsi="Calibri" w:cs="Calibri"/>
          <w:b w:val="0"/>
          <w:bCs w:val="0"/>
          <w:sz w:val="22"/>
          <w:szCs w:val="22"/>
        </w:rPr>
        <w:t>inu pružanja javne usluge prikupljanja miješanog komunalnog otpada i biorazgradivog komunalnog otpada i usluga povezanih s javnom uslugom u Gradu Zagrebu (Službeni glasnik Grada Zagreba 2/18).</w:t>
      </w:r>
    </w:p>
    <w:p w14:paraId="70AF516E" w14:textId="77777777" w:rsidR="00034784" w:rsidRPr="009D67FC" w:rsidRDefault="00034784" w:rsidP="00034784">
      <w:pPr>
        <w:pStyle w:val="Tijeloteksta2"/>
        <w:ind w:right="-2"/>
        <w:rPr>
          <w:rFonts w:ascii="Calibri" w:eastAsia="TemperaProNormal" w:hAnsi="Calibri" w:cs="Calibri"/>
          <w:b w:val="0"/>
          <w:bCs w:val="0"/>
          <w:sz w:val="22"/>
          <w:szCs w:val="22"/>
        </w:rPr>
      </w:pPr>
      <w:r w:rsidRPr="009D67FC">
        <w:rPr>
          <w:rFonts w:ascii="Calibri" w:hAnsi="Calibri" w:cs="Calibri"/>
          <w:b w:val="0"/>
          <w:bCs w:val="0"/>
          <w:sz w:val="22"/>
          <w:szCs w:val="22"/>
        </w:rPr>
        <w:t>Odlukom je propisano da na području Grada Zagreba djelatnost javne usluge i usluge povezane s javnom uslugom u funkciji davatelja javne usluge pruža Zagreba</w:t>
      </w:r>
      <w:r w:rsidRPr="009D67FC">
        <w:rPr>
          <w:rFonts w:ascii="Calibri" w:hAnsi="Calibri" w:cs="Calibri" w:hint="eastAsia"/>
          <w:b w:val="0"/>
          <w:bCs w:val="0"/>
          <w:sz w:val="22"/>
          <w:szCs w:val="22"/>
        </w:rPr>
        <w:t>č</w:t>
      </w:r>
      <w:r w:rsidRPr="009D67FC">
        <w:rPr>
          <w:rFonts w:ascii="Calibri" w:hAnsi="Calibri" w:cs="Calibri"/>
          <w:b w:val="0"/>
          <w:bCs w:val="0"/>
          <w:sz w:val="22"/>
          <w:szCs w:val="22"/>
        </w:rPr>
        <w:t xml:space="preserve">ki holding d.o.o. - Podružnica </w:t>
      </w:r>
      <w:r w:rsidRPr="009D67FC">
        <w:rPr>
          <w:rFonts w:ascii="Calibri" w:hAnsi="Calibri" w:cs="Calibri" w:hint="eastAsia"/>
          <w:b w:val="0"/>
          <w:bCs w:val="0"/>
          <w:sz w:val="22"/>
          <w:szCs w:val="22"/>
        </w:rPr>
        <w:t>Č</w:t>
      </w:r>
      <w:r w:rsidRPr="009D67FC">
        <w:rPr>
          <w:rFonts w:ascii="Calibri" w:hAnsi="Calibri" w:cs="Calibri"/>
          <w:b w:val="0"/>
          <w:bCs w:val="0"/>
          <w:sz w:val="22"/>
          <w:szCs w:val="22"/>
        </w:rPr>
        <w:t>isto</w:t>
      </w:r>
      <w:r w:rsidRPr="009D67FC">
        <w:rPr>
          <w:rFonts w:ascii="Calibri" w:hAnsi="Calibri" w:cs="Calibri" w:hint="eastAsia"/>
          <w:b w:val="0"/>
          <w:bCs w:val="0"/>
          <w:sz w:val="22"/>
          <w:szCs w:val="22"/>
        </w:rPr>
        <w:t>ć</w:t>
      </w:r>
      <w:r w:rsidRPr="009D67FC">
        <w:rPr>
          <w:rFonts w:ascii="Calibri" w:hAnsi="Calibri" w:cs="Calibri"/>
          <w:b w:val="0"/>
          <w:bCs w:val="0"/>
          <w:sz w:val="22"/>
          <w:szCs w:val="22"/>
        </w:rPr>
        <w:t xml:space="preserve">a. Navedenom uslugom obuhvaćena su sva kućanstva, dok se uslugom odlaganja na odlagalištu Prudinec koriste gotovo svi poslovni subjekti koji djeluju na području Grada Zagreba. </w:t>
      </w:r>
      <w:r w:rsidRPr="009D67FC">
        <w:rPr>
          <w:rFonts w:ascii="Calibri" w:eastAsia="TemperaProNormal" w:hAnsi="Calibri" w:cs="Calibri"/>
          <w:b w:val="0"/>
          <w:bCs w:val="0"/>
          <w:sz w:val="22"/>
          <w:szCs w:val="22"/>
        </w:rPr>
        <w:t xml:space="preserve">Odlagalište Prudinec koristiti će se do otvaranja novog Centra za gospodarenje otpadom. </w:t>
      </w:r>
    </w:p>
    <w:p w14:paraId="10D3E5B8" w14:textId="77777777" w:rsidR="00034784" w:rsidRPr="009D67FC" w:rsidRDefault="00034784" w:rsidP="00034784">
      <w:pPr>
        <w:pStyle w:val="Tijeloteksta2"/>
        <w:ind w:right="-2"/>
        <w:rPr>
          <w:rFonts w:ascii="Calibri" w:hAnsi="Calibri" w:cs="Calibri"/>
          <w:b w:val="0"/>
          <w:sz w:val="22"/>
          <w:szCs w:val="22"/>
        </w:rPr>
      </w:pPr>
    </w:p>
    <w:p w14:paraId="2C2087F5" w14:textId="77777777" w:rsidR="00034784" w:rsidRDefault="00034784" w:rsidP="00034784">
      <w:pPr>
        <w:pStyle w:val="Tijeloteksta2"/>
        <w:ind w:right="-2"/>
        <w:rPr>
          <w:rFonts w:ascii="Calibri" w:hAnsi="Calibri" w:cs="Calibri"/>
          <w:b w:val="0"/>
          <w:sz w:val="22"/>
          <w:szCs w:val="22"/>
        </w:rPr>
      </w:pPr>
      <w:r w:rsidRPr="009D67FC">
        <w:rPr>
          <w:rFonts w:ascii="Calibri" w:hAnsi="Calibri" w:cs="Calibri"/>
          <w:b w:val="0"/>
          <w:bCs w:val="0"/>
          <w:sz w:val="22"/>
          <w:szCs w:val="22"/>
        </w:rPr>
        <w:t xml:space="preserve">Odvojeno sakupljanje komunalnog otpada na području Grada Zagreba osigurano je putem: spremnika smještenih na javnim površinama (plavi, zeleni i žuti spremnici za sakupljanje papira, staklene ambalaže i plastične ambalaže te sivi spremnici za sakupljanje otpadnog tekstila), zelenih otoka, reciklažnih dvorišta i mobilnih reciklažnih dvorišta. Odlukom je propisana dodjela spremnika korisnicima usluge za miješani komunalni otpad, biootpad, otpadni papir i karton, i otpadnu plastiku i otpadnu metalnu ambalažu te postavljanje spremnika za reciklabilni otpad na javne površine i u reciklažnim dvorištima, odnosno mobilnim reciklažnim dvorištima. </w:t>
      </w:r>
      <w:r w:rsidRPr="009D67FC">
        <w:rPr>
          <w:rFonts w:ascii="Calibri" w:hAnsi="Calibri" w:cs="Calibri"/>
          <w:b w:val="0"/>
          <w:sz w:val="22"/>
          <w:szCs w:val="22"/>
        </w:rPr>
        <w:t>Sustavom sakupljanja otpada od „vrata do vrata“ se sakuplja, osim miješanog komunalnog otpada, papir, biootpad te ambalažni otpad. Sve ove vrste otpada se sakupljaju putem spremnika, dok se ambalažni otpad sakuplja pomoću vrećica. Ukupno je</w:t>
      </w:r>
      <w:r>
        <w:rPr>
          <w:rFonts w:ascii="Calibri" w:hAnsi="Calibri" w:cs="Calibri"/>
          <w:b w:val="0"/>
          <w:sz w:val="22"/>
          <w:szCs w:val="22"/>
        </w:rPr>
        <w:t xml:space="preserve"> do kraja 2020. godine</w:t>
      </w:r>
      <w:r w:rsidRPr="009D67FC">
        <w:rPr>
          <w:rFonts w:ascii="Calibri" w:hAnsi="Calibri" w:cs="Calibri"/>
          <w:b w:val="0"/>
          <w:sz w:val="22"/>
          <w:szCs w:val="22"/>
        </w:rPr>
        <w:t xml:space="preserve"> postavljeno preko 180.000 spremnika za sakupljanje sustavom „od vrata do vrata“. Isto tako, na području Grada je podijeljeno preko 53.000 kućnih kompostera u svrhu prevencije nastanka organskog otpada. Spremnici na javnim površinama Grada Zagreba postavljeni su kao zeleni otoci, u reciklažnim dvorištima ili samostalno. U oko 6.600 spremnika smještenih na javnim površinama, odvojeno se prikuplja papir, staklo, plastična i metalna ambalaža, tekstil i biootpad, a u jedanaest reciklažnih dvorišta i osam mobilnih reciklažnih dvorišta, prikuplja se tridesetak vrsta otpada iz kućanstava. </w:t>
      </w:r>
    </w:p>
    <w:p w14:paraId="770C79BF" w14:textId="77777777" w:rsidR="00034784" w:rsidRDefault="00034784" w:rsidP="00034784">
      <w:pPr>
        <w:pStyle w:val="Tijeloteksta2"/>
        <w:ind w:right="-2"/>
        <w:rPr>
          <w:rFonts w:ascii="Calibri" w:hAnsi="Calibri" w:cs="Calibri"/>
          <w:b w:val="0"/>
          <w:sz w:val="22"/>
          <w:szCs w:val="22"/>
        </w:rPr>
      </w:pPr>
    </w:p>
    <w:p w14:paraId="34A799FC" w14:textId="77777777" w:rsidR="00034784" w:rsidRPr="008010A7" w:rsidRDefault="00034784" w:rsidP="00034784">
      <w:pPr>
        <w:spacing w:after="0" w:line="240" w:lineRule="auto"/>
        <w:contextualSpacing/>
        <w:rPr>
          <w:rFonts w:eastAsia="Times New Roman" w:cs="Calibri"/>
          <w:bCs/>
          <w:u w:val="single"/>
          <w:lang w:eastAsia="hr-HR"/>
        </w:rPr>
      </w:pPr>
      <w:r w:rsidRPr="008010A7">
        <w:rPr>
          <w:rFonts w:eastAsia="Times New Roman" w:cs="Calibri"/>
          <w:bCs/>
          <w:u w:val="single"/>
          <w:lang w:eastAsia="hr-HR"/>
        </w:rPr>
        <w:t>Adrese reciklažnih dvorišta:</w:t>
      </w:r>
    </w:p>
    <w:p w14:paraId="1CCB2D4B"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Pr>
          <w:rFonts w:eastAsia="Times New Roman" w:cs="Calibri"/>
          <w:bCs/>
          <w:lang w:eastAsia="hr-HR"/>
        </w:rPr>
        <w:t>RD DUBRAVA, Osječka br. 25</w:t>
      </w:r>
    </w:p>
    <w:p w14:paraId="39955A6E"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Pr>
          <w:rFonts w:eastAsia="Times New Roman" w:cs="Calibri"/>
          <w:bCs/>
          <w:lang w:eastAsia="hr-HR"/>
        </w:rPr>
        <w:t>RD JAKUŠEVEC, Sajmišna cesta bb</w:t>
      </w:r>
    </w:p>
    <w:p w14:paraId="31BB130A"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RD</w:t>
      </w:r>
      <w:r>
        <w:rPr>
          <w:rFonts w:eastAsia="Times New Roman" w:cs="Calibri"/>
          <w:bCs/>
          <w:lang w:eastAsia="hr-HR"/>
        </w:rPr>
        <w:t xml:space="preserve"> KAJZERICA, Žarka Dolinara br.5</w:t>
      </w:r>
    </w:p>
    <w:p w14:paraId="70D641BE"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Pr>
          <w:rFonts w:eastAsia="Times New Roman" w:cs="Calibri"/>
          <w:bCs/>
          <w:lang w:eastAsia="hr-HR"/>
        </w:rPr>
        <w:t>RD KLARA, Sisačka cesta br. 10</w:t>
      </w:r>
    </w:p>
    <w:p w14:paraId="66A5116E"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Pr>
          <w:rFonts w:eastAsia="Times New Roman" w:cs="Calibri"/>
          <w:bCs/>
          <w:lang w:eastAsia="hr-HR"/>
        </w:rPr>
        <w:t>RD PRILESJE, Prilesje 1c</w:t>
      </w:r>
    </w:p>
    <w:p w14:paraId="659A8918"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Pr>
          <w:rFonts w:eastAsia="Times New Roman" w:cs="Calibri"/>
          <w:bCs/>
          <w:lang w:eastAsia="hr-HR"/>
        </w:rPr>
        <w:t>RD SESVETE, Jelkovečka bb</w:t>
      </w:r>
    </w:p>
    <w:p w14:paraId="748A3947"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RD SESVETE J</w:t>
      </w:r>
      <w:r>
        <w:rPr>
          <w:rFonts w:eastAsia="Times New Roman" w:cs="Calibri"/>
          <w:bCs/>
          <w:lang w:eastAsia="hr-HR"/>
        </w:rPr>
        <w:t>ELKOVEC, Ulica Borisa Ulricha 5</w:t>
      </w:r>
    </w:p>
    <w:p w14:paraId="75C457A5"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Pr>
          <w:rFonts w:eastAsia="Times New Roman" w:cs="Calibri"/>
          <w:bCs/>
          <w:lang w:eastAsia="hr-HR"/>
        </w:rPr>
        <w:t>RD ŠPANSKO, D.Cesarića 2a</w:t>
      </w:r>
    </w:p>
    <w:p w14:paraId="086342B7" w14:textId="77777777" w:rsidR="00034784" w:rsidRPr="008010A7" w:rsidRDefault="00034784" w:rsidP="00165C16">
      <w:pPr>
        <w:numPr>
          <w:ilvl w:val="0"/>
          <w:numId w:val="35"/>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RD TR</w:t>
      </w:r>
      <w:r>
        <w:rPr>
          <w:rFonts w:eastAsia="Times New Roman" w:cs="Calibri"/>
          <w:bCs/>
          <w:lang w:eastAsia="hr-HR"/>
        </w:rPr>
        <w:t>EŠNJEVKA SJEVER, Zagorska br. 3</w:t>
      </w:r>
    </w:p>
    <w:p w14:paraId="517715E9" w14:textId="25B64D95" w:rsidR="00650471" w:rsidRDefault="00034784" w:rsidP="00D775F8">
      <w:pPr>
        <w:numPr>
          <w:ilvl w:val="0"/>
          <w:numId w:val="35"/>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R</w:t>
      </w:r>
      <w:r>
        <w:rPr>
          <w:rFonts w:eastAsia="Times New Roman" w:cs="Calibri"/>
          <w:bCs/>
          <w:lang w:eastAsia="hr-HR"/>
        </w:rPr>
        <w:t>D ŽITNJAK, Čulinečka cesta 275</w:t>
      </w:r>
    </w:p>
    <w:p w14:paraId="5DCB0480" w14:textId="77777777" w:rsidR="00D775F8" w:rsidRPr="00D775F8" w:rsidRDefault="00D775F8" w:rsidP="00D775F8">
      <w:pPr>
        <w:shd w:val="clear" w:color="auto" w:fill="FFFFFF"/>
        <w:spacing w:after="0" w:line="240" w:lineRule="auto"/>
        <w:ind w:left="426"/>
        <w:contextualSpacing/>
        <w:rPr>
          <w:rFonts w:eastAsia="Times New Roman" w:cs="Calibri"/>
          <w:bCs/>
          <w:lang w:eastAsia="hr-HR"/>
        </w:rPr>
      </w:pPr>
    </w:p>
    <w:p w14:paraId="09A2D6B2" w14:textId="77777777" w:rsidR="00034784" w:rsidRPr="008010A7" w:rsidRDefault="00034784" w:rsidP="00034784">
      <w:pPr>
        <w:spacing w:after="0" w:line="240" w:lineRule="auto"/>
        <w:contextualSpacing/>
        <w:rPr>
          <w:rFonts w:eastAsia="Times New Roman" w:cs="Calibri"/>
          <w:bCs/>
          <w:u w:val="single"/>
          <w:lang w:eastAsia="hr-HR"/>
        </w:rPr>
      </w:pPr>
      <w:r w:rsidRPr="008010A7">
        <w:rPr>
          <w:rFonts w:eastAsia="Times New Roman" w:cs="Calibri"/>
          <w:bCs/>
          <w:u w:val="single"/>
          <w:lang w:eastAsia="hr-HR"/>
        </w:rPr>
        <w:t>Adrese mobilnih reciklažnih dvorišta:</w:t>
      </w:r>
    </w:p>
    <w:p w14:paraId="47132555"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BREZOVICA</w:t>
      </w:r>
      <w:r>
        <w:rPr>
          <w:rFonts w:eastAsia="Times New Roman" w:cs="Calibri"/>
          <w:bCs/>
          <w:lang w:eastAsia="hr-HR"/>
        </w:rPr>
        <w:t>, Prigradska ulica III odvojak</w:t>
      </w:r>
    </w:p>
    <w:p w14:paraId="448C1056"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BREZOVICA, Donjodragonoška cesta, iza kućnog</w:t>
      </w:r>
      <w:r>
        <w:rPr>
          <w:rFonts w:eastAsia="Times New Roman" w:cs="Calibri"/>
          <w:bCs/>
          <w:lang w:eastAsia="hr-HR"/>
        </w:rPr>
        <w:t xml:space="preserve"> broja 8C</w:t>
      </w:r>
    </w:p>
    <w:p w14:paraId="4C5B80A5"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Pr>
          <w:rFonts w:eastAsia="Times New Roman" w:cs="Calibri"/>
          <w:bCs/>
          <w:lang w:eastAsia="hr-HR"/>
        </w:rPr>
        <w:t>MRD GORNJA DUBRAVA, Ulica Klin</w:t>
      </w:r>
    </w:p>
    <w:p w14:paraId="6D6305C4"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GORNJI GRAD - MEDVEŠČAK, raskrižj</w:t>
      </w:r>
      <w:r>
        <w:rPr>
          <w:rFonts w:eastAsia="Times New Roman" w:cs="Calibri"/>
          <w:bCs/>
          <w:lang w:eastAsia="hr-HR"/>
        </w:rPr>
        <w:t>e ulica Horvatovac i Ružičnjak</w:t>
      </w:r>
    </w:p>
    <w:p w14:paraId="0AE12984"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PODSLJEME, Prilaz Kraljič</w:t>
      </w:r>
      <w:r>
        <w:rPr>
          <w:rFonts w:eastAsia="Times New Roman" w:cs="Calibri"/>
          <w:bCs/>
          <w:lang w:eastAsia="hr-HR"/>
        </w:rPr>
        <w:t>inom zdencu kod kućnog broja 4</w:t>
      </w:r>
    </w:p>
    <w:p w14:paraId="7B02636C"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PODSU</w:t>
      </w:r>
      <w:r>
        <w:rPr>
          <w:rFonts w:eastAsia="Times New Roman" w:cs="Calibri"/>
          <w:bCs/>
          <w:lang w:eastAsia="hr-HR"/>
        </w:rPr>
        <w:t>SED-VRAPČE, Ulica Prigornica 2</w:t>
      </w:r>
    </w:p>
    <w:p w14:paraId="25AD2876"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PODSUSED-VRAPČE, Ulica Vuč</w:t>
      </w:r>
      <w:r>
        <w:rPr>
          <w:rFonts w:eastAsia="Times New Roman" w:cs="Calibri"/>
          <w:bCs/>
          <w:lang w:eastAsia="hr-HR"/>
        </w:rPr>
        <w:t>ak, preko puta kućnog broja 16a</w:t>
      </w:r>
    </w:p>
    <w:p w14:paraId="7EF60504"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TREŠNJEVK</w:t>
      </w:r>
      <w:r>
        <w:rPr>
          <w:rFonts w:eastAsia="Times New Roman" w:cs="Calibri"/>
          <w:bCs/>
          <w:lang w:eastAsia="hr-HR"/>
        </w:rPr>
        <w:t>A - JUG, Ulica Marice Barić 6</w:t>
      </w:r>
    </w:p>
    <w:p w14:paraId="3F2B559A" w14:textId="77777777" w:rsidR="00034784" w:rsidRPr="008010A7" w:rsidRDefault="00034784" w:rsidP="00165C16">
      <w:pPr>
        <w:numPr>
          <w:ilvl w:val="0"/>
          <w:numId w:val="36"/>
        </w:numPr>
        <w:shd w:val="clear" w:color="auto" w:fill="FFFFFF"/>
        <w:spacing w:after="0" w:line="240" w:lineRule="auto"/>
        <w:ind w:left="426"/>
        <w:contextualSpacing/>
        <w:rPr>
          <w:rFonts w:eastAsia="Times New Roman" w:cs="Calibri"/>
          <w:bCs/>
          <w:lang w:eastAsia="hr-HR"/>
        </w:rPr>
      </w:pPr>
      <w:r w:rsidRPr="008010A7">
        <w:rPr>
          <w:rFonts w:eastAsia="Times New Roman" w:cs="Calibri"/>
          <w:bCs/>
          <w:lang w:eastAsia="hr-HR"/>
        </w:rPr>
        <w:t>MRD TRNJE, Ulica Frana Folnegovića, preko puta kućnog broja 10</w:t>
      </w:r>
    </w:p>
    <w:p w14:paraId="7C7FC531" w14:textId="77777777" w:rsidR="00034784" w:rsidRDefault="00034784" w:rsidP="00034784">
      <w:pPr>
        <w:pStyle w:val="Tijeloteksta2"/>
        <w:ind w:right="-2"/>
        <w:rPr>
          <w:rFonts w:ascii="Calibri" w:hAnsi="Calibri" w:cs="Calibri"/>
          <w:b w:val="0"/>
          <w:sz w:val="22"/>
          <w:szCs w:val="22"/>
        </w:rPr>
      </w:pPr>
    </w:p>
    <w:p w14:paraId="4CBCD73F" w14:textId="77777777" w:rsidR="00034784" w:rsidRPr="001D260F" w:rsidRDefault="00034784" w:rsidP="00034784">
      <w:pPr>
        <w:pStyle w:val="Odlomakpopisa"/>
        <w:tabs>
          <w:tab w:val="left" w:pos="0"/>
        </w:tabs>
        <w:spacing w:after="0" w:line="240" w:lineRule="auto"/>
        <w:ind w:left="0"/>
        <w:jc w:val="both"/>
        <w:rPr>
          <w:rFonts w:eastAsia="Times New Roman"/>
          <w:bCs/>
          <w:lang w:eastAsia="hr-HR"/>
        </w:rPr>
      </w:pPr>
      <w:r w:rsidRPr="001D260F">
        <w:rPr>
          <w:rFonts w:eastAsia="Times New Roman"/>
          <w:bCs/>
          <w:lang w:eastAsia="hr-HR"/>
        </w:rPr>
        <w:t>Planom gospodarenja otpadom Grada Zagreba za razdoblje 2018. - 2023. godine je određen popis aktivnosti i projekata koji su od važnosti za njegovu provedbu, između ostalog je to i projekt izgradnje postrojenja za obradu biootpada te postrojenja za sortiranje odvojeno prikupljenog komunalnog otpada – sortirnica.</w:t>
      </w:r>
    </w:p>
    <w:p w14:paraId="039A5BD7" w14:textId="77777777" w:rsidR="00034784" w:rsidRDefault="00034784" w:rsidP="00034784">
      <w:pPr>
        <w:pStyle w:val="Odlomakpopisa"/>
        <w:tabs>
          <w:tab w:val="left" w:pos="0"/>
        </w:tabs>
        <w:spacing w:after="0" w:line="240" w:lineRule="auto"/>
        <w:ind w:left="0"/>
        <w:jc w:val="both"/>
        <w:rPr>
          <w:rFonts w:eastAsia="Times New Roman"/>
          <w:bCs/>
          <w:lang w:eastAsia="hr-HR"/>
        </w:rPr>
      </w:pPr>
      <w:r>
        <w:rPr>
          <w:rFonts w:eastAsia="Times New Roman"/>
          <w:bCs/>
          <w:lang w:eastAsia="hr-HR"/>
        </w:rPr>
        <w:t>Na godišnjoj razini, sukladno odredbama Zakona o održivom gospodarenju otpadom, izrađuje se izvješće o provedbi Plana</w:t>
      </w:r>
      <w:r w:rsidRPr="00832BDB">
        <w:rPr>
          <w:rFonts w:eastAsia="Times New Roman"/>
          <w:bCs/>
          <w:lang w:eastAsia="hr-HR"/>
        </w:rPr>
        <w:t xml:space="preserve"> gospodarenja otpadom Grada Zagreba za razdoblje 2018. - 2023. godine</w:t>
      </w:r>
      <w:r>
        <w:rPr>
          <w:rFonts w:eastAsia="Times New Roman"/>
          <w:bCs/>
          <w:lang w:eastAsia="hr-HR"/>
        </w:rPr>
        <w:t>. Sukladno Izvješću o provedbi Plana</w:t>
      </w:r>
      <w:r w:rsidRPr="00832BDB">
        <w:rPr>
          <w:rFonts w:eastAsia="Times New Roman"/>
          <w:bCs/>
          <w:lang w:eastAsia="hr-HR"/>
        </w:rPr>
        <w:t xml:space="preserve"> gospodarenja otpadom Grada Zagreba za razdoblje 2018. - 2023. </w:t>
      </w:r>
      <w:r>
        <w:rPr>
          <w:rFonts w:eastAsia="Times New Roman"/>
          <w:bCs/>
          <w:lang w:eastAsia="hr-HR"/>
        </w:rPr>
        <w:t xml:space="preserve"> za razdoblje od 1.1.2019. - 31.12.2019. i razvojnim potrebama,</w:t>
      </w:r>
      <w:r w:rsidRPr="00832BDB">
        <w:rPr>
          <w:rFonts w:eastAsia="Times New Roman"/>
          <w:bCs/>
          <w:lang w:eastAsia="hr-HR"/>
        </w:rPr>
        <w:t xml:space="preserve"> </w:t>
      </w:r>
      <w:r>
        <w:rPr>
          <w:rFonts w:eastAsia="Times New Roman"/>
          <w:bCs/>
          <w:lang w:eastAsia="hr-HR"/>
        </w:rPr>
        <w:t>p</w:t>
      </w:r>
      <w:r w:rsidRPr="001D260F">
        <w:rPr>
          <w:rFonts w:eastAsia="Times New Roman"/>
          <w:bCs/>
          <w:lang w:eastAsia="hr-HR"/>
        </w:rPr>
        <w:t xml:space="preserve">ostrojenje za sortiranje odvojeno prikupljenog otpada – sortirnica planira se izgraditi na području „DIOKI“. </w:t>
      </w:r>
    </w:p>
    <w:p w14:paraId="52A02458" w14:textId="178FCC52" w:rsidR="00034784" w:rsidRPr="002E0171" w:rsidRDefault="00C819C5" w:rsidP="002E0171">
      <w:pPr>
        <w:pStyle w:val="Odlomakpopisa"/>
        <w:tabs>
          <w:tab w:val="left" w:pos="0"/>
        </w:tabs>
        <w:spacing w:after="0" w:line="240" w:lineRule="auto"/>
        <w:ind w:left="0"/>
        <w:jc w:val="both"/>
        <w:rPr>
          <w:rFonts w:eastAsia="Times New Roman"/>
          <w:bCs/>
          <w:lang w:eastAsia="hr-HR"/>
        </w:rPr>
      </w:pPr>
      <w:r w:rsidRPr="00C819C5">
        <w:rPr>
          <w:rFonts w:eastAsia="Times New Roman"/>
          <w:bCs/>
          <w:lang w:eastAsia="hr-HR"/>
        </w:rPr>
        <w:t>Izrađen je Idejni projekt Postrojenja za automatsko sortiranje odvojeno prikupljenog komunalnog otpada Grada Zagreba, s transformatorskim stanicama i sunčanom fotonaponskom elektranom. Temeljem Idejnog projekta, 14. rujna 2021. godine izdana je lokacijska dozvola u skladu s Odlukom o donošenju Generalnog urbanističkog plana grada Zagreba (SGGZ16/07, 8/09, 7/13, 9/16, 12/16 -pročišćeni tekst).</w:t>
      </w:r>
    </w:p>
    <w:p w14:paraId="649F2D77" w14:textId="77777777" w:rsidR="00034784" w:rsidRPr="00116319" w:rsidRDefault="00034784" w:rsidP="00034784">
      <w:pPr>
        <w:pStyle w:val="Tijeloteksta2"/>
        <w:ind w:right="-2"/>
        <w:contextualSpacing/>
        <w:rPr>
          <w:rFonts w:ascii="Calibri" w:hAnsi="Calibri"/>
          <w:b w:val="0"/>
          <w:sz w:val="22"/>
          <w:szCs w:val="22"/>
        </w:rPr>
      </w:pPr>
      <w:r w:rsidRPr="001D260F">
        <w:rPr>
          <w:rFonts w:ascii="Calibri" w:hAnsi="Calibri"/>
          <w:b w:val="0"/>
          <w:sz w:val="22"/>
          <w:szCs w:val="22"/>
        </w:rPr>
        <w:t>Kompostiranje u Gradu Zagrebu provodi se u dvije kompostane kojima upravlja Zagreba</w:t>
      </w:r>
      <w:r w:rsidRPr="001D260F">
        <w:rPr>
          <w:rFonts w:ascii="Calibri" w:hAnsi="Calibri" w:hint="eastAsia"/>
          <w:b w:val="0"/>
          <w:sz w:val="22"/>
          <w:szCs w:val="22"/>
        </w:rPr>
        <w:t>č</w:t>
      </w:r>
      <w:r w:rsidRPr="001D260F">
        <w:rPr>
          <w:rFonts w:ascii="Calibri" w:hAnsi="Calibri"/>
          <w:b w:val="0"/>
          <w:sz w:val="22"/>
          <w:szCs w:val="22"/>
        </w:rPr>
        <w:t>ki holding d.o.o.- Podružnica Zrinjevac.</w:t>
      </w:r>
      <w:r>
        <w:rPr>
          <w:rFonts w:ascii="Calibri" w:hAnsi="Calibri"/>
          <w:b w:val="0"/>
          <w:sz w:val="22"/>
          <w:szCs w:val="22"/>
        </w:rPr>
        <w:t xml:space="preserve"> U kompostani Markuševac se godišnje obradi oko 4000 t otpada, a u kompostani Prudinec oko 15000 t otpada.</w:t>
      </w:r>
    </w:p>
    <w:p w14:paraId="49A024D7" w14:textId="77777777" w:rsidR="00034784" w:rsidRDefault="00034784" w:rsidP="00034784">
      <w:pPr>
        <w:pStyle w:val="Tijeloteksta2"/>
        <w:ind w:right="-2"/>
        <w:rPr>
          <w:rFonts w:ascii="Calibri" w:hAnsi="Calibri" w:cs="Calibri"/>
          <w:b w:val="0"/>
          <w:sz w:val="22"/>
          <w:szCs w:val="22"/>
        </w:rPr>
      </w:pPr>
    </w:p>
    <w:p w14:paraId="1FB23A8D" w14:textId="77777777" w:rsidR="00034784" w:rsidRPr="009D67FC" w:rsidRDefault="00034784" w:rsidP="00034784">
      <w:pPr>
        <w:pStyle w:val="Tijeloteksta2"/>
        <w:ind w:right="-2"/>
        <w:rPr>
          <w:rFonts w:ascii="Calibri" w:hAnsi="Calibri" w:cs="Calibri"/>
          <w:b w:val="0"/>
          <w:sz w:val="22"/>
          <w:szCs w:val="22"/>
        </w:rPr>
      </w:pPr>
      <w:r w:rsidRPr="009D67FC">
        <w:rPr>
          <w:rFonts w:ascii="Calibri" w:hAnsi="Calibri" w:cs="Calibri"/>
          <w:b w:val="0"/>
          <w:sz w:val="22"/>
          <w:szCs w:val="22"/>
        </w:rPr>
        <w:t>Jedan od većih problema u gospodarenju otpadom u Gradu Zagrebu je nepropisno odloženi otpad, tj. „divlja odlagališta“ koja se redovno saniraju sukladno godišnjim planovima Zagrebačkog holdinga d.o.o. - Podružnice Čistoća. Ista se saniraju slijedom naloga komunalnog redarstva i inspekcije zaštite okoliša. Najviše lokacija nalazi se u rubnim dijelovima Grada Zagreba gdje se dovozi otpad i iz drugih županija. Akcije saniranja „divljih odlagališta“ provode se kontinuirano od 2001. godine. U prvom polugodištu 2020. godine očišćeno je 1505 divljih odlagališta što je smanjenje od 15,96 % u odnosu na prvo polugodište 2019. godine.</w:t>
      </w:r>
    </w:p>
    <w:p w14:paraId="3DE9C1D1" w14:textId="77777777" w:rsidR="00034784" w:rsidRPr="00A22A3E" w:rsidRDefault="00034784" w:rsidP="00034784">
      <w:pPr>
        <w:spacing w:line="240" w:lineRule="auto"/>
        <w:jc w:val="both"/>
      </w:pPr>
      <w:r w:rsidRPr="00A22A3E">
        <w:t>Potres je u sektoru okoliša utjecao na značajno povećanje količine građevinskog i glomaznog otpada, a golema šteta koja je nastala na građevinama u epicentralnom području te u središnjoj jezgri grada Zagreba sanirat će se dugi niz godina te će uvelike utjecati na dinamiku budućeg razvoja Grada Zagreba. Pandemija koronavirusa je u sektoru okoliša utjecala na povećanje količine infektivnog i ambalažnog otpada.</w:t>
      </w:r>
    </w:p>
    <w:p w14:paraId="4BBD3116" w14:textId="145E9925" w:rsidR="00034784" w:rsidRPr="009D67FC" w:rsidRDefault="00C819C5" w:rsidP="00034784">
      <w:pPr>
        <w:pStyle w:val="Tijeloteksta2"/>
        <w:ind w:right="-2"/>
        <w:rPr>
          <w:rFonts w:ascii="Calibri" w:hAnsi="Calibri"/>
          <w:b w:val="0"/>
          <w:sz w:val="22"/>
          <w:szCs w:val="22"/>
        </w:rPr>
      </w:pPr>
      <w:r w:rsidRPr="009D67FC">
        <w:rPr>
          <w:rFonts w:ascii="Calibri" w:hAnsi="Calibri"/>
          <w:b w:val="0"/>
          <w:sz w:val="22"/>
          <w:szCs w:val="22"/>
        </w:rPr>
        <w:t>Zagrebački</w:t>
      </w:r>
      <w:r w:rsidR="00034784" w:rsidRPr="009D67FC">
        <w:rPr>
          <w:rFonts w:ascii="Calibri" w:hAnsi="Calibri"/>
          <w:b w:val="0"/>
          <w:sz w:val="22"/>
          <w:szCs w:val="22"/>
        </w:rPr>
        <w:t xml:space="preserve"> centar za gospodarenje otpadom, društvo s ograničenom odgovornošću za gospodarenje otpadom, osnovan je od strane Grada Zagreba i registriran u Trgovačkom sudu 2. siječnja 2014. godine s ciljem uspostave i provedbe cjelovitog sustava gospodarenja otpadom u Gradu Zagrebu na održiv način.</w:t>
      </w:r>
    </w:p>
    <w:p w14:paraId="341101BE" w14:textId="77777777" w:rsidR="00034784" w:rsidRPr="009D67FC" w:rsidRDefault="00034784" w:rsidP="00034784">
      <w:pPr>
        <w:tabs>
          <w:tab w:val="left" w:pos="-720"/>
        </w:tabs>
        <w:suppressAutoHyphens/>
        <w:ind w:right="-2"/>
        <w:jc w:val="both"/>
        <w:rPr>
          <w:rFonts w:cs="Calibri"/>
          <w:b/>
        </w:rPr>
      </w:pPr>
    </w:p>
    <w:p w14:paraId="0B7CAD52" w14:textId="6A802130" w:rsidR="00034784" w:rsidRPr="009D67FC" w:rsidRDefault="00ED75AB" w:rsidP="00ED75AB">
      <w:pPr>
        <w:pStyle w:val="Opisslike"/>
        <w:rPr>
          <w:rFonts w:ascii="Calibri" w:hAnsi="Calibri" w:cs="Calibri"/>
          <w:b/>
          <w:sz w:val="22"/>
          <w:szCs w:val="22"/>
        </w:rPr>
      </w:pPr>
      <w:r>
        <w:t xml:space="preserve">Slika </w:t>
      </w:r>
      <w:r w:rsidR="00751C19">
        <w:fldChar w:fldCharType="begin"/>
      </w:r>
      <w:r w:rsidR="00751C19">
        <w:instrText xml:space="preserve"> SEQ Slika \* ARABIC </w:instrText>
      </w:r>
      <w:r w:rsidR="00751C19">
        <w:fldChar w:fldCharType="separate"/>
      </w:r>
      <w:r>
        <w:rPr>
          <w:noProof/>
        </w:rPr>
        <w:t>7</w:t>
      </w:r>
      <w:r w:rsidR="00751C19">
        <w:rPr>
          <w:noProof/>
        </w:rPr>
        <w:fldChar w:fldCharType="end"/>
      </w:r>
      <w:r>
        <w:t xml:space="preserve">. </w:t>
      </w:r>
      <w:r w:rsidRPr="00955A6C">
        <w:t>Lokacija z</w:t>
      </w:r>
      <w:r>
        <w:t>a</w:t>
      </w:r>
      <w:r w:rsidRPr="00955A6C">
        <w:t xml:space="preserve"> gospodarenje otpadom</w:t>
      </w:r>
    </w:p>
    <w:p w14:paraId="4911C75B" w14:textId="77777777" w:rsidR="00034784" w:rsidRDefault="00034784" w:rsidP="00034784">
      <w:pPr>
        <w:pStyle w:val="Tijeloteksta2"/>
        <w:ind w:right="-2"/>
        <w:rPr>
          <w:rFonts w:ascii="Calibri" w:hAnsi="Calibri"/>
          <w:b w:val="0"/>
          <w:sz w:val="22"/>
          <w:szCs w:val="22"/>
        </w:rPr>
      </w:pPr>
      <w:r>
        <w:rPr>
          <w:noProof/>
        </w:rPr>
        <w:drawing>
          <wp:inline distT="0" distB="0" distL="0" distR="0" wp14:anchorId="01989E34" wp14:editId="56F9F30D">
            <wp:extent cx="4933315" cy="6326505"/>
            <wp:effectExtent l="0" t="0" r="635"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33315" cy="6326505"/>
                    </a:xfrm>
                    <a:prstGeom prst="rect">
                      <a:avLst/>
                    </a:prstGeom>
                    <a:noFill/>
                    <a:ln>
                      <a:noFill/>
                    </a:ln>
                  </pic:spPr>
                </pic:pic>
              </a:graphicData>
            </a:graphic>
          </wp:inline>
        </w:drawing>
      </w:r>
    </w:p>
    <w:p w14:paraId="4A19BA1C" w14:textId="77777777" w:rsidR="00034784" w:rsidRDefault="00034784" w:rsidP="00034784">
      <w:pPr>
        <w:pStyle w:val="Tijeloteksta2"/>
        <w:ind w:right="-2"/>
        <w:rPr>
          <w:rFonts w:ascii="Calibri" w:hAnsi="Calibri"/>
          <w:b w:val="0"/>
          <w:sz w:val="22"/>
          <w:szCs w:val="22"/>
        </w:rPr>
      </w:pPr>
    </w:p>
    <w:p w14:paraId="5805AC05" w14:textId="08D35833" w:rsidR="00034784" w:rsidRDefault="00ED75AB" w:rsidP="00ED75AB">
      <w:pPr>
        <w:pStyle w:val="Opisslike"/>
        <w:rPr>
          <w:noProof/>
          <w:lang w:eastAsia="hr-HR"/>
        </w:rPr>
      </w:pPr>
      <w:r>
        <w:t xml:space="preserve">Slika </w:t>
      </w:r>
      <w:r w:rsidR="00751C19">
        <w:fldChar w:fldCharType="begin"/>
      </w:r>
      <w:r w:rsidR="00751C19">
        <w:instrText xml:space="preserve"> SEQ Slika \* ARABIC </w:instrText>
      </w:r>
      <w:r w:rsidR="00751C19">
        <w:fldChar w:fldCharType="separate"/>
      </w:r>
      <w:r>
        <w:rPr>
          <w:noProof/>
        </w:rPr>
        <w:t>8</w:t>
      </w:r>
      <w:r w:rsidR="00751C19">
        <w:rPr>
          <w:noProof/>
        </w:rPr>
        <w:fldChar w:fldCharType="end"/>
      </w:r>
      <w:r>
        <w:t xml:space="preserve">. </w:t>
      </w:r>
      <w:r w:rsidRPr="007C7E0E">
        <w:t>Lokacija za gospodarenje otpadom</w:t>
      </w:r>
    </w:p>
    <w:p w14:paraId="6CA53293" w14:textId="77777777" w:rsidR="00034784" w:rsidRDefault="00034784" w:rsidP="00034784">
      <w:pPr>
        <w:rPr>
          <w:noProof/>
          <w:lang w:eastAsia="hr-HR"/>
        </w:rPr>
      </w:pPr>
      <w:r>
        <w:rPr>
          <w:noProof/>
        </w:rPr>
        <w:drawing>
          <wp:inline distT="0" distB="0" distL="0" distR="0" wp14:anchorId="4DEE2279" wp14:editId="43AD5EB6">
            <wp:extent cx="4933315" cy="4241874"/>
            <wp:effectExtent l="0" t="0" r="635" b="635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933315" cy="4241874"/>
                    </a:xfrm>
                    <a:prstGeom prst="rect">
                      <a:avLst/>
                    </a:prstGeom>
                    <a:noFill/>
                    <a:ln>
                      <a:noFill/>
                    </a:ln>
                  </pic:spPr>
                </pic:pic>
              </a:graphicData>
            </a:graphic>
          </wp:inline>
        </w:drawing>
      </w:r>
      <w:r>
        <w:rPr>
          <w:noProof/>
          <w:lang w:eastAsia="hr-HR"/>
        </w:rPr>
        <w:t xml:space="preserve"> </w:t>
      </w:r>
    </w:p>
    <w:p w14:paraId="18922DC9" w14:textId="77777777" w:rsidR="00034784" w:rsidRDefault="00034784" w:rsidP="00034784">
      <w:pPr>
        <w:rPr>
          <w:noProof/>
          <w:lang w:eastAsia="hr-HR"/>
        </w:rPr>
      </w:pPr>
      <w:r w:rsidRPr="00BE1676">
        <w:rPr>
          <w:noProof/>
          <w:lang w:eastAsia="hr-HR"/>
        </w:rPr>
        <w:t>Izvor: Geoportal zagrebačke infrastrukture prostornih podataka (ZG Geoportal)</w:t>
      </w:r>
      <w:r>
        <w:rPr>
          <w:noProof/>
          <w:lang w:eastAsia="hr-HR"/>
        </w:rPr>
        <w:t xml:space="preserve"> </w:t>
      </w:r>
    </w:p>
    <w:p w14:paraId="20DAD627" w14:textId="77777777" w:rsidR="00034784" w:rsidRDefault="00034784" w:rsidP="00034784">
      <w:pPr>
        <w:pStyle w:val="Bezproreda"/>
        <w:jc w:val="both"/>
        <w:rPr>
          <w:rFonts w:cs="Calibri"/>
        </w:rPr>
      </w:pPr>
    </w:p>
    <w:tbl>
      <w:tblPr>
        <w:tblW w:w="5000" w:type="pct"/>
        <w:shd w:val="clear" w:color="auto" w:fill="CCCCCC"/>
        <w:tblLook w:val="01E0" w:firstRow="1" w:lastRow="1" w:firstColumn="1" w:lastColumn="1" w:noHBand="0" w:noVBand="0"/>
      </w:tblPr>
      <w:tblGrid>
        <w:gridCol w:w="4536"/>
        <w:gridCol w:w="4536"/>
      </w:tblGrid>
      <w:tr w:rsidR="00034784" w14:paraId="1F1C6146" w14:textId="77777777" w:rsidTr="00072476">
        <w:tc>
          <w:tcPr>
            <w:tcW w:w="2500" w:type="pct"/>
            <w:shd w:val="clear" w:color="auto" w:fill="CCCCCC"/>
            <w:hideMark/>
          </w:tcPr>
          <w:p w14:paraId="0656514A" w14:textId="77777777" w:rsidR="00034784" w:rsidRDefault="00034784" w:rsidP="00072476">
            <w:pPr>
              <w:pStyle w:val="StandardWeb"/>
              <w:spacing w:before="60" w:beforeAutospacing="0" w:after="60" w:afterAutospacing="0"/>
              <w:jc w:val="both"/>
              <w:rPr>
                <w:rFonts w:ascii="Calibri" w:hAnsi="Calibri" w:cs="Calibri"/>
                <w:b/>
                <w:sz w:val="18"/>
                <w:szCs w:val="18"/>
              </w:rPr>
            </w:pPr>
            <w:r>
              <w:rPr>
                <w:rFonts w:ascii="Calibri" w:hAnsi="Calibri" w:cs="Calibri"/>
                <w:b/>
                <w:sz w:val="18"/>
                <w:szCs w:val="18"/>
              </w:rPr>
              <w:t>RAZVOJNI PROBLEMI</w:t>
            </w:r>
          </w:p>
        </w:tc>
        <w:tc>
          <w:tcPr>
            <w:tcW w:w="2500" w:type="pct"/>
            <w:shd w:val="clear" w:color="auto" w:fill="99CCFF"/>
            <w:hideMark/>
          </w:tcPr>
          <w:p w14:paraId="3879436C" w14:textId="77777777" w:rsidR="00034784" w:rsidRDefault="00034784" w:rsidP="00072476">
            <w:pPr>
              <w:pStyle w:val="StandardWeb"/>
              <w:spacing w:before="60" w:beforeAutospacing="0" w:after="60" w:afterAutospacing="0"/>
              <w:jc w:val="both"/>
              <w:rPr>
                <w:rFonts w:ascii="Calibri" w:hAnsi="Calibri" w:cs="Calibri"/>
                <w:b/>
                <w:sz w:val="18"/>
                <w:szCs w:val="18"/>
              </w:rPr>
            </w:pPr>
            <w:r>
              <w:rPr>
                <w:rFonts w:ascii="Calibri" w:hAnsi="Calibri" w:cs="Calibri"/>
                <w:b/>
                <w:sz w:val="18"/>
                <w:szCs w:val="18"/>
              </w:rPr>
              <w:t>RAZVOJNE POTREBE</w:t>
            </w:r>
          </w:p>
        </w:tc>
      </w:tr>
      <w:tr w:rsidR="00034784" w14:paraId="7007092F" w14:textId="77777777" w:rsidTr="00072476">
        <w:tc>
          <w:tcPr>
            <w:tcW w:w="2500" w:type="pct"/>
            <w:shd w:val="clear" w:color="auto" w:fill="CCCCCC"/>
            <w:hideMark/>
          </w:tcPr>
          <w:p w14:paraId="1ECC8882"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nelegalna odlagališta otpada</w:t>
            </w:r>
          </w:p>
          <w:p w14:paraId="279DA10B"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nedovoljna provedba mjera za izbjegavanje stvaranja otpada i smanjivanja njegovih količina</w:t>
            </w:r>
          </w:p>
          <w:p w14:paraId="6537F737" w14:textId="77777777" w:rsidR="00034784" w:rsidRPr="005F78D5" w:rsidRDefault="00034784" w:rsidP="00165C16">
            <w:pPr>
              <w:pStyle w:val="StandardWeb"/>
              <w:numPr>
                <w:ilvl w:val="0"/>
                <w:numId w:val="1"/>
              </w:numPr>
              <w:tabs>
                <w:tab w:val="num" w:pos="284"/>
              </w:tabs>
              <w:spacing w:before="60" w:beforeAutospacing="0" w:after="60" w:afterAutospacing="0"/>
              <w:ind w:left="284" w:right="-2" w:hanging="284"/>
              <w:rPr>
                <w:rFonts w:asciiTheme="minorHAnsi" w:hAnsiTheme="minorHAnsi" w:cstheme="minorHAnsi"/>
                <w:sz w:val="18"/>
                <w:szCs w:val="18"/>
              </w:rPr>
            </w:pPr>
            <w:r w:rsidRPr="005F78D5">
              <w:rPr>
                <w:rFonts w:asciiTheme="minorHAnsi" w:hAnsiTheme="minorHAnsi" w:cstheme="minorHAnsi"/>
                <w:sz w:val="18"/>
                <w:szCs w:val="18"/>
              </w:rPr>
              <w:t xml:space="preserve">nepostojanje postrojenja za sortiranje </w:t>
            </w:r>
            <w:r>
              <w:rPr>
                <w:rFonts w:asciiTheme="minorHAnsi" w:hAnsiTheme="minorHAnsi" w:cstheme="minorHAnsi"/>
                <w:sz w:val="18"/>
                <w:szCs w:val="18"/>
              </w:rPr>
              <w:t xml:space="preserve"> i obradu </w:t>
            </w:r>
            <w:r w:rsidRPr="005F78D5">
              <w:rPr>
                <w:rFonts w:asciiTheme="minorHAnsi" w:hAnsiTheme="minorHAnsi" w:cstheme="minorHAnsi"/>
                <w:sz w:val="18"/>
                <w:szCs w:val="18"/>
              </w:rPr>
              <w:t xml:space="preserve">odvojeno prikupljenih vrsta </w:t>
            </w:r>
            <w:r>
              <w:rPr>
                <w:rFonts w:asciiTheme="minorHAnsi" w:hAnsiTheme="minorHAnsi" w:cstheme="minorHAnsi"/>
                <w:sz w:val="18"/>
                <w:szCs w:val="18"/>
              </w:rPr>
              <w:t xml:space="preserve">korisnog </w:t>
            </w:r>
            <w:r w:rsidRPr="005F78D5">
              <w:rPr>
                <w:rFonts w:asciiTheme="minorHAnsi" w:hAnsiTheme="minorHAnsi" w:cstheme="minorHAnsi"/>
                <w:sz w:val="18"/>
                <w:szCs w:val="18"/>
              </w:rPr>
              <w:t>otpada</w:t>
            </w:r>
          </w:p>
          <w:p w14:paraId="2F13D91D" w14:textId="77777777" w:rsidR="00034784" w:rsidRPr="005F78D5" w:rsidRDefault="00034784" w:rsidP="00165C16">
            <w:pPr>
              <w:numPr>
                <w:ilvl w:val="0"/>
                <w:numId w:val="1"/>
              </w:numPr>
              <w:tabs>
                <w:tab w:val="clear" w:pos="720"/>
                <w:tab w:val="num" w:pos="284"/>
                <w:tab w:val="num" w:pos="502"/>
              </w:tabs>
              <w:spacing w:before="60" w:after="60" w:line="240" w:lineRule="auto"/>
              <w:ind w:left="284" w:right="-2" w:hanging="284"/>
              <w:rPr>
                <w:rFonts w:eastAsia="Times New Roman" w:cstheme="minorHAnsi"/>
                <w:sz w:val="18"/>
                <w:szCs w:val="18"/>
                <w:lang w:eastAsia="hr-HR"/>
              </w:rPr>
            </w:pPr>
            <w:r w:rsidRPr="005F78D5">
              <w:rPr>
                <w:rFonts w:eastAsia="Times New Roman" w:cstheme="minorHAnsi"/>
                <w:sz w:val="18"/>
                <w:szCs w:val="18"/>
                <w:lang w:eastAsia="hr-HR"/>
              </w:rPr>
              <w:t xml:space="preserve">nepropisno </w:t>
            </w:r>
            <w:r>
              <w:rPr>
                <w:rFonts w:eastAsia="Times New Roman" w:cstheme="minorHAnsi"/>
                <w:sz w:val="18"/>
                <w:szCs w:val="18"/>
                <w:lang w:eastAsia="hr-HR"/>
              </w:rPr>
              <w:t xml:space="preserve">odložen </w:t>
            </w:r>
            <w:r w:rsidRPr="005F78D5">
              <w:rPr>
                <w:rFonts w:eastAsia="Times New Roman" w:cstheme="minorHAnsi"/>
                <w:sz w:val="18"/>
                <w:szCs w:val="18"/>
                <w:lang w:eastAsia="hr-HR"/>
              </w:rPr>
              <w:t xml:space="preserve">otpad </w:t>
            </w:r>
          </w:p>
          <w:p w14:paraId="277D0919" w14:textId="77777777" w:rsidR="00034784" w:rsidRDefault="00034784" w:rsidP="00165C16">
            <w:pPr>
              <w:numPr>
                <w:ilvl w:val="0"/>
                <w:numId w:val="1"/>
              </w:numPr>
              <w:tabs>
                <w:tab w:val="clear" w:pos="720"/>
                <w:tab w:val="num" w:pos="284"/>
                <w:tab w:val="num" w:pos="502"/>
              </w:tabs>
              <w:spacing w:before="60" w:after="60" w:line="240" w:lineRule="auto"/>
              <w:ind w:left="284" w:right="-2" w:hanging="284"/>
              <w:rPr>
                <w:rFonts w:eastAsia="Times New Roman" w:cstheme="minorHAnsi"/>
                <w:sz w:val="18"/>
                <w:szCs w:val="18"/>
                <w:lang w:eastAsia="hr-HR"/>
              </w:rPr>
            </w:pPr>
            <w:r w:rsidRPr="005F78D5">
              <w:rPr>
                <w:rFonts w:eastAsia="Times New Roman" w:cstheme="minorHAnsi"/>
                <w:sz w:val="18"/>
                <w:szCs w:val="18"/>
                <w:lang w:eastAsia="hr-HR"/>
              </w:rPr>
              <w:t>nerazumijevanje uloga i odgovornosti te nedovoljna suradnja ključnih dionika na području gospodarenja otpadom</w:t>
            </w:r>
          </w:p>
          <w:p w14:paraId="02D2DC94" w14:textId="77777777" w:rsidR="00034784" w:rsidRDefault="00034784" w:rsidP="00165C16">
            <w:pPr>
              <w:numPr>
                <w:ilvl w:val="0"/>
                <w:numId w:val="1"/>
              </w:numPr>
              <w:tabs>
                <w:tab w:val="clear" w:pos="720"/>
                <w:tab w:val="num" w:pos="284"/>
                <w:tab w:val="num" w:pos="502"/>
              </w:tabs>
              <w:spacing w:before="60" w:after="60" w:line="240" w:lineRule="auto"/>
              <w:ind w:left="284" w:right="-2" w:hanging="284"/>
              <w:rPr>
                <w:rFonts w:eastAsia="Times New Roman" w:cstheme="minorHAnsi"/>
                <w:sz w:val="18"/>
                <w:szCs w:val="18"/>
                <w:lang w:eastAsia="hr-HR"/>
              </w:rPr>
            </w:pPr>
            <w:r>
              <w:rPr>
                <w:rFonts w:eastAsia="Times New Roman" w:cstheme="minorHAnsi"/>
                <w:sz w:val="18"/>
                <w:szCs w:val="18"/>
                <w:lang w:eastAsia="hr-HR"/>
              </w:rPr>
              <w:t>povećanje količine građevinskog i glomaznog otpada kao posljedice šteta na objektima i infrastrukturi uzrokovanim potresom</w:t>
            </w:r>
          </w:p>
          <w:p w14:paraId="6E64BABB" w14:textId="77777777" w:rsidR="00034784" w:rsidRPr="005F78D5" w:rsidRDefault="00034784" w:rsidP="00165C16">
            <w:pPr>
              <w:numPr>
                <w:ilvl w:val="0"/>
                <w:numId w:val="1"/>
              </w:numPr>
              <w:tabs>
                <w:tab w:val="clear" w:pos="720"/>
                <w:tab w:val="num" w:pos="284"/>
                <w:tab w:val="num" w:pos="502"/>
              </w:tabs>
              <w:spacing w:before="60" w:after="60" w:line="240" w:lineRule="auto"/>
              <w:ind w:left="284" w:right="-2" w:hanging="284"/>
              <w:rPr>
                <w:rFonts w:eastAsia="Times New Roman" w:cstheme="minorHAnsi"/>
                <w:sz w:val="18"/>
                <w:szCs w:val="18"/>
                <w:lang w:eastAsia="hr-HR"/>
              </w:rPr>
            </w:pPr>
            <w:r>
              <w:rPr>
                <w:rFonts w:eastAsia="Times New Roman" w:cstheme="minorHAnsi"/>
                <w:sz w:val="18"/>
                <w:szCs w:val="18"/>
                <w:lang w:eastAsia="hr-HR"/>
              </w:rPr>
              <w:t>povećane količine infektivnog i ambalažnog otpada kao posljedica pandemije COVID-19</w:t>
            </w:r>
          </w:p>
          <w:p w14:paraId="295C9525" w14:textId="77777777" w:rsidR="00034784" w:rsidRDefault="00034784" w:rsidP="00072476">
            <w:pPr>
              <w:pStyle w:val="StandardWeb"/>
              <w:spacing w:before="60" w:beforeAutospacing="0" w:after="60" w:afterAutospacing="0"/>
              <w:ind w:left="284" w:right="-2"/>
              <w:rPr>
                <w:rFonts w:ascii="Calibri" w:hAnsi="Calibri" w:cs="Calibri"/>
                <w:sz w:val="18"/>
                <w:szCs w:val="18"/>
              </w:rPr>
            </w:pPr>
          </w:p>
        </w:tc>
        <w:tc>
          <w:tcPr>
            <w:tcW w:w="2500" w:type="pct"/>
            <w:shd w:val="clear" w:color="auto" w:fill="99CCFF"/>
            <w:hideMark/>
          </w:tcPr>
          <w:p w14:paraId="5FD26490" w14:textId="3F1D5702" w:rsidR="00034784" w:rsidRPr="00283A26" w:rsidRDefault="00034784" w:rsidP="00165C16">
            <w:pPr>
              <w:pStyle w:val="StandardWeb"/>
              <w:numPr>
                <w:ilvl w:val="0"/>
                <w:numId w:val="1"/>
              </w:numPr>
              <w:spacing w:before="60" w:beforeAutospacing="0" w:after="60" w:afterAutospacing="0"/>
              <w:ind w:right="-2"/>
              <w:rPr>
                <w:rFonts w:ascii="Calibri" w:hAnsi="Calibri" w:cs="Calibri"/>
                <w:sz w:val="18"/>
                <w:szCs w:val="18"/>
              </w:rPr>
            </w:pPr>
            <w:r>
              <w:rPr>
                <w:rFonts w:ascii="Calibri" w:hAnsi="Calibri" w:cs="Calibri"/>
                <w:sz w:val="18"/>
                <w:szCs w:val="18"/>
              </w:rPr>
              <w:t xml:space="preserve">uspostaviti cjeloviti sustav gospodarenja otpadom koji će uključivati sve elemente predviđene redom prvenstva u gospodarenju otpadom s dugoročnim ciljevima u skladu s gospodarskim </w:t>
            </w:r>
            <w:r w:rsidRPr="00283A26">
              <w:rPr>
                <w:rFonts w:ascii="Calibri" w:hAnsi="Calibri" w:cs="Calibri"/>
                <w:sz w:val="18"/>
                <w:szCs w:val="18"/>
              </w:rPr>
              <w:t>mogućnostima</w:t>
            </w:r>
          </w:p>
          <w:p w14:paraId="2568C407" w14:textId="77777777" w:rsidR="00034784" w:rsidRPr="00283A26" w:rsidRDefault="00034784" w:rsidP="00165C16">
            <w:pPr>
              <w:pStyle w:val="StandardWeb"/>
              <w:numPr>
                <w:ilvl w:val="0"/>
                <w:numId w:val="1"/>
              </w:numPr>
              <w:spacing w:before="60" w:beforeAutospacing="0" w:after="60" w:afterAutospacing="0"/>
              <w:ind w:right="-2"/>
              <w:rPr>
                <w:rFonts w:ascii="Calibri" w:hAnsi="Calibri" w:cs="Arial"/>
                <w:sz w:val="18"/>
                <w:szCs w:val="18"/>
              </w:rPr>
            </w:pPr>
            <w:r w:rsidRPr="00283A26">
              <w:rPr>
                <w:rFonts w:ascii="Calibri" w:hAnsi="Calibri" w:cs="Arial"/>
                <w:sz w:val="18"/>
                <w:szCs w:val="18"/>
              </w:rPr>
              <w:t>izgradnja</w:t>
            </w:r>
            <w:r w:rsidRPr="00283A26">
              <w:rPr>
                <w:rFonts w:ascii="Calibri" w:hAnsi="Calibri"/>
              </w:rPr>
              <w:t xml:space="preserve"> </w:t>
            </w:r>
            <w:r w:rsidRPr="00283A26">
              <w:rPr>
                <w:rFonts w:ascii="Calibri" w:hAnsi="Calibri" w:cs="Arial"/>
                <w:sz w:val="18"/>
                <w:szCs w:val="18"/>
              </w:rPr>
              <w:t>postrojenja za sortiranje odvojeno sakupljenog papira/kartona, metala, stakla, plastike i drva (sortirnica) na lokaciji odlagališta</w:t>
            </w:r>
          </w:p>
          <w:p w14:paraId="3F35009B" w14:textId="77777777" w:rsidR="00034784" w:rsidRPr="00283A26" w:rsidRDefault="00034784" w:rsidP="00165C16">
            <w:pPr>
              <w:pStyle w:val="StandardWeb"/>
              <w:numPr>
                <w:ilvl w:val="0"/>
                <w:numId w:val="1"/>
              </w:numPr>
              <w:spacing w:before="60" w:beforeAutospacing="0" w:after="60" w:afterAutospacing="0"/>
              <w:ind w:right="-2"/>
              <w:rPr>
                <w:rFonts w:ascii="Calibri" w:hAnsi="Calibri" w:cs="Arial"/>
                <w:sz w:val="18"/>
                <w:szCs w:val="18"/>
              </w:rPr>
            </w:pPr>
            <w:r w:rsidRPr="00283A26">
              <w:rPr>
                <w:rFonts w:ascii="Calibri" w:hAnsi="Calibri" w:cs="Arial"/>
                <w:sz w:val="18"/>
                <w:szCs w:val="18"/>
              </w:rPr>
              <w:t xml:space="preserve">izgradnja postrojenja za obradu odvojeno prikupljenog </w:t>
            </w:r>
            <w:r>
              <w:rPr>
                <w:rFonts w:ascii="Calibri" w:hAnsi="Calibri" w:cs="Arial"/>
                <w:sz w:val="18"/>
                <w:szCs w:val="18"/>
              </w:rPr>
              <w:t>Bio</w:t>
            </w:r>
            <w:r w:rsidRPr="00283A26">
              <w:rPr>
                <w:rFonts w:ascii="Calibri" w:hAnsi="Calibri" w:cs="Arial"/>
                <w:sz w:val="18"/>
                <w:szCs w:val="18"/>
              </w:rPr>
              <w:t>otpada</w:t>
            </w:r>
          </w:p>
          <w:p w14:paraId="6F651FC2" w14:textId="77777777" w:rsidR="00034784" w:rsidRPr="00283A26" w:rsidRDefault="00034784" w:rsidP="00165C16">
            <w:pPr>
              <w:pStyle w:val="Odlomakpopisa"/>
              <w:numPr>
                <w:ilvl w:val="0"/>
                <w:numId w:val="1"/>
              </w:numPr>
              <w:spacing w:before="60" w:after="60" w:line="240" w:lineRule="auto"/>
              <w:ind w:right="-2"/>
              <w:jc w:val="both"/>
              <w:rPr>
                <w:rFonts w:cs="Arial"/>
                <w:sz w:val="18"/>
                <w:szCs w:val="18"/>
              </w:rPr>
            </w:pPr>
            <w:r w:rsidRPr="00283A26">
              <w:rPr>
                <w:rFonts w:cs="Arial"/>
                <w:sz w:val="18"/>
                <w:szCs w:val="18"/>
              </w:rPr>
              <w:t xml:space="preserve">izgradnja centra za ponovnu uporabu za Grad Zagreb </w:t>
            </w:r>
          </w:p>
          <w:p w14:paraId="770D89D6" w14:textId="2408BB7B" w:rsidR="00034784" w:rsidRPr="00283A26" w:rsidRDefault="00034784" w:rsidP="00165C16">
            <w:pPr>
              <w:pStyle w:val="StandardWeb"/>
              <w:numPr>
                <w:ilvl w:val="0"/>
                <w:numId w:val="1"/>
              </w:numPr>
              <w:spacing w:before="60" w:after="60"/>
              <w:ind w:right="-2"/>
              <w:rPr>
                <w:rFonts w:ascii="Calibri" w:hAnsi="Calibri" w:cs="Calibri"/>
                <w:sz w:val="18"/>
                <w:szCs w:val="18"/>
              </w:rPr>
            </w:pPr>
            <w:r>
              <w:rPr>
                <w:rFonts w:ascii="Calibri" w:hAnsi="Calibri" w:cs="Calibri"/>
                <w:sz w:val="18"/>
                <w:szCs w:val="18"/>
              </w:rPr>
              <w:t xml:space="preserve">nastaviti gradnju reciklažnih dvorišta </w:t>
            </w:r>
            <w:r w:rsidRPr="000E7BC2">
              <w:rPr>
                <w:rFonts w:ascii="Calibri" w:hAnsi="Calibri" w:cs="Calibri"/>
                <w:sz w:val="18"/>
                <w:szCs w:val="18"/>
              </w:rPr>
              <w:t>i postavljanje mobilnih reciklažnih dvorišta radi funkcioniranja sustava odvojenog sakupljanja otpada i u naseljima Grada Zagreba u kojima se ne nalaze reciklažna dvorišta</w:t>
            </w:r>
          </w:p>
          <w:p w14:paraId="5D6DBFA4" w14:textId="77777777" w:rsidR="00034784" w:rsidRDefault="00034784" w:rsidP="00165C16">
            <w:pPr>
              <w:pStyle w:val="StandardWeb"/>
              <w:numPr>
                <w:ilvl w:val="0"/>
                <w:numId w:val="1"/>
              </w:numPr>
              <w:spacing w:before="60" w:beforeAutospacing="0" w:after="60" w:afterAutospacing="0"/>
              <w:ind w:right="-2"/>
              <w:rPr>
                <w:rFonts w:ascii="Calibri" w:hAnsi="Calibri" w:cs="Calibri"/>
                <w:sz w:val="18"/>
                <w:szCs w:val="18"/>
              </w:rPr>
            </w:pPr>
            <w:r>
              <w:rPr>
                <w:rFonts w:ascii="Calibri" w:hAnsi="Calibri" w:cs="Calibri"/>
                <w:sz w:val="18"/>
                <w:szCs w:val="18"/>
              </w:rPr>
              <w:t>uspostaviti reciklažno dvorište za građevni otpad i otpad koji sadrži azbest</w:t>
            </w:r>
          </w:p>
          <w:p w14:paraId="565DDBCE" w14:textId="77777777" w:rsidR="00034784" w:rsidRPr="005F78D5" w:rsidRDefault="00034784" w:rsidP="00165C16">
            <w:pPr>
              <w:numPr>
                <w:ilvl w:val="0"/>
                <w:numId w:val="1"/>
              </w:numPr>
              <w:spacing w:before="60" w:after="60" w:line="240" w:lineRule="auto"/>
              <w:ind w:right="-2"/>
              <w:rPr>
                <w:rFonts w:eastAsia="Times New Roman" w:cs="Arial"/>
                <w:sz w:val="18"/>
                <w:szCs w:val="18"/>
                <w:lang w:eastAsia="hr-HR"/>
              </w:rPr>
            </w:pPr>
            <w:r w:rsidRPr="00483C4F">
              <w:rPr>
                <w:rFonts w:eastAsia="Times New Roman" w:cs="Arial"/>
                <w:sz w:val="18"/>
                <w:szCs w:val="18"/>
                <w:lang w:eastAsia="hr-HR"/>
              </w:rPr>
              <w:t>Izgradnja centra za gospodarenje otpadom</w:t>
            </w:r>
          </w:p>
          <w:p w14:paraId="69C656E2" w14:textId="77777777" w:rsidR="00034784" w:rsidRPr="00A33E06" w:rsidRDefault="00034784" w:rsidP="00165C16">
            <w:pPr>
              <w:pStyle w:val="StandardWeb"/>
              <w:numPr>
                <w:ilvl w:val="0"/>
                <w:numId w:val="1"/>
              </w:numPr>
              <w:spacing w:before="60" w:beforeAutospacing="0" w:after="60" w:afterAutospacing="0"/>
              <w:ind w:right="-2"/>
              <w:rPr>
                <w:rFonts w:ascii="Calibri" w:hAnsi="Calibri" w:cs="Calibri"/>
                <w:sz w:val="18"/>
                <w:szCs w:val="18"/>
              </w:rPr>
            </w:pPr>
            <w:r>
              <w:rPr>
                <w:rFonts w:ascii="Calibri" w:hAnsi="Calibri" w:cs="Calibri"/>
                <w:sz w:val="18"/>
                <w:szCs w:val="18"/>
              </w:rPr>
              <w:t xml:space="preserve">nastavak </w:t>
            </w:r>
            <w:r w:rsidRPr="00A33E06">
              <w:rPr>
                <w:rFonts w:ascii="Calibri" w:hAnsi="Calibri" w:cs="Calibri"/>
                <w:sz w:val="18"/>
                <w:szCs w:val="18"/>
              </w:rPr>
              <w:t>ulaganja u suvremenu opremu ( vozila za pojedine vrste otpada, posude i spremnici)</w:t>
            </w:r>
          </w:p>
          <w:p w14:paraId="79000F43" w14:textId="77777777" w:rsidR="00034784" w:rsidRPr="00A33E06" w:rsidRDefault="00034784" w:rsidP="00165C16">
            <w:pPr>
              <w:pStyle w:val="StandardWeb"/>
              <w:numPr>
                <w:ilvl w:val="0"/>
                <w:numId w:val="1"/>
              </w:numPr>
              <w:spacing w:before="60" w:beforeAutospacing="0" w:after="60" w:afterAutospacing="0"/>
              <w:ind w:right="-2"/>
              <w:rPr>
                <w:rFonts w:ascii="Calibri" w:hAnsi="Calibri" w:cs="Calibri"/>
                <w:sz w:val="18"/>
                <w:szCs w:val="18"/>
              </w:rPr>
            </w:pPr>
            <w:r w:rsidRPr="00A33E06">
              <w:rPr>
                <w:rFonts w:ascii="Calibri" w:hAnsi="Calibri" w:cs="Calibri"/>
                <w:sz w:val="18"/>
                <w:szCs w:val="18"/>
              </w:rPr>
              <w:t>uspostava sustava mobilnog prikupljanja problematičnog opasnog otpada</w:t>
            </w:r>
          </w:p>
          <w:p w14:paraId="12568483" w14:textId="77777777" w:rsidR="00034784" w:rsidRPr="00A33E06" w:rsidRDefault="00034784" w:rsidP="00165C16">
            <w:pPr>
              <w:pStyle w:val="StandardWeb"/>
              <w:numPr>
                <w:ilvl w:val="0"/>
                <w:numId w:val="1"/>
              </w:numPr>
              <w:spacing w:before="60" w:beforeAutospacing="0" w:after="60" w:afterAutospacing="0"/>
              <w:ind w:right="-2"/>
              <w:rPr>
                <w:rFonts w:ascii="Calibri" w:hAnsi="Calibri" w:cs="Calibri"/>
                <w:sz w:val="18"/>
                <w:szCs w:val="18"/>
              </w:rPr>
            </w:pPr>
            <w:r w:rsidRPr="00A33E06">
              <w:rPr>
                <w:rFonts w:ascii="Calibri" w:hAnsi="Calibri" w:cs="Calibri"/>
                <w:sz w:val="18"/>
                <w:szCs w:val="18"/>
              </w:rPr>
              <w:t xml:space="preserve">kontinuirana edukacija korisnika usluga </w:t>
            </w:r>
          </w:p>
          <w:p w14:paraId="1C266325" w14:textId="77777777" w:rsidR="00034784" w:rsidRDefault="00034784" w:rsidP="00165C16">
            <w:pPr>
              <w:pStyle w:val="StandardWeb"/>
              <w:numPr>
                <w:ilvl w:val="0"/>
                <w:numId w:val="1"/>
              </w:numPr>
              <w:spacing w:before="60" w:beforeAutospacing="0" w:after="60" w:afterAutospacing="0"/>
              <w:ind w:right="-2"/>
              <w:rPr>
                <w:rFonts w:ascii="Calibri" w:hAnsi="Calibri" w:cs="Calibri"/>
                <w:sz w:val="18"/>
                <w:szCs w:val="18"/>
              </w:rPr>
            </w:pPr>
            <w:r w:rsidRPr="00A33E06">
              <w:rPr>
                <w:rFonts w:ascii="Calibri" w:hAnsi="Calibri" w:cs="Calibri"/>
                <w:sz w:val="18"/>
                <w:szCs w:val="18"/>
              </w:rPr>
              <w:t>informatizacija sustava</w:t>
            </w:r>
          </w:p>
          <w:p w14:paraId="07B635D9" w14:textId="77777777" w:rsidR="00034784" w:rsidRDefault="00034784" w:rsidP="00165C16">
            <w:pPr>
              <w:pStyle w:val="StandardWeb"/>
              <w:numPr>
                <w:ilvl w:val="0"/>
                <w:numId w:val="1"/>
              </w:numPr>
              <w:spacing w:before="60" w:beforeAutospacing="0" w:after="60" w:afterAutospacing="0"/>
              <w:ind w:right="-2"/>
              <w:rPr>
                <w:rFonts w:ascii="Calibri" w:hAnsi="Calibri" w:cs="Calibri"/>
                <w:sz w:val="18"/>
                <w:szCs w:val="18"/>
              </w:rPr>
            </w:pPr>
            <w:r>
              <w:rPr>
                <w:rFonts w:ascii="Calibri" w:hAnsi="Calibri" w:cs="Calibri"/>
                <w:sz w:val="18"/>
                <w:szCs w:val="18"/>
              </w:rPr>
              <w:t>unaprijediti sustav odvojenog sakupljanja otpada i izbjegavanje nastanka otpada kao i ponovnu upotrebu uz ekonomsku održivost</w:t>
            </w:r>
          </w:p>
          <w:p w14:paraId="743C6A2B" w14:textId="77777777" w:rsidR="00034784" w:rsidRDefault="00034784" w:rsidP="00165C16">
            <w:pPr>
              <w:pStyle w:val="StandardWeb"/>
              <w:numPr>
                <w:ilvl w:val="0"/>
                <w:numId w:val="1"/>
              </w:numPr>
              <w:spacing w:before="60" w:beforeAutospacing="0" w:after="60" w:afterAutospacing="0"/>
              <w:ind w:right="-2"/>
              <w:rPr>
                <w:rFonts w:ascii="Calibri" w:hAnsi="Calibri" w:cs="Calibri"/>
                <w:sz w:val="18"/>
                <w:szCs w:val="18"/>
              </w:rPr>
            </w:pPr>
            <w:r>
              <w:rPr>
                <w:rFonts w:ascii="Calibri" w:hAnsi="Calibri" w:cs="Calibri"/>
                <w:sz w:val="18"/>
                <w:szCs w:val="18"/>
              </w:rPr>
              <w:t>uspostaviti informacijski sustav gospodarenja otpadom za cjelovitu evidenciju o otpadu</w:t>
            </w:r>
          </w:p>
          <w:p w14:paraId="4CC1F77F" w14:textId="77777777" w:rsidR="00034784" w:rsidRDefault="00034784" w:rsidP="00165C16">
            <w:pPr>
              <w:pStyle w:val="StandardWeb"/>
              <w:numPr>
                <w:ilvl w:val="0"/>
                <w:numId w:val="1"/>
              </w:numPr>
              <w:spacing w:before="60" w:beforeAutospacing="0" w:after="60" w:afterAutospacing="0"/>
              <w:ind w:right="-2"/>
              <w:rPr>
                <w:rFonts w:ascii="Calibri" w:hAnsi="Calibri" w:cs="Calibri"/>
                <w:sz w:val="18"/>
                <w:szCs w:val="18"/>
              </w:rPr>
            </w:pPr>
            <w:r>
              <w:rPr>
                <w:rFonts w:ascii="Calibri" w:hAnsi="Calibri" w:cs="Calibri"/>
                <w:sz w:val="18"/>
                <w:szCs w:val="18"/>
              </w:rPr>
              <w:t>poticati i promovirati izbjegavanje nastanka otpada i smanjenje njegovih štetnih utjecaja (napredniji tehnološki postupci, čistija i djelotvornija proizvodnja, štednja resursa i energije, itd.)</w:t>
            </w:r>
          </w:p>
          <w:p w14:paraId="484090FD" w14:textId="77777777" w:rsidR="00034784" w:rsidRDefault="00034784" w:rsidP="00165C16">
            <w:pPr>
              <w:pStyle w:val="StandardWeb"/>
              <w:numPr>
                <w:ilvl w:val="0"/>
                <w:numId w:val="1"/>
              </w:numPr>
              <w:spacing w:before="60" w:beforeAutospacing="0" w:after="60" w:afterAutospacing="0"/>
              <w:ind w:right="-2"/>
              <w:rPr>
                <w:rFonts w:ascii="Calibri" w:hAnsi="Calibri" w:cs="Calibri"/>
                <w:sz w:val="18"/>
                <w:szCs w:val="18"/>
              </w:rPr>
            </w:pPr>
            <w:r>
              <w:rPr>
                <w:rFonts w:ascii="Calibri" w:hAnsi="Calibri" w:cs="Calibri"/>
                <w:sz w:val="18"/>
                <w:szCs w:val="18"/>
              </w:rPr>
              <w:t>jačati komunikaciju (edukacija, informiranje, dijalog) u području gospodarenja otpadom i uključivanje svakog pojedinca s ciljem razvijanja osobne motivacije za odvojeno sakupljanje otpada</w:t>
            </w:r>
          </w:p>
        </w:tc>
      </w:tr>
    </w:tbl>
    <w:p w14:paraId="58F830A8" w14:textId="77777777" w:rsidR="00034784" w:rsidRDefault="00034784" w:rsidP="00034784">
      <w:pPr>
        <w:pStyle w:val="Bezproreda"/>
        <w:jc w:val="both"/>
        <w:rPr>
          <w:rFonts w:cs="Calibri"/>
        </w:rPr>
      </w:pPr>
    </w:p>
    <w:p w14:paraId="0EBD7950" w14:textId="007C8F04" w:rsidR="00034784" w:rsidRPr="00A33E06" w:rsidRDefault="00034784" w:rsidP="00B8319D">
      <w:pPr>
        <w:pStyle w:val="Stil2"/>
      </w:pPr>
      <w:bookmarkStart w:id="133" w:name="_Toc97123849"/>
      <w:r>
        <w:t>5</w:t>
      </w:r>
      <w:r w:rsidRPr="00A33E06">
        <w:t>.1.5. Buka</w:t>
      </w:r>
      <w:bookmarkEnd w:id="133"/>
    </w:p>
    <w:p w14:paraId="15E3B427" w14:textId="77777777" w:rsidR="00034784" w:rsidRDefault="00034784" w:rsidP="00034784">
      <w:pPr>
        <w:pStyle w:val="Tijeloteksta2"/>
        <w:spacing w:after="240"/>
        <w:ind w:right="-2"/>
        <w:rPr>
          <w:rFonts w:ascii="Calibri" w:hAnsi="Calibri" w:cs="Calibri"/>
          <w:b w:val="0"/>
          <w:sz w:val="22"/>
          <w:szCs w:val="22"/>
        </w:rPr>
      </w:pPr>
      <w:r>
        <w:rPr>
          <w:rFonts w:ascii="Calibri" w:hAnsi="Calibri" w:cs="Calibri"/>
          <w:b w:val="0"/>
          <w:sz w:val="22"/>
          <w:szCs w:val="22"/>
        </w:rPr>
        <w:t>Danas se kao dominantni izvori buke na području Grada Zagreba navode: promet (cestovni, pružni), industrijska postrojenja, sadržaji za slobodno vrijeme (ugostiteljski objekti), te otvoreni i zatvoreni prostori namijenjeni održavanju javnih skupova, zabavnih i sportskih priredbi i drugih aktivnosti. Strateška karta buke Grada Zagreba i akcijski plan zaštite od buke usklađuju se trajno s izmjenama u prostoru, a obavezno se obnavljaju svakih pet godina od dana izrade, odnosno usvajanja.</w:t>
      </w:r>
    </w:p>
    <w:p w14:paraId="5B82F796" w14:textId="77777777" w:rsidR="00034784" w:rsidRPr="00483C4F" w:rsidRDefault="00034784" w:rsidP="00034784">
      <w:pPr>
        <w:tabs>
          <w:tab w:val="left" w:pos="-720"/>
        </w:tabs>
        <w:suppressAutoHyphens/>
        <w:spacing w:after="240" w:line="240" w:lineRule="auto"/>
        <w:ind w:right="-2"/>
        <w:jc w:val="both"/>
        <w:rPr>
          <w:rFonts w:eastAsia="Times New Roman" w:cs="Calibri"/>
          <w:bCs/>
          <w:lang w:eastAsia="hr-HR"/>
        </w:rPr>
      </w:pPr>
      <w:r w:rsidRPr="009D67FC">
        <w:rPr>
          <w:rFonts w:eastAsia="Times New Roman" w:cs="Calibri"/>
          <w:bCs/>
          <w:lang w:eastAsia="hr-HR"/>
        </w:rPr>
        <w:t xml:space="preserve">2018. je  izrađena  i  na službenoj internetskoj stranici Grada Zagreba objavljena  Strateška karta buke Grada Zagreba za treći krug izvještavanja Europskoj komisiji. Grafički prikazi indikatora buke korištenih za izradu Strateške karte buke dostupni su na Geoportalu Grada </w:t>
      </w:r>
      <w:r w:rsidRPr="00483C4F">
        <w:rPr>
          <w:rFonts w:eastAsia="Times New Roman" w:cs="Calibri"/>
          <w:bCs/>
          <w:lang w:eastAsia="hr-HR"/>
        </w:rPr>
        <w:t>Zagreba. Rezultati sumarne analize izloženosti stanovništva Grada Zagreba buci pokazuju da je  26,7 % stanovnika izloženo prekomjernim razinama buke cestovnog prometa ,  2,9 % stanovnika  željezničkog  prometa, dok je prekomjernim razinama buke industrijskih pogona izložen statistički gotovo zanemariv broj stanovnika. Takvi podaci ne odudaraju značajno od drugih europskih gradova slične veličine, ali ukazuju na važnost kontinuiranog planiranja i održivog upravljanja prometom, propisivanja prostorno-planskih mjera upravljanja bukom i razmatranja tehničkih rješenja zaštite od buke na samom izvoru buke.</w:t>
      </w:r>
    </w:p>
    <w:p w14:paraId="4A6110E8" w14:textId="40D7149D" w:rsidR="00034784" w:rsidRDefault="00034784" w:rsidP="00034784">
      <w:pPr>
        <w:tabs>
          <w:tab w:val="left" w:pos="-720"/>
        </w:tabs>
        <w:suppressAutoHyphens/>
        <w:spacing w:after="240" w:line="240" w:lineRule="auto"/>
        <w:ind w:right="-2"/>
        <w:jc w:val="both"/>
        <w:rPr>
          <w:rFonts w:eastAsia="Times New Roman" w:cs="Calibri"/>
          <w:bCs/>
          <w:lang w:eastAsia="hr-HR"/>
        </w:rPr>
      </w:pPr>
      <w:r>
        <w:rPr>
          <w:rFonts w:eastAsia="Times New Roman" w:cs="Calibri"/>
          <w:bCs/>
          <w:lang w:eastAsia="hr-HR"/>
        </w:rPr>
        <w:t>2</w:t>
      </w:r>
      <w:r w:rsidRPr="00483C4F">
        <w:rPr>
          <w:rFonts w:eastAsia="Times New Roman" w:cs="Calibri"/>
          <w:bCs/>
          <w:lang w:eastAsia="hr-HR"/>
        </w:rPr>
        <w:t>018. je usvojen Akcijski plan upravljanj</w:t>
      </w:r>
      <w:r>
        <w:rPr>
          <w:rFonts w:eastAsia="Times New Roman" w:cs="Calibri"/>
          <w:bCs/>
          <w:lang w:eastAsia="hr-HR"/>
        </w:rPr>
        <w:t>a</w:t>
      </w:r>
      <w:r w:rsidRPr="00483C4F">
        <w:rPr>
          <w:rFonts w:eastAsia="Times New Roman" w:cs="Calibri"/>
          <w:bCs/>
          <w:lang w:eastAsia="hr-HR"/>
        </w:rPr>
        <w:t xml:space="preserve"> bukom u Gradu Zagrebu do 2023., koji se temelji se ulaznim podacima, rezultatima i emisijskim modelima pojedinih glavnih izvora buke korištenim u izradi </w:t>
      </w:r>
      <w:r w:rsidRPr="009D67FC">
        <w:rPr>
          <w:rFonts w:eastAsia="Times New Roman" w:cs="Calibri"/>
          <w:bCs/>
          <w:lang w:eastAsia="hr-HR"/>
        </w:rPr>
        <w:t xml:space="preserve">Strateške karte buke Grada Zagreba.  Akcijskim planom  su određena prioritetna područja rokovi, nositelji provedbe i aktivnosti za smanjenje broja stanovnika izloženih prekomjernoj buci cestovnog i željezničkog prometa te industrijskih pogona i postrojenja. Akcijskim planom su također analizirana područja koja se na temelju uobičajenih stručnih kriterija prostorno-planskom dokumentacijom mogu definirati kao tiha područja, što je obveza Grada Zagreba prema Zakonu o zaštiti od buke (Narodne novine 30/09, 55/13, 153/13, 41/16 i 114/18) i </w:t>
      </w:r>
      <w:r w:rsidRPr="009D67FC">
        <w:t>Direktivi 2002/49/EZ Europskoga parlamenta i Vijeća od 25. lipnja 2002. godine o procjeni i upravljanju bukom okoliša - Izjava Komisije u Odboru za mirenje o Direktivi o procjeni i upravljanju bukom okoliša (SL 189, 18.07.2002.)</w:t>
      </w:r>
      <w:r w:rsidRPr="009D67FC">
        <w:rPr>
          <w:rFonts w:eastAsia="Times New Roman" w:cs="Calibri"/>
          <w:bCs/>
          <w:lang w:eastAsia="hr-HR"/>
        </w:rPr>
        <w:t>.</w:t>
      </w:r>
    </w:p>
    <w:p w14:paraId="163E95E4" w14:textId="7A0910E9" w:rsidR="00D33BA2" w:rsidRDefault="00D33BA2" w:rsidP="00034784">
      <w:pPr>
        <w:tabs>
          <w:tab w:val="left" w:pos="-720"/>
        </w:tabs>
        <w:suppressAutoHyphens/>
        <w:spacing w:after="240" w:line="240" w:lineRule="auto"/>
        <w:ind w:right="-2"/>
        <w:jc w:val="both"/>
        <w:rPr>
          <w:rFonts w:eastAsia="Times New Roman" w:cs="Calibri"/>
          <w:bCs/>
          <w:lang w:eastAsia="hr-HR"/>
        </w:rPr>
      </w:pPr>
    </w:p>
    <w:p w14:paraId="48DAA69E" w14:textId="71DE01C6" w:rsidR="00D33BA2" w:rsidRPr="009D67FC" w:rsidRDefault="007A2522" w:rsidP="007A2522">
      <w:pPr>
        <w:pStyle w:val="Opisslike"/>
        <w:rPr>
          <w:rFonts w:cs="Calibri"/>
          <w:bCs/>
          <w:lang w:eastAsia="hr-HR"/>
        </w:rPr>
      </w:pPr>
      <w:r>
        <w:t xml:space="preserve">Slika </w:t>
      </w:r>
      <w:r w:rsidR="00751C19">
        <w:fldChar w:fldCharType="begin"/>
      </w:r>
      <w:r w:rsidR="00751C19">
        <w:instrText xml:space="preserve"> SEQ Slika \* ARABIC </w:instrText>
      </w:r>
      <w:r w:rsidR="00751C19">
        <w:fldChar w:fldCharType="separate"/>
      </w:r>
      <w:r w:rsidR="00ED75AB">
        <w:rPr>
          <w:noProof/>
        </w:rPr>
        <w:t>9</w:t>
      </w:r>
      <w:r w:rsidR="00751C19">
        <w:rPr>
          <w:noProof/>
        </w:rPr>
        <w:fldChar w:fldCharType="end"/>
      </w:r>
      <w:r>
        <w:t xml:space="preserve">. </w:t>
      </w:r>
      <w:r w:rsidRPr="00DB346B">
        <w:t>Karta buke cestovnog prometa na kojoj su prikazani razredi indikatora buke</w:t>
      </w:r>
    </w:p>
    <w:p w14:paraId="08D25ED7" w14:textId="77777777" w:rsidR="00034784" w:rsidRDefault="00034784" w:rsidP="00034784">
      <w:pPr>
        <w:pStyle w:val="Tijeloteksta2"/>
        <w:ind w:right="-2"/>
        <w:rPr>
          <w:rFonts w:ascii="Calibri" w:hAnsi="Calibri" w:cs="Calibri"/>
          <w:b w:val="0"/>
          <w:sz w:val="22"/>
          <w:szCs w:val="22"/>
        </w:rPr>
      </w:pPr>
      <w:r w:rsidRPr="00C869AB">
        <w:rPr>
          <w:rFonts w:ascii="Calibri" w:hAnsi="Calibri" w:cs="Calibri"/>
          <w:b w:val="0"/>
          <w:noProof/>
          <w:sz w:val="22"/>
          <w:szCs w:val="22"/>
        </w:rPr>
        <w:drawing>
          <wp:inline distT="0" distB="0" distL="0" distR="0" wp14:anchorId="6D175564" wp14:editId="3333BF09">
            <wp:extent cx="5760720" cy="581279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5812790"/>
                    </a:xfrm>
                    <a:prstGeom prst="rect">
                      <a:avLst/>
                    </a:prstGeom>
                    <a:noFill/>
                    <a:ln>
                      <a:noFill/>
                    </a:ln>
                  </pic:spPr>
                </pic:pic>
              </a:graphicData>
            </a:graphic>
          </wp:inline>
        </w:drawing>
      </w:r>
    </w:p>
    <w:p w14:paraId="025E8486" w14:textId="77777777" w:rsidR="00034784" w:rsidRDefault="00034784" w:rsidP="00034784">
      <w:pPr>
        <w:pStyle w:val="Tijeloteksta2"/>
        <w:ind w:right="-2"/>
        <w:rPr>
          <w:rFonts w:ascii="Calibri" w:hAnsi="Calibri" w:cs="Calibri"/>
          <w:b w:val="0"/>
          <w:sz w:val="22"/>
          <w:szCs w:val="22"/>
        </w:rPr>
      </w:pPr>
    </w:p>
    <w:p w14:paraId="7F0EB0D6" w14:textId="060681B4" w:rsidR="00034784" w:rsidRDefault="00034784" w:rsidP="00034784">
      <w:pPr>
        <w:rPr>
          <w:noProof/>
          <w:lang w:eastAsia="hr-HR"/>
        </w:rPr>
      </w:pPr>
      <w:r w:rsidRPr="00BE1676">
        <w:rPr>
          <w:noProof/>
          <w:lang w:eastAsia="hr-HR"/>
        </w:rPr>
        <w:t>Izvor: Geoportal zagrebačke infrastrukture prostornih podataka (ZG Geoportal)</w:t>
      </w:r>
      <w:r>
        <w:rPr>
          <w:noProof/>
          <w:lang w:eastAsia="hr-HR"/>
        </w:rPr>
        <w:t xml:space="preserve"> </w:t>
      </w:r>
    </w:p>
    <w:p w14:paraId="42AA78B5" w14:textId="361821BC" w:rsidR="007A2522" w:rsidRDefault="007A2522" w:rsidP="00034784">
      <w:pPr>
        <w:rPr>
          <w:noProof/>
          <w:lang w:eastAsia="hr-HR"/>
        </w:rPr>
      </w:pPr>
    </w:p>
    <w:p w14:paraId="56D30AA1" w14:textId="1C77A01C" w:rsidR="007A2522" w:rsidRDefault="007A2522" w:rsidP="00034784">
      <w:pPr>
        <w:rPr>
          <w:noProof/>
          <w:lang w:eastAsia="hr-HR"/>
        </w:rPr>
      </w:pPr>
    </w:p>
    <w:p w14:paraId="34460BDE" w14:textId="0E762BB4" w:rsidR="007A2522" w:rsidRDefault="007A2522" w:rsidP="00034784">
      <w:pPr>
        <w:rPr>
          <w:noProof/>
          <w:lang w:eastAsia="hr-HR"/>
        </w:rPr>
      </w:pPr>
    </w:p>
    <w:p w14:paraId="66773E3A" w14:textId="305F761F" w:rsidR="007A2522" w:rsidRDefault="007A2522" w:rsidP="00034784">
      <w:pPr>
        <w:rPr>
          <w:noProof/>
          <w:lang w:eastAsia="hr-HR"/>
        </w:rPr>
      </w:pPr>
    </w:p>
    <w:p w14:paraId="59434559" w14:textId="45C04959" w:rsidR="007A2522" w:rsidRDefault="007A2522" w:rsidP="00034784">
      <w:pPr>
        <w:rPr>
          <w:noProof/>
          <w:lang w:eastAsia="hr-HR"/>
        </w:rPr>
      </w:pPr>
    </w:p>
    <w:p w14:paraId="7CCAC042" w14:textId="07ACDD8B" w:rsidR="007A2522" w:rsidRDefault="007A2522" w:rsidP="00034784">
      <w:pPr>
        <w:rPr>
          <w:noProof/>
          <w:lang w:eastAsia="hr-HR"/>
        </w:rPr>
      </w:pPr>
    </w:p>
    <w:p w14:paraId="0DBBC343" w14:textId="20B6A650" w:rsidR="007A2522" w:rsidRDefault="007A2522" w:rsidP="00034784">
      <w:pPr>
        <w:rPr>
          <w:noProof/>
          <w:lang w:eastAsia="hr-HR"/>
        </w:rPr>
      </w:pPr>
    </w:p>
    <w:p w14:paraId="1A1707D5" w14:textId="7225039B" w:rsidR="007A2522" w:rsidRDefault="007A2522" w:rsidP="00034784">
      <w:pPr>
        <w:rPr>
          <w:noProof/>
          <w:lang w:eastAsia="hr-HR"/>
        </w:rPr>
      </w:pPr>
    </w:p>
    <w:p w14:paraId="11084FCA" w14:textId="77777777" w:rsidR="007A2522" w:rsidRDefault="007A2522" w:rsidP="00034784">
      <w:pPr>
        <w:rPr>
          <w:noProof/>
          <w:lang w:eastAsia="hr-HR"/>
        </w:rPr>
      </w:pPr>
    </w:p>
    <w:tbl>
      <w:tblPr>
        <w:tblW w:w="5000" w:type="pct"/>
        <w:shd w:val="clear" w:color="auto" w:fill="CCCCCC"/>
        <w:tblLook w:val="01E0" w:firstRow="1" w:lastRow="1" w:firstColumn="1" w:lastColumn="1" w:noHBand="0" w:noVBand="0"/>
      </w:tblPr>
      <w:tblGrid>
        <w:gridCol w:w="4536"/>
        <w:gridCol w:w="4536"/>
      </w:tblGrid>
      <w:tr w:rsidR="00034784" w14:paraId="5ADD5222" w14:textId="77777777" w:rsidTr="00072476">
        <w:trPr>
          <w:trHeight w:val="282"/>
        </w:trPr>
        <w:tc>
          <w:tcPr>
            <w:tcW w:w="2500" w:type="pct"/>
            <w:shd w:val="clear" w:color="auto" w:fill="CCCCCC"/>
            <w:hideMark/>
          </w:tcPr>
          <w:p w14:paraId="71A30FBB" w14:textId="77777777" w:rsidR="00034784" w:rsidRDefault="00034784" w:rsidP="00072476">
            <w:pPr>
              <w:pStyle w:val="StandardWeb"/>
              <w:spacing w:before="60" w:beforeAutospacing="0" w:after="60" w:afterAutospacing="0"/>
              <w:jc w:val="both"/>
              <w:rPr>
                <w:rFonts w:ascii="Calibri" w:hAnsi="Calibri" w:cs="Calibri"/>
                <w:b/>
                <w:sz w:val="18"/>
                <w:szCs w:val="18"/>
              </w:rPr>
            </w:pPr>
            <w:r>
              <w:rPr>
                <w:rFonts w:cs="Calibri"/>
                <w:b/>
                <w:sz w:val="18"/>
                <w:szCs w:val="18"/>
              </w:rPr>
              <w:br w:type="page"/>
            </w:r>
            <w:r>
              <w:rPr>
                <w:rFonts w:ascii="Calibri" w:hAnsi="Calibri" w:cs="Calibri"/>
                <w:b/>
                <w:sz w:val="18"/>
                <w:szCs w:val="18"/>
              </w:rPr>
              <w:t>RAZVOJNI PROBLEMI</w:t>
            </w:r>
          </w:p>
        </w:tc>
        <w:tc>
          <w:tcPr>
            <w:tcW w:w="2500" w:type="pct"/>
            <w:shd w:val="clear" w:color="auto" w:fill="99CCFF"/>
            <w:hideMark/>
          </w:tcPr>
          <w:p w14:paraId="179F71CC" w14:textId="77777777" w:rsidR="00034784" w:rsidRPr="00B61FB5" w:rsidRDefault="00034784" w:rsidP="00072476">
            <w:pPr>
              <w:pStyle w:val="StandardWeb"/>
              <w:spacing w:before="60" w:beforeAutospacing="0" w:after="60" w:afterAutospacing="0"/>
              <w:jc w:val="both"/>
              <w:rPr>
                <w:rFonts w:ascii="Calibri" w:hAnsi="Calibri" w:cs="Calibri"/>
                <w:b/>
                <w:sz w:val="18"/>
                <w:szCs w:val="18"/>
              </w:rPr>
            </w:pPr>
            <w:r w:rsidRPr="00B61FB5">
              <w:rPr>
                <w:rFonts w:ascii="Calibri" w:hAnsi="Calibri" w:cs="Calibri"/>
                <w:b/>
                <w:sz w:val="18"/>
                <w:szCs w:val="18"/>
              </w:rPr>
              <w:t>RAZVOJNE POTREBE</w:t>
            </w:r>
          </w:p>
        </w:tc>
      </w:tr>
      <w:tr w:rsidR="00034784" w14:paraId="6A107D68" w14:textId="77777777" w:rsidTr="00072476">
        <w:trPr>
          <w:trHeight w:val="6663"/>
        </w:trPr>
        <w:tc>
          <w:tcPr>
            <w:tcW w:w="2500" w:type="pct"/>
            <w:shd w:val="clear" w:color="auto" w:fill="CCCCCC"/>
            <w:hideMark/>
          </w:tcPr>
          <w:p w14:paraId="77A4D6F0" w14:textId="77777777" w:rsidR="00034784"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prekomjerna razina buke na lokacijama uz glavne prometnice, tramvajske pruge, željezničku prugu, te lokacije u neposrednoj blizini semafora</w:t>
            </w:r>
          </w:p>
          <w:p w14:paraId="09D6A74F"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 xml:space="preserve">buka od ugostiteljskih objekata, radionica u stambenim prostorima i uz njih, sportskih sadržaja </w:t>
            </w:r>
          </w:p>
          <w:p w14:paraId="0ADD2764"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nedovoljan broj mjerenja</w:t>
            </w:r>
          </w:p>
          <w:p w14:paraId="613CE8D0"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sustavne mjere zaštite od buke za različite izvore (cestovni, pružni i zračni promet, industrijska postrojenja)</w:t>
            </w:r>
          </w:p>
          <w:p w14:paraId="78BC6A52"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buka javnih skupova i priredbi</w:t>
            </w:r>
          </w:p>
          <w:p w14:paraId="6F47C82B" w14:textId="77777777" w:rsidR="00034784" w:rsidRDefault="00034784" w:rsidP="00072476">
            <w:pPr>
              <w:pStyle w:val="StandardWeb"/>
              <w:spacing w:before="60" w:beforeAutospacing="0" w:after="60" w:afterAutospacing="0"/>
              <w:ind w:right="-2"/>
              <w:rPr>
                <w:rFonts w:ascii="Calibri" w:hAnsi="Calibri" w:cs="Calibri"/>
                <w:sz w:val="18"/>
                <w:szCs w:val="18"/>
              </w:rPr>
            </w:pPr>
          </w:p>
        </w:tc>
        <w:tc>
          <w:tcPr>
            <w:tcW w:w="2500" w:type="pct"/>
            <w:shd w:val="clear" w:color="auto" w:fill="92CDFF"/>
            <w:hideMark/>
          </w:tcPr>
          <w:p w14:paraId="2FD7078B"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intenzivnije raditi na preventivnim mjerama zaštite od buke</w:t>
            </w:r>
          </w:p>
          <w:p w14:paraId="674924F4"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 xml:space="preserve">kvalitetno prostorno i prometno planiranje; urbanističko planiranje gradskih zona namjene prostora i prometnica u odnosu na stambene objekte u skladu s propisanim najvišim dopuštenim razinama buke; </w:t>
            </w:r>
          </w:p>
          <w:p w14:paraId="7C1B8D16"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određivanje i zaštita „tihih područja“ unutar naseljenog područja</w:t>
            </w:r>
          </w:p>
          <w:p w14:paraId="48008D23"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prostorni planovi nižeg reda morali bi sadržavati prikaz stanja imisije buke i odgovarajuće mjere zaštite od buke na području njihovog obuhvata</w:t>
            </w:r>
          </w:p>
          <w:p w14:paraId="58335333"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sustavno planiranje i upravljanje svim vrstama prometa; upravljanje bukom na mjestu imisije; prilikom izrade prometnih strategija i planova voditi računa o mjerama za smanjenje razina buke od prometa</w:t>
            </w:r>
          </w:p>
          <w:p w14:paraId="440BC36A"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 xml:space="preserve">sustavno praćenje cestovnog prometa (satni i dnevni promet i brzina kretanja </w:t>
            </w:r>
            <w:r>
              <w:rPr>
                <w:rFonts w:ascii="Calibri" w:hAnsi="Calibri" w:cs="Calibri"/>
                <w:sz w:val="18"/>
                <w:szCs w:val="18"/>
              </w:rPr>
              <w:t xml:space="preserve">pojedine kategorije vozila </w:t>
            </w:r>
            <w:r w:rsidRPr="009D67FC">
              <w:rPr>
                <w:rFonts w:ascii="Calibri" w:hAnsi="Calibri" w:cs="Calibri"/>
                <w:sz w:val="18"/>
                <w:szCs w:val="18"/>
              </w:rPr>
              <w:t xml:space="preserve"> tijekom razdoblja dana, večeri i noći u ovisnosti o vrsti kolničke površine</w:t>
            </w:r>
          </w:p>
          <w:p w14:paraId="125484F7"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uspostaviti sustav prikupljanja i razmjene podataka potrebnih za izradu strateških karata buke i akcijskih planova među nadležnim tijelima i službama</w:t>
            </w:r>
          </w:p>
          <w:p w14:paraId="4F7DA7D5"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inzistirati na izradi elaborata  zaštite od buke i provedbi mjera zaštite od buke u graditeljstvu, industriji i cestogradnji, u skladu s posebnim propisima i aktima</w:t>
            </w:r>
          </w:p>
          <w:p w14:paraId="229C87BF"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tijekom rekonstrukcija prometnica, ovisno o potrebi, provesti mjere zaštite od buke</w:t>
            </w:r>
          </w:p>
        </w:tc>
      </w:tr>
      <w:tr w:rsidR="00034784" w14:paraId="577A9E48" w14:textId="77777777" w:rsidTr="00072476">
        <w:trPr>
          <w:trHeight w:val="293"/>
        </w:trPr>
        <w:tc>
          <w:tcPr>
            <w:tcW w:w="2500" w:type="pct"/>
            <w:shd w:val="clear" w:color="auto" w:fill="CCCCCC"/>
          </w:tcPr>
          <w:p w14:paraId="15A7E284" w14:textId="77777777" w:rsidR="00034784" w:rsidRDefault="00034784" w:rsidP="00072476">
            <w:pPr>
              <w:pStyle w:val="StandardWeb"/>
              <w:spacing w:before="60" w:beforeAutospacing="0" w:after="60" w:afterAutospacing="0"/>
              <w:ind w:right="-2"/>
              <w:rPr>
                <w:rFonts w:ascii="Calibri" w:hAnsi="Calibri" w:cs="Calibri"/>
                <w:sz w:val="18"/>
                <w:szCs w:val="18"/>
              </w:rPr>
            </w:pPr>
          </w:p>
        </w:tc>
        <w:tc>
          <w:tcPr>
            <w:tcW w:w="2500" w:type="pct"/>
            <w:shd w:val="clear" w:color="auto" w:fill="92CDFF"/>
            <w:hideMark/>
          </w:tcPr>
          <w:p w14:paraId="64A98C5C"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stalni inspekcijski nadzor i provedba propisa</w:t>
            </w:r>
          </w:p>
        </w:tc>
      </w:tr>
      <w:tr w:rsidR="00034784" w14:paraId="1CA0C3DB" w14:textId="77777777" w:rsidTr="00072476">
        <w:trPr>
          <w:trHeight w:val="347"/>
        </w:trPr>
        <w:tc>
          <w:tcPr>
            <w:tcW w:w="2500" w:type="pct"/>
            <w:shd w:val="clear" w:color="auto" w:fill="CCCCCC"/>
          </w:tcPr>
          <w:p w14:paraId="16170979" w14:textId="77777777" w:rsidR="00034784" w:rsidRDefault="00034784" w:rsidP="00072476">
            <w:pPr>
              <w:pStyle w:val="StandardWeb"/>
              <w:spacing w:before="60" w:beforeAutospacing="0" w:after="60" w:afterAutospacing="0"/>
              <w:ind w:right="-2"/>
              <w:rPr>
                <w:rFonts w:ascii="Calibri" w:hAnsi="Calibri" w:cs="Calibri"/>
                <w:sz w:val="18"/>
                <w:szCs w:val="18"/>
              </w:rPr>
            </w:pPr>
          </w:p>
        </w:tc>
        <w:tc>
          <w:tcPr>
            <w:tcW w:w="0" w:type="auto"/>
            <w:shd w:val="clear" w:color="auto" w:fill="92CDFF"/>
            <w:vAlign w:val="center"/>
            <w:hideMark/>
          </w:tcPr>
          <w:p w14:paraId="0CD32E38" w14:textId="77777777" w:rsidR="00034784" w:rsidRPr="009D67FC" w:rsidRDefault="00034784" w:rsidP="00165C16">
            <w:pPr>
              <w:pStyle w:val="StandardWeb"/>
              <w:numPr>
                <w:ilvl w:val="0"/>
                <w:numId w:val="1"/>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uspostaviti sustav praćenja razina buke okoliša</w:t>
            </w:r>
          </w:p>
        </w:tc>
      </w:tr>
      <w:tr w:rsidR="00034784" w14:paraId="141BF112" w14:textId="77777777" w:rsidTr="00072476">
        <w:trPr>
          <w:trHeight w:val="242"/>
        </w:trPr>
        <w:tc>
          <w:tcPr>
            <w:tcW w:w="2500" w:type="pct"/>
            <w:shd w:val="clear" w:color="auto" w:fill="CCCCCC"/>
          </w:tcPr>
          <w:p w14:paraId="5E867429" w14:textId="77777777" w:rsidR="00034784" w:rsidRDefault="00034784" w:rsidP="00072476">
            <w:pPr>
              <w:pStyle w:val="StandardWeb"/>
              <w:spacing w:before="60" w:beforeAutospacing="0" w:after="60" w:afterAutospacing="0"/>
              <w:ind w:right="-2"/>
              <w:rPr>
                <w:rFonts w:ascii="Calibri" w:hAnsi="Calibri" w:cs="Calibri"/>
                <w:sz w:val="18"/>
                <w:szCs w:val="18"/>
              </w:rPr>
            </w:pPr>
          </w:p>
        </w:tc>
        <w:tc>
          <w:tcPr>
            <w:tcW w:w="0" w:type="auto"/>
            <w:shd w:val="clear" w:color="auto" w:fill="92CDFF"/>
            <w:hideMark/>
          </w:tcPr>
          <w:p w14:paraId="67232D4C" w14:textId="77777777" w:rsidR="00034784" w:rsidRPr="009D67FC" w:rsidRDefault="00034784" w:rsidP="00165C16">
            <w:pPr>
              <w:pStyle w:val="Odlomakpopisa"/>
              <w:numPr>
                <w:ilvl w:val="0"/>
                <w:numId w:val="1"/>
              </w:numPr>
              <w:tabs>
                <w:tab w:val="clear" w:pos="720"/>
                <w:tab w:val="num" w:pos="318"/>
              </w:tabs>
              <w:spacing w:after="0" w:line="240" w:lineRule="auto"/>
              <w:ind w:left="284" w:hanging="284"/>
              <w:rPr>
                <w:rFonts w:eastAsia="Times New Roman" w:cs="Calibri"/>
                <w:sz w:val="18"/>
                <w:szCs w:val="18"/>
                <w:lang w:eastAsia="hr-HR"/>
              </w:rPr>
            </w:pPr>
            <w:r w:rsidRPr="009D67FC">
              <w:rPr>
                <w:rFonts w:eastAsia="Times New Roman" w:cs="Calibri"/>
                <w:sz w:val="18"/>
                <w:szCs w:val="18"/>
                <w:lang w:eastAsia="hr-HR"/>
              </w:rPr>
              <w:t xml:space="preserve">nastaviti redovito </w:t>
            </w:r>
            <w:r w:rsidRPr="009D67FC">
              <w:rPr>
                <w:rFonts w:cs="Calibri"/>
                <w:sz w:val="18"/>
                <w:szCs w:val="18"/>
              </w:rPr>
              <w:t>ažuriranje strateške karte buke i akcijskog plana</w:t>
            </w:r>
          </w:p>
          <w:p w14:paraId="4B8DA5BC" w14:textId="77777777" w:rsidR="00034784" w:rsidRPr="009D67FC" w:rsidRDefault="00034784" w:rsidP="00165C16">
            <w:pPr>
              <w:pStyle w:val="Odlomakpopisa"/>
              <w:numPr>
                <w:ilvl w:val="0"/>
                <w:numId w:val="1"/>
              </w:numPr>
              <w:tabs>
                <w:tab w:val="clear" w:pos="720"/>
                <w:tab w:val="num" w:pos="318"/>
              </w:tabs>
              <w:spacing w:after="0" w:line="240" w:lineRule="auto"/>
              <w:ind w:left="284" w:hanging="284"/>
              <w:rPr>
                <w:rFonts w:eastAsia="Times New Roman" w:cs="Calibri"/>
                <w:sz w:val="18"/>
                <w:szCs w:val="18"/>
                <w:lang w:eastAsia="hr-HR"/>
              </w:rPr>
            </w:pPr>
            <w:r w:rsidRPr="009D67FC">
              <w:rPr>
                <w:rFonts w:eastAsia="Times New Roman" w:cs="Calibri"/>
                <w:sz w:val="18"/>
                <w:szCs w:val="18"/>
                <w:lang w:eastAsia="hr-HR"/>
              </w:rPr>
              <w:t xml:space="preserve">objava </w:t>
            </w:r>
            <w:r w:rsidRPr="009D67FC">
              <w:rPr>
                <w:rFonts w:cs="Calibri"/>
                <w:sz w:val="18"/>
                <w:szCs w:val="18"/>
              </w:rPr>
              <w:t>strateških karata buke i akcijskih planova na službenim stranicama Grada Zagreba radi informiranja javnosti</w:t>
            </w:r>
          </w:p>
        </w:tc>
      </w:tr>
      <w:tr w:rsidR="00034784" w14:paraId="5E8006DC" w14:textId="77777777" w:rsidTr="00072476">
        <w:trPr>
          <w:trHeight w:val="448"/>
        </w:trPr>
        <w:tc>
          <w:tcPr>
            <w:tcW w:w="2500" w:type="pct"/>
            <w:shd w:val="clear" w:color="auto" w:fill="CCCCCC"/>
          </w:tcPr>
          <w:p w14:paraId="0EFBF5DE" w14:textId="77777777" w:rsidR="00034784" w:rsidRDefault="00034784" w:rsidP="00072476">
            <w:pPr>
              <w:pStyle w:val="StandardWeb"/>
              <w:tabs>
                <w:tab w:val="num" w:pos="284"/>
              </w:tabs>
              <w:spacing w:before="60" w:beforeAutospacing="0" w:after="60" w:afterAutospacing="0"/>
              <w:ind w:left="284" w:right="-2" w:hanging="284"/>
              <w:rPr>
                <w:rFonts w:ascii="Calibri" w:hAnsi="Calibri" w:cs="Calibri"/>
                <w:sz w:val="18"/>
                <w:szCs w:val="18"/>
              </w:rPr>
            </w:pPr>
          </w:p>
        </w:tc>
        <w:tc>
          <w:tcPr>
            <w:tcW w:w="0" w:type="auto"/>
            <w:shd w:val="clear" w:color="auto" w:fill="92CDFF"/>
            <w:hideMark/>
          </w:tcPr>
          <w:p w14:paraId="7313ED35" w14:textId="77777777" w:rsidR="00034784" w:rsidRPr="00447D9F" w:rsidRDefault="00034784" w:rsidP="00165C16">
            <w:pPr>
              <w:pStyle w:val="Odlomakpopisa"/>
              <w:numPr>
                <w:ilvl w:val="0"/>
                <w:numId w:val="1"/>
              </w:numPr>
              <w:spacing w:after="0" w:line="240" w:lineRule="auto"/>
              <w:ind w:left="284" w:hanging="284"/>
              <w:rPr>
                <w:rFonts w:eastAsia="Times New Roman" w:cs="Calibri"/>
                <w:sz w:val="18"/>
                <w:szCs w:val="18"/>
                <w:lang w:eastAsia="hr-HR"/>
              </w:rPr>
            </w:pPr>
            <w:r>
              <w:rPr>
                <w:rFonts w:eastAsia="Times New Roman" w:cs="Calibri"/>
                <w:sz w:val="18"/>
                <w:szCs w:val="18"/>
                <w:lang w:eastAsia="hr-HR"/>
              </w:rPr>
              <w:t xml:space="preserve">uspostava </w:t>
            </w:r>
            <w:r w:rsidRPr="00913FD0">
              <w:rPr>
                <w:rFonts w:cs="Calibri"/>
                <w:sz w:val="18"/>
                <w:szCs w:val="18"/>
              </w:rPr>
              <w:t>sustava upravljanja bukom javnih prired</w:t>
            </w:r>
            <w:r>
              <w:rPr>
                <w:rFonts w:cs="Calibri"/>
                <w:sz w:val="18"/>
                <w:szCs w:val="18"/>
              </w:rPr>
              <w:t>bi; sustavno praćenje provedbe O</w:t>
            </w:r>
            <w:r w:rsidRPr="00913FD0">
              <w:rPr>
                <w:rFonts w:cs="Calibri"/>
                <w:sz w:val="18"/>
                <w:szCs w:val="18"/>
              </w:rPr>
              <w:t>dluke o lokacijama i najvišim dopuštenim razinama buke tijekom održavanja manifestacija</w:t>
            </w:r>
          </w:p>
        </w:tc>
      </w:tr>
    </w:tbl>
    <w:p w14:paraId="70940275" w14:textId="77777777" w:rsidR="00034784" w:rsidRDefault="00034784" w:rsidP="00034784">
      <w:pPr>
        <w:rPr>
          <w:rFonts w:cs="Calibri"/>
          <w:b/>
          <w:caps/>
        </w:rPr>
      </w:pPr>
    </w:p>
    <w:p w14:paraId="792F28DA" w14:textId="382F35C1" w:rsidR="00034784" w:rsidRDefault="00034784" w:rsidP="00B8319D">
      <w:pPr>
        <w:pStyle w:val="Stil2"/>
      </w:pPr>
      <w:bookmarkStart w:id="134" w:name="_Toc97123850"/>
      <w:r>
        <w:t>5</w:t>
      </w:r>
      <w:r w:rsidRPr="00A33E06">
        <w:t>.2. ENERGIJA I KLIMA</w:t>
      </w:r>
      <w:bookmarkEnd w:id="134"/>
    </w:p>
    <w:p w14:paraId="60C70F86" w14:textId="77777777" w:rsidR="006507AC" w:rsidRPr="00C346B2" w:rsidRDefault="006507AC" w:rsidP="006507AC">
      <w:pPr>
        <w:rPr>
          <w:rFonts w:cs="Calibri"/>
          <w:bCs/>
          <w:caps/>
        </w:rPr>
      </w:pPr>
      <w:r w:rsidRPr="00C346B2">
        <w:rPr>
          <w:rFonts w:cs="Calibri"/>
          <w:bCs/>
        </w:rPr>
        <w:t>Ključni dokumenti u području energetskog planiranja na državnoj razinu su:</w:t>
      </w:r>
    </w:p>
    <w:p w14:paraId="4FAB78AC" w14:textId="77777777" w:rsidR="006507AC" w:rsidRPr="00C346B2" w:rsidRDefault="006507AC" w:rsidP="006507AC">
      <w:pPr>
        <w:pStyle w:val="Odlomakpopisa"/>
        <w:numPr>
          <w:ilvl w:val="0"/>
          <w:numId w:val="51"/>
        </w:numPr>
        <w:rPr>
          <w:rFonts w:cs="Calibri"/>
          <w:bCs/>
          <w:caps/>
        </w:rPr>
      </w:pPr>
      <w:r>
        <w:rPr>
          <w:rFonts w:cs="Calibri"/>
          <w:bCs/>
        </w:rPr>
        <w:t>S</w:t>
      </w:r>
      <w:r w:rsidRPr="00C346B2">
        <w:rPr>
          <w:rFonts w:cs="Calibri"/>
          <w:bCs/>
        </w:rPr>
        <w:t xml:space="preserve">trategija energetskog razvoja </w:t>
      </w:r>
      <w:r>
        <w:rPr>
          <w:rFonts w:cs="Calibri"/>
          <w:bCs/>
        </w:rPr>
        <w:t>R</w:t>
      </w:r>
      <w:r w:rsidRPr="00C346B2">
        <w:rPr>
          <w:rFonts w:cs="Calibri"/>
          <w:bCs/>
        </w:rPr>
        <w:t xml:space="preserve">epublike </w:t>
      </w:r>
      <w:r>
        <w:rPr>
          <w:rFonts w:cs="Calibri"/>
          <w:bCs/>
        </w:rPr>
        <w:t>H</w:t>
      </w:r>
      <w:r w:rsidRPr="00C346B2">
        <w:rPr>
          <w:rFonts w:cs="Calibri"/>
          <w:bCs/>
        </w:rPr>
        <w:t xml:space="preserve">rvatske do 2030. </w:t>
      </w:r>
      <w:r>
        <w:rPr>
          <w:rFonts w:cs="Calibri"/>
          <w:bCs/>
        </w:rPr>
        <w:t>s</w:t>
      </w:r>
      <w:r w:rsidRPr="00C346B2">
        <w:rPr>
          <w:rFonts w:cs="Calibri"/>
          <w:bCs/>
        </w:rPr>
        <w:t xml:space="preserve"> pogledom na 2050. </w:t>
      </w:r>
      <w:r>
        <w:rPr>
          <w:rFonts w:cs="Calibri"/>
          <w:bCs/>
        </w:rPr>
        <w:t>g</w:t>
      </w:r>
      <w:r w:rsidRPr="00C346B2">
        <w:rPr>
          <w:rFonts w:cs="Calibri"/>
          <w:bCs/>
        </w:rPr>
        <w:t xml:space="preserve">odinu, </w:t>
      </w:r>
    </w:p>
    <w:p w14:paraId="00413508" w14:textId="77777777" w:rsidR="006507AC" w:rsidRPr="00C346B2" w:rsidRDefault="006507AC" w:rsidP="006507AC">
      <w:pPr>
        <w:pStyle w:val="Odlomakpopisa"/>
        <w:numPr>
          <w:ilvl w:val="0"/>
          <w:numId w:val="51"/>
        </w:numPr>
        <w:rPr>
          <w:rFonts w:cs="Calibri"/>
          <w:bCs/>
          <w:caps/>
        </w:rPr>
      </w:pPr>
      <w:r>
        <w:rPr>
          <w:rFonts w:cs="Calibri"/>
          <w:bCs/>
        </w:rPr>
        <w:t>S</w:t>
      </w:r>
      <w:r w:rsidRPr="00C346B2">
        <w:rPr>
          <w:rFonts w:cs="Calibri"/>
          <w:bCs/>
        </w:rPr>
        <w:t xml:space="preserve">trategija niskougljičnog razvoja republike hrvatske do 2030. </w:t>
      </w:r>
      <w:r>
        <w:rPr>
          <w:rFonts w:cs="Calibri"/>
          <w:bCs/>
        </w:rPr>
        <w:t>s</w:t>
      </w:r>
      <w:r w:rsidRPr="00C346B2">
        <w:rPr>
          <w:rFonts w:cs="Calibri"/>
          <w:bCs/>
        </w:rPr>
        <w:t xml:space="preserve"> pogledom na 2050. </w:t>
      </w:r>
      <w:r>
        <w:rPr>
          <w:rFonts w:cs="Calibri"/>
          <w:bCs/>
        </w:rPr>
        <w:t>g</w:t>
      </w:r>
      <w:r w:rsidRPr="00C346B2">
        <w:rPr>
          <w:rFonts w:cs="Calibri"/>
          <w:bCs/>
        </w:rPr>
        <w:t>odinu,</w:t>
      </w:r>
    </w:p>
    <w:p w14:paraId="062DF50C" w14:textId="07686DFC" w:rsidR="006507AC" w:rsidRPr="006507AC" w:rsidRDefault="006507AC" w:rsidP="006507AC">
      <w:pPr>
        <w:pStyle w:val="Odlomakpopisa"/>
        <w:numPr>
          <w:ilvl w:val="0"/>
          <w:numId w:val="51"/>
        </w:numPr>
      </w:pPr>
      <w:r>
        <w:rPr>
          <w:rFonts w:cs="Calibri"/>
          <w:bCs/>
        </w:rPr>
        <w:t>I</w:t>
      </w:r>
      <w:r w:rsidRPr="00C346B2">
        <w:rPr>
          <w:rFonts w:cs="Calibri"/>
          <w:bCs/>
        </w:rPr>
        <w:t xml:space="preserve">ntegrirani nacionalni energetski i klimatski plan </w:t>
      </w:r>
      <w:r>
        <w:rPr>
          <w:rFonts w:cs="Calibri"/>
          <w:bCs/>
        </w:rPr>
        <w:t>Republike Hrvatske (NECP)</w:t>
      </w:r>
    </w:p>
    <w:p w14:paraId="213F3832" w14:textId="2F75D48E" w:rsidR="00034784" w:rsidRPr="00D945B9" w:rsidRDefault="00034784" w:rsidP="00B8319D">
      <w:pPr>
        <w:pStyle w:val="Stil2"/>
      </w:pPr>
      <w:bookmarkStart w:id="135" w:name="_Toc97123851"/>
      <w:r>
        <w:t>5</w:t>
      </w:r>
      <w:r w:rsidRPr="00A33E06">
        <w:t>.2.1. Energetski sustavi</w:t>
      </w:r>
      <w:bookmarkEnd w:id="135"/>
    </w:p>
    <w:p w14:paraId="021D8ED6" w14:textId="079719BA" w:rsidR="00034784" w:rsidRPr="00483C4F" w:rsidRDefault="006507AC" w:rsidP="00034784">
      <w:pPr>
        <w:tabs>
          <w:tab w:val="left" w:pos="-720"/>
        </w:tabs>
        <w:suppressAutoHyphens/>
        <w:spacing w:after="0" w:line="240" w:lineRule="auto"/>
        <w:ind w:right="-2"/>
        <w:jc w:val="both"/>
        <w:rPr>
          <w:rFonts w:eastAsia="Times New Roman" w:cs="Calibri"/>
          <w:bCs/>
          <w:lang w:eastAsia="hr-HR"/>
        </w:rPr>
      </w:pPr>
      <w:r w:rsidRPr="000715A7">
        <w:rPr>
          <w:rFonts w:eastAsia="Times New Roman" w:cs="Calibri"/>
          <w:bCs/>
          <w:lang w:eastAsia="hr-HR"/>
        </w:rPr>
        <w:t>Ukupna potrošnja energije je u 2020. godini u Gradu Zagrebu iznosila 52,6 PJ</w:t>
      </w:r>
      <w:r>
        <w:rPr>
          <w:rStyle w:val="Referencafusnote"/>
          <w:rFonts w:eastAsia="Times New Roman" w:cs="Calibri"/>
          <w:bCs/>
          <w:lang w:eastAsia="hr-HR"/>
        </w:rPr>
        <w:footnoteReference w:id="60"/>
      </w:r>
      <w:r>
        <w:rPr>
          <w:rFonts w:eastAsia="Times New Roman" w:cs="Calibri"/>
          <w:bCs/>
          <w:lang w:eastAsia="hr-HR"/>
        </w:rPr>
        <w:t xml:space="preserve">. </w:t>
      </w:r>
      <w:r w:rsidR="00034784" w:rsidRPr="00483C4F">
        <w:rPr>
          <w:rFonts w:eastAsia="Times New Roman" w:cs="Calibri"/>
          <w:bCs/>
          <w:lang w:eastAsia="hr-HR"/>
        </w:rPr>
        <w:t>Najveći udjel u ukupnoj potrošnji energije u 20</w:t>
      </w:r>
      <w:r>
        <w:rPr>
          <w:rFonts w:eastAsia="Times New Roman" w:cs="Calibri"/>
          <w:bCs/>
          <w:lang w:eastAsia="hr-HR"/>
        </w:rPr>
        <w:t>20</w:t>
      </w:r>
      <w:r w:rsidR="00034784" w:rsidRPr="00483C4F">
        <w:rPr>
          <w:rFonts w:eastAsia="Times New Roman" w:cs="Calibri"/>
          <w:bCs/>
          <w:lang w:eastAsia="hr-HR"/>
        </w:rPr>
        <w:t>. godini ima prirodni plin (</w:t>
      </w:r>
      <w:r>
        <w:rPr>
          <w:rFonts w:eastAsia="Times New Roman" w:cs="Calibri"/>
          <w:bCs/>
          <w:lang w:eastAsia="hr-HR"/>
        </w:rPr>
        <w:t xml:space="preserve"> 56,7 </w:t>
      </w:r>
      <w:r w:rsidR="00034784" w:rsidRPr="00483C4F">
        <w:rPr>
          <w:rFonts w:eastAsia="Times New Roman" w:cs="Calibri"/>
          <w:bCs/>
          <w:lang w:eastAsia="hr-HR"/>
        </w:rPr>
        <w:t>%), slijede naftni derivati (</w:t>
      </w:r>
      <w:r>
        <w:rPr>
          <w:rFonts w:eastAsia="Times New Roman" w:cs="Calibri"/>
          <w:bCs/>
          <w:lang w:eastAsia="hr-HR"/>
        </w:rPr>
        <w:t xml:space="preserve">30,01 </w:t>
      </w:r>
      <w:r w:rsidR="00034784" w:rsidRPr="00483C4F">
        <w:rPr>
          <w:rFonts w:eastAsia="Times New Roman" w:cs="Calibri"/>
          <w:bCs/>
          <w:lang w:eastAsia="hr-HR"/>
        </w:rPr>
        <w:t>%), električna energija (</w:t>
      </w:r>
      <w:r>
        <w:rPr>
          <w:rFonts w:eastAsia="Times New Roman" w:cs="Calibri"/>
          <w:bCs/>
          <w:lang w:eastAsia="hr-HR"/>
        </w:rPr>
        <w:t xml:space="preserve">7,5 </w:t>
      </w:r>
      <w:r w:rsidR="00034784" w:rsidRPr="00483C4F">
        <w:rPr>
          <w:rFonts w:eastAsia="Times New Roman" w:cs="Calibri"/>
          <w:bCs/>
          <w:lang w:eastAsia="hr-HR"/>
        </w:rPr>
        <w:t>%) i ogrjevno drvo (3,</w:t>
      </w:r>
      <w:r>
        <w:rPr>
          <w:rFonts w:eastAsia="Times New Roman" w:cs="Calibri"/>
          <w:bCs/>
          <w:lang w:eastAsia="hr-HR"/>
        </w:rPr>
        <w:t>5</w:t>
      </w:r>
      <w:r w:rsidR="00034784" w:rsidRPr="00483C4F">
        <w:rPr>
          <w:rFonts w:eastAsia="Times New Roman" w:cs="Calibri"/>
          <w:bCs/>
          <w:lang w:eastAsia="hr-HR"/>
        </w:rPr>
        <w:t xml:space="preserve">%). </w:t>
      </w:r>
    </w:p>
    <w:p w14:paraId="42FD6376" w14:textId="05AAB4F5" w:rsidR="00034784" w:rsidRDefault="00034784" w:rsidP="00034784">
      <w:pPr>
        <w:tabs>
          <w:tab w:val="left" w:pos="-720"/>
        </w:tabs>
        <w:suppressAutoHyphens/>
        <w:spacing w:line="240" w:lineRule="auto"/>
        <w:ind w:right="-2"/>
        <w:jc w:val="both"/>
        <w:rPr>
          <w:rFonts w:cs="Calibri"/>
          <w:bCs/>
        </w:rPr>
      </w:pPr>
      <w:r w:rsidRPr="00483C4F">
        <w:rPr>
          <w:rFonts w:cs="Calibri"/>
          <w:b/>
        </w:rPr>
        <w:br/>
      </w:r>
      <w:r w:rsidR="006507AC" w:rsidRPr="00E93A23">
        <w:rPr>
          <w:rFonts w:cs="Calibri"/>
          <w:b/>
        </w:rPr>
        <w:t>Proizvodnja energije.</w:t>
      </w:r>
      <w:r w:rsidR="006507AC">
        <w:rPr>
          <w:rFonts w:cs="Calibri"/>
          <w:b/>
        </w:rPr>
        <w:t xml:space="preserve"> </w:t>
      </w:r>
    </w:p>
    <w:p w14:paraId="659CA30D" w14:textId="77777777" w:rsidR="006507AC" w:rsidRPr="001B2958" w:rsidRDefault="006507AC" w:rsidP="006507AC">
      <w:pPr>
        <w:tabs>
          <w:tab w:val="left" w:pos="-720"/>
        </w:tabs>
        <w:suppressAutoHyphens/>
        <w:spacing w:line="240" w:lineRule="auto"/>
        <w:ind w:right="-2"/>
        <w:jc w:val="both"/>
        <w:rPr>
          <w:rFonts w:cs="Calibri"/>
          <w:bCs/>
        </w:rPr>
      </w:pPr>
      <w:r w:rsidRPr="001B2958">
        <w:rPr>
          <w:rFonts w:cs="Calibri"/>
          <w:bCs/>
        </w:rPr>
        <w:t>U Zagrebu postoji nekoliko objekata za proizvodnju umreženih oblika energije kojima se opskrbljuju potrošači na cijelom području grada Zagreba, te jedno postrojenje za pročišćavanje otpadnih voda. Ti objekti su:</w:t>
      </w:r>
    </w:p>
    <w:p w14:paraId="452828BA" w14:textId="77777777" w:rsidR="006507AC" w:rsidRDefault="006507AC" w:rsidP="006507AC">
      <w:pPr>
        <w:pStyle w:val="Odlomakpopisa"/>
        <w:numPr>
          <w:ilvl w:val="0"/>
          <w:numId w:val="52"/>
        </w:numPr>
        <w:tabs>
          <w:tab w:val="left" w:pos="-720"/>
        </w:tabs>
        <w:suppressAutoHyphens/>
        <w:spacing w:line="240" w:lineRule="auto"/>
        <w:ind w:right="-2"/>
        <w:jc w:val="both"/>
        <w:rPr>
          <w:rFonts w:cs="Calibri"/>
          <w:bCs/>
        </w:rPr>
      </w:pPr>
      <w:r w:rsidRPr="005825B5">
        <w:rPr>
          <w:rFonts w:cs="Calibri"/>
          <w:bCs/>
        </w:rPr>
        <w:t>TE-TO Zagreb</w:t>
      </w:r>
      <w:r>
        <w:rPr>
          <w:rFonts w:cs="Calibri"/>
          <w:bCs/>
        </w:rPr>
        <w:t>,</w:t>
      </w:r>
    </w:p>
    <w:p w14:paraId="30AF3CD7" w14:textId="77777777" w:rsidR="006507AC" w:rsidRDefault="006507AC" w:rsidP="006507AC">
      <w:pPr>
        <w:pStyle w:val="Odlomakpopisa"/>
        <w:numPr>
          <w:ilvl w:val="0"/>
          <w:numId w:val="52"/>
        </w:numPr>
        <w:tabs>
          <w:tab w:val="left" w:pos="-720"/>
        </w:tabs>
        <w:suppressAutoHyphens/>
        <w:spacing w:line="240" w:lineRule="auto"/>
        <w:ind w:right="-2"/>
        <w:jc w:val="both"/>
        <w:rPr>
          <w:rFonts w:cs="Calibri"/>
          <w:bCs/>
        </w:rPr>
      </w:pPr>
      <w:r w:rsidRPr="005825B5">
        <w:rPr>
          <w:rFonts w:cs="Calibri"/>
          <w:bCs/>
        </w:rPr>
        <w:t>EL-TO Zagreb</w:t>
      </w:r>
      <w:r>
        <w:rPr>
          <w:rFonts w:cs="Calibri"/>
          <w:bCs/>
        </w:rPr>
        <w:t>,</w:t>
      </w:r>
    </w:p>
    <w:p w14:paraId="4DBDD2B4" w14:textId="77777777" w:rsidR="006507AC" w:rsidRDefault="006507AC" w:rsidP="006507AC">
      <w:pPr>
        <w:pStyle w:val="Odlomakpopisa"/>
        <w:numPr>
          <w:ilvl w:val="0"/>
          <w:numId w:val="52"/>
        </w:numPr>
        <w:tabs>
          <w:tab w:val="left" w:pos="-720"/>
        </w:tabs>
        <w:suppressAutoHyphens/>
        <w:spacing w:line="240" w:lineRule="auto"/>
        <w:ind w:right="-2"/>
        <w:jc w:val="both"/>
        <w:rPr>
          <w:rFonts w:cs="Calibri"/>
          <w:bCs/>
        </w:rPr>
      </w:pPr>
      <w:r w:rsidRPr="005825B5">
        <w:rPr>
          <w:rFonts w:cs="Calibri"/>
          <w:bCs/>
        </w:rPr>
        <w:t>mTEO Jakuševec</w:t>
      </w:r>
      <w:r>
        <w:rPr>
          <w:rFonts w:cs="Calibri"/>
          <w:bCs/>
        </w:rPr>
        <w:t>,</w:t>
      </w:r>
    </w:p>
    <w:p w14:paraId="064931FD" w14:textId="77777777" w:rsidR="006507AC" w:rsidRDefault="006507AC" w:rsidP="006507AC">
      <w:pPr>
        <w:pStyle w:val="Odlomakpopisa"/>
        <w:numPr>
          <w:ilvl w:val="0"/>
          <w:numId w:val="52"/>
        </w:numPr>
        <w:tabs>
          <w:tab w:val="left" w:pos="-720"/>
        </w:tabs>
        <w:suppressAutoHyphens/>
        <w:spacing w:line="240" w:lineRule="auto"/>
        <w:ind w:right="-2"/>
        <w:jc w:val="both"/>
        <w:rPr>
          <w:rFonts w:cs="Calibri"/>
          <w:bCs/>
        </w:rPr>
      </w:pPr>
      <w:r w:rsidRPr="005825B5">
        <w:rPr>
          <w:rFonts w:cs="Calibri"/>
          <w:bCs/>
        </w:rPr>
        <w:t>Zagrebačke otpadne vode d.o.o.</w:t>
      </w:r>
      <w:r>
        <w:rPr>
          <w:rFonts w:cs="Calibri"/>
          <w:bCs/>
        </w:rPr>
        <w:t>,</w:t>
      </w:r>
    </w:p>
    <w:p w14:paraId="410F6E48" w14:textId="77777777" w:rsidR="006507AC" w:rsidRDefault="006507AC" w:rsidP="006507AC">
      <w:pPr>
        <w:pStyle w:val="Odlomakpopisa"/>
        <w:numPr>
          <w:ilvl w:val="0"/>
          <w:numId w:val="52"/>
        </w:numPr>
        <w:tabs>
          <w:tab w:val="left" w:pos="-720"/>
        </w:tabs>
        <w:suppressAutoHyphens/>
        <w:spacing w:line="240" w:lineRule="auto"/>
        <w:ind w:right="-2"/>
        <w:jc w:val="both"/>
        <w:rPr>
          <w:rFonts w:cs="Calibri"/>
          <w:bCs/>
        </w:rPr>
      </w:pPr>
      <w:r w:rsidRPr="005825B5">
        <w:rPr>
          <w:rFonts w:cs="Calibri"/>
          <w:bCs/>
        </w:rPr>
        <w:t>Solarne elektrane</w:t>
      </w:r>
      <w:r>
        <w:rPr>
          <w:rFonts w:cs="Calibri"/>
          <w:bCs/>
        </w:rPr>
        <w:t>,</w:t>
      </w:r>
    </w:p>
    <w:p w14:paraId="0806A2EA" w14:textId="77777777" w:rsidR="006507AC" w:rsidRPr="005825B5" w:rsidRDefault="006507AC" w:rsidP="006507AC">
      <w:pPr>
        <w:pStyle w:val="Odlomakpopisa"/>
        <w:numPr>
          <w:ilvl w:val="0"/>
          <w:numId w:val="52"/>
        </w:numPr>
        <w:tabs>
          <w:tab w:val="left" w:pos="-720"/>
        </w:tabs>
        <w:suppressAutoHyphens/>
        <w:spacing w:line="240" w:lineRule="auto"/>
        <w:ind w:right="-2"/>
        <w:jc w:val="both"/>
        <w:rPr>
          <w:rFonts w:cs="Calibri"/>
          <w:bCs/>
        </w:rPr>
      </w:pPr>
      <w:r w:rsidRPr="005825B5">
        <w:rPr>
          <w:rFonts w:cs="Calibri"/>
          <w:bCs/>
        </w:rPr>
        <w:t>Javne i industrijske kotlovnice.</w:t>
      </w:r>
    </w:p>
    <w:p w14:paraId="01A4ADEC" w14:textId="77777777" w:rsidR="006507AC" w:rsidRDefault="006507AC" w:rsidP="006507AC">
      <w:pPr>
        <w:tabs>
          <w:tab w:val="left" w:pos="-720"/>
        </w:tabs>
        <w:suppressAutoHyphens/>
        <w:spacing w:line="240" w:lineRule="auto"/>
        <w:ind w:right="-2"/>
        <w:jc w:val="both"/>
        <w:rPr>
          <w:rFonts w:cs="Calibri"/>
          <w:bCs/>
        </w:rPr>
      </w:pPr>
      <w:r w:rsidRPr="001B2958">
        <w:rPr>
          <w:rFonts w:cs="Calibri"/>
          <w:bCs/>
        </w:rPr>
        <w:t>Ukupna neto proizvedena energija (električna i toplinska) u 2019. godini od strane navedenih proizvodnih jedinica iznosila je 12.353 TJ. Najveći udio u neto proizvodnji ima TE-TO (66 %) i EL-TO (26 %) koji zajedno čine 92 % proizvodnje energije u Gradu Zagrebu</w:t>
      </w:r>
      <w:r>
        <w:rPr>
          <w:rFonts w:cs="Calibri"/>
          <w:bCs/>
        </w:rPr>
        <w:t xml:space="preserve">. </w:t>
      </w:r>
      <w:r w:rsidRPr="008664B5">
        <w:rPr>
          <w:rFonts w:cs="Calibri"/>
          <w:bCs/>
        </w:rPr>
        <w:t>Gledajući izlazne energenta, od ukupne proizvodnje energije u Gradu Zagrebu 57 % odnosi se na toplu vodu i paru a 43 % na električnu energiju</w:t>
      </w:r>
      <w:r>
        <w:rPr>
          <w:rStyle w:val="Referencafusnote"/>
          <w:rFonts w:cs="Calibri"/>
          <w:bCs/>
        </w:rPr>
        <w:footnoteReference w:id="61"/>
      </w:r>
      <w:r>
        <w:rPr>
          <w:rFonts w:cs="Calibri"/>
          <w:bCs/>
        </w:rPr>
        <w:t>.</w:t>
      </w:r>
    </w:p>
    <w:p w14:paraId="0DDD76CC" w14:textId="77777777" w:rsidR="00034784" w:rsidRDefault="00034784" w:rsidP="00034784">
      <w:pPr>
        <w:tabs>
          <w:tab w:val="left" w:pos="-720"/>
        </w:tabs>
        <w:suppressAutoHyphens/>
        <w:spacing w:line="240" w:lineRule="auto"/>
        <w:ind w:right="-2"/>
        <w:jc w:val="both"/>
        <w:rPr>
          <w:rFonts w:cs="Calibri"/>
          <w:bCs/>
        </w:rPr>
      </w:pPr>
      <w:r>
        <w:rPr>
          <w:rFonts w:cs="Calibri"/>
          <w:bCs/>
        </w:rPr>
        <w:t xml:space="preserve">U tijeku je </w:t>
      </w:r>
      <w:r w:rsidRPr="00483C4F">
        <w:rPr>
          <w:rFonts w:cs="Calibri"/>
          <w:bCs/>
        </w:rPr>
        <w:t>izgradnj</w:t>
      </w:r>
      <w:r>
        <w:rPr>
          <w:rFonts w:cs="Calibri"/>
          <w:bCs/>
        </w:rPr>
        <w:t>a</w:t>
      </w:r>
      <w:r w:rsidRPr="00483C4F">
        <w:rPr>
          <w:rFonts w:cs="Calibri"/>
          <w:bCs/>
        </w:rPr>
        <w:t xml:space="preserve"> novog, 900 milijuna kuna vrijednog kombi-kogeneracijskog bloka u Elektrani-toplani Zagreb (KKE EL-TO Zagreb).</w:t>
      </w:r>
      <w:r>
        <w:rPr>
          <w:rFonts w:cs="Calibri"/>
          <w:bCs/>
        </w:rPr>
        <w:t xml:space="preserve"> Planirani završetak radova je u 2022. godini.</w:t>
      </w:r>
      <w:r w:rsidRPr="00483C4F">
        <w:rPr>
          <w:rFonts w:cs="Calibri"/>
          <w:bCs/>
        </w:rPr>
        <w:t xml:space="preserve"> KKE EL-TO će omogućiti dugoročno sigurnu opskrbu toplinskom energijom za 80.000 stanovnika zapadnog dijela Zagreba, kao i opskrbu gospodarskih potrošača industrijskom parom. Očekivana prosječna godišnja proizvodnja KKE EL-TO Zagreb je 675 GWh električne energije, 450 GWh toplinske energije za centralni toplinski sustav </w:t>
      </w:r>
      <w:r>
        <w:rPr>
          <w:rFonts w:cs="Calibri"/>
          <w:bCs/>
        </w:rPr>
        <w:t>G</w:t>
      </w:r>
      <w:r w:rsidRPr="00483C4F">
        <w:rPr>
          <w:rFonts w:cs="Calibri"/>
          <w:bCs/>
        </w:rPr>
        <w:t>rada Zagreba te 160 GWh industrijske pare. Zahvaljujući znatno manjoj specifičnoj emisiji CO2 koju će proizvoditi novi blok u odnosu na stari blok A, 187 grama umjesto 682 po proizvedenom kilovatsatu, uz prosječnu očekivanu proizvodnju, izbjeći će se emisija u približnom iznosu od oko 150 tisuća tona CO2 godišnje. Također, u odnosu na sadašnje stanje na lokaciji, smanjit će se emisija onečišćujućih tvari u zrak: SO2 za 95 posto, NOX za 57 posto i čestica za 84 posto.</w:t>
      </w:r>
    </w:p>
    <w:p w14:paraId="51C8B24B" w14:textId="17FDC7A1" w:rsidR="00034784" w:rsidRPr="00A33E06" w:rsidRDefault="00034784" w:rsidP="00034784">
      <w:pPr>
        <w:tabs>
          <w:tab w:val="left" w:pos="-720"/>
        </w:tabs>
        <w:suppressAutoHyphens/>
        <w:spacing w:line="240" w:lineRule="auto"/>
        <w:ind w:right="-2"/>
        <w:jc w:val="both"/>
        <w:rPr>
          <w:rFonts w:cs="Calibri"/>
          <w:bCs/>
        </w:rPr>
      </w:pPr>
    </w:p>
    <w:tbl>
      <w:tblPr>
        <w:tblW w:w="0" w:type="auto"/>
        <w:tblLook w:val="01E0" w:firstRow="1" w:lastRow="1" w:firstColumn="1" w:lastColumn="1" w:noHBand="0" w:noVBand="0"/>
      </w:tblPr>
      <w:tblGrid>
        <w:gridCol w:w="4541"/>
        <w:gridCol w:w="4531"/>
      </w:tblGrid>
      <w:tr w:rsidR="00034784" w:rsidRPr="00A33E06" w14:paraId="6A9347FC" w14:textId="77777777" w:rsidTr="00072476">
        <w:tc>
          <w:tcPr>
            <w:tcW w:w="4650" w:type="dxa"/>
            <w:shd w:val="clear" w:color="auto" w:fill="CCCCCC"/>
          </w:tcPr>
          <w:p w14:paraId="1B6CD671"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636" w:type="dxa"/>
            <w:shd w:val="clear" w:color="auto" w:fill="99CCFF"/>
          </w:tcPr>
          <w:p w14:paraId="396B75CF"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 RAZVOJNE POTREBE</w:t>
            </w:r>
          </w:p>
        </w:tc>
      </w:tr>
      <w:tr w:rsidR="00034784" w:rsidRPr="00A33E06" w14:paraId="13024FEA" w14:textId="77777777" w:rsidTr="00072476">
        <w:tc>
          <w:tcPr>
            <w:tcW w:w="4650" w:type="dxa"/>
            <w:shd w:val="clear" w:color="auto" w:fill="CCCCCC"/>
          </w:tcPr>
          <w:p w14:paraId="2F3D7AD2" w14:textId="77777777" w:rsidR="0003478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dominantnost fosilnih izvora energije (prirodni plin i naftni derivati)</w:t>
            </w:r>
          </w:p>
          <w:p w14:paraId="649D8FD2"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svega 1,1% primarne energije je i proizvedeno na području Grada Zagreba – gotovo sva energija koja se potroši u Gradu Zagrebu dobavlja se van granica Grada</w:t>
            </w:r>
          </w:p>
          <w:p w14:paraId="0BA35AB6"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povećavaju se</w:t>
            </w:r>
            <w:r>
              <w:rPr>
                <w:rFonts w:ascii="Calibri" w:hAnsi="Calibri" w:cs="Calibri"/>
                <w:sz w:val="18"/>
                <w:szCs w:val="18"/>
              </w:rPr>
              <w:t xml:space="preserve"> </w:t>
            </w:r>
            <w:r w:rsidRPr="00A33E06">
              <w:rPr>
                <w:rFonts w:ascii="Calibri" w:hAnsi="Calibri" w:cs="Calibri"/>
                <w:sz w:val="18"/>
                <w:szCs w:val="18"/>
              </w:rPr>
              <w:t>pritisci na okoliš i otežava ispunjavanje prihvaćenih ciljeva smanjivanja emisije i neposredne potrošnje</w:t>
            </w:r>
          </w:p>
        </w:tc>
        <w:tc>
          <w:tcPr>
            <w:tcW w:w="4636" w:type="dxa"/>
            <w:shd w:val="clear" w:color="auto" w:fill="99CCFF"/>
          </w:tcPr>
          <w:p w14:paraId="61FA1D98" w14:textId="02124DE9" w:rsidR="00034784" w:rsidRPr="006535CB" w:rsidRDefault="00034784" w:rsidP="006535CB">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daljnji razvoj i povećanje energetske učinkovitosti proizvodnih postrojenja na području Grad Zagreba (EL-TO &amp; TE-TO)</w:t>
            </w:r>
            <w:r w:rsidR="002B0E09" w:rsidRPr="002B0E09">
              <w:rPr>
                <w:rFonts w:ascii="Calibri" w:hAnsi="Calibri" w:cs="Calibri"/>
                <w:sz w:val="18"/>
                <w:szCs w:val="18"/>
              </w:rPr>
              <w:t>postupna dekarbonizacija proizvodnje električne energije zamjenom prirodnog plina s vodikom i biometanom</w:t>
            </w:r>
          </w:p>
          <w:sdt>
            <w:sdtPr>
              <w:tag w:val="goog_rdk_60"/>
              <w:id w:val="1585649177"/>
            </w:sdtPr>
            <w:sdtEndPr/>
            <w:sdtContent>
              <w:p w14:paraId="4DFC0494" w14:textId="134391CE" w:rsidR="002B0E09" w:rsidRPr="002B0E09" w:rsidRDefault="007625F6" w:rsidP="002B0E09">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eastAsia="Calibri" w:hAnsi="Calibri" w:cs="Calibri"/>
                    <w:color w:val="000000"/>
                    <w:sz w:val="18"/>
                    <w:szCs w:val="18"/>
                  </w:rPr>
                  <w:t xml:space="preserve">razvijati </w:t>
                </w:r>
                <w:r w:rsidR="00051D4C">
                  <w:rPr>
                    <w:rFonts w:ascii="Calibri" w:eastAsia="Calibri" w:hAnsi="Calibri" w:cs="Calibri"/>
                    <w:color w:val="000000"/>
                    <w:sz w:val="18"/>
                    <w:szCs w:val="18"/>
                  </w:rPr>
                  <w:t>centralizirane toplinske sustave iz obnovljivih izvora</w:t>
                </w:r>
              </w:p>
              <w:p w14:paraId="6931B49C" w14:textId="6A5EB2BE" w:rsidR="002B0E09" w:rsidRPr="002B0E09" w:rsidRDefault="002B0E09" w:rsidP="002B0E09">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2B0E09">
                  <w:rPr>
                    <w:rFonts w:ascii="Calibri" w:hAnsi="Calibri" w:cs="Calibri"/>
                    <w:sz w:val="18"/>
                    <w:szCs w:val="18"/>
                  </w:rPr>
                  <w:t>poticanje daljnjeg razvoja centralnog toplinskog sustava Grada Zagreba</w:t>
                </w:r>
              </w:p>
              <w:p w14:paraId="5489CA3C" w14:textId="77777777" w:rsidR="00774FE4" w:rsidRDefault="002B0E09"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2B0E09">
                  <w:rPr>
                    <w:rFonts w:ascii="Calibri" w:hAnsi="Calibri" w:cs="Calibri"/>
                    <w:sz w:val="18"/>
                    <w:szCs w:val="18"/>
                  </w:rPr>
                  <w:t>primjena inovativnih modela poticanja razvoja obnovljivih izvora energije, posebice kroz modele građanske energije, s ciljem razvoja projekata s većom participacijom stanovništva u vlasničkom, upravljačkom i prihodovnom pogledu</w:t>
                </w:r>
              </w:p>
              <w:p w14:paraId="2F37D876" w14:textId="77777777" w:rsidR="00774FE4" w:rsidRPr="00080066" w:rsidRDefault="00751C19" w:rsidP="00774FE4">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sdt>
                  <w:sdtPr>
                    <w:tag w:val="goog_rdk_65"/>
                    <w:id w:val="-1636329053"/>
                  </w:sdtPr>
                  <w:sdtEndPr/>
                  <w:sdtContent>
                    <w:r w:rsidR="00774FE4">
                      <w:rPr>
                        <w:rFonts w:ascii="Calibri" w:eastAsia="Calibri" w:hAnsi="Calibri" w:cs="Calibri"/>
                        <w:color w:val="000000"/>
                        <w:sz w:val="18"/>
                        <w:szCs w:val="18"/>
                      </w:rPr>
                      <w:t>poticati osnivanje energetskih zadruga</w:t>
                    </w:r>
                  </w:sdtContent>
                </w:sdt>
              </w:p>
              <w:p w14:paraId="5A6C97A4" w14:textId="1FBA98EF" w:rsidR="00051D4C" w:rsidRPr="00E00C21" w:rsidRDefault="00751C19"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p>
            </w:sdtContent>
          </w:sdt>
        </w:tc>
      </w:tr>
    </w:tbl>
    <w:p w14:paraId="5AC0759C" w14:textId="77777777" w:rsidR="00034784" w:rsidRDefault="00034784" w:rsidP="00034784">
      <w:pPr>
        <w:spacing w:line="240" w:lineRule="auto"/>
        <w:jc w:val="both"/>
      </w:pPr>
      <w:r w:rsidRPr="00A33E06">
        <w:rPr>
          <w:rFonts w:cs="Calibri"/>
          <w:b/>
        </w:rPr>
        <w:br/>
        <w:t>Opskrba električnom energijom.</w:t>
      </w:r>
      <w:bookmarkStart w:id="136" w:name="_Hlk35599468"/>
      <w:r>
        <w:rPr>
          <w:rFonts w:cs="Calibri"/>
          <w:bCs/>
        </w:rPr>
        <w:t xml:space="preserve"> </w:t>
      </w:r>
      <w:bookmarkEnd w:id="136"/>
      <w:r>
        <w:rPr>
          <w:rFonts w:cs="Calibri"/>
          <w:bCs/>
        </w:rPr>
        <w:t xml:space="preserve"> </w:t>
      </w:r>
      <w:r>
        <w:t>Gubici elektrodistribucije na širem području grada Zagreba iznosili su 7,6 % (prema godišnjem izvješću HEP ODS Elektre Zagreb za 2019.). Iznos gubitaka se smanjuje iz godine u godinu čemu doprinose investicijski programi ugradnje energetski učinkovitih transformatora i programi prijelaza na pogonski napon 20 kV.  Pouzdanost pogona prema pokazateljima broja zastoja (SAIFI) i trajanja zastoja (SAIDI) je nešto bolja od prosjeka za ukupnu hrvatsku elektrodistribucijsku mrežu (prema godišnjem izvješću HEP ODS za 2019.) čemu doprinosi gusta i dobro razvijena elektrodistribucijska mreža na području grada, kroz koju je moguće vrlo brzo uspostaviti alternativno napajanje u slučaju zastoja. Mreža niskog napona na području grada je u pogonski zadovoljavajućem stanju, a aktivnosti pojačanog održavanja i pojačanja kapaciteta su usmjerene prema područjima na kojima su utvrđena preopterećenja ili veći padovi napona.</w:t>
      </w:r>
    </w:p>
    <w:p w14:paraId="246CC4F4" w14:textId="77777777" w:rsidR="00034784" w:rsidRDefault="00034784" w:rsidP="00034784">
      <w:pPr>
        <w:spacing w:line="240" w:lineRule="auto"/>
        <w:jc w:val="both"/>
      </w:pPr>
      <w:r>
        <w:t>Izgradnja i razvoj elektrodistribucijske mreže srednjeg i niskog napona su detaljno razrađeni studijom razvoja elektrodistribucijske mreže na području grada Zagreba do 2034. Studija je obradila ekonomske i demografske trendove i druge planove razvoja grada i preporučila aktivnosti HEP ODS u cilju pojačanja kapaciteta mreže, povećanja pouzdanosti pogona i povećanja učinkovitosti pogona (smanjenje gubitaka). Planovi razvoja prijenosne i elektrodistribucijske mreže za razdoblje 2020. – 2029. su javno dostupni dokumenti iz kojih su vidljive lokacije na kojima će se provoditi navedene aktivnosti.</w:t>
      </w:r>
    </w:p>
    <w:p w14:paraId="7BCC91F7" w14:textId="77777777" w:rsidR="00034784" w:rsidRDefault="00034784" w:rsidP="00034784">
      <w:pPr>
        <w:spacing w:line="240" w:lineRule="auto"/>
        <w:jc w:val="both"/>
      </w:pPr>
    </w:p>
    <w:tbl>
      <w:tblPr>
        <w:tblW w:w="0" w:type="auto"/>
        <w:tblLook w:val="01E0" w:firstRow="1" w:lastRow="1" w:firstColumn="1" w:lastColumn="1" w:noHBand="0" w:noVBand="0"/>
      </w:tblPr>
      <w:tblGrid>
        <w:gridCol w:w="4540"/>
        <w:gridCol w:w="4532"/>
      </w:tblGrid>
      <w:tr w:rsidR="00034784" w:rsidRPr="00171607" w14:paraId="5997FA16" w14:textId="77777777" w:rsidTr="00072476">
        <w:tc>
          <w:tcPr>
            <w:tcW w:w="4644" w:type="dxa"/>
            <w:shd w:val="clear" w:color="auto" w:fill="CCCCCC"/>
          </w:tcPr>
          <w:p w14:paraId="72089BF3" w14:textId="77777777" w:rsidR="00034784" w:rsidRPr="0015414F" w:rsidRDefault="00034784" w:rsidP="00072476">
            <w:pPr>
              <w:pStyle w:val="StandardWeb"/>
              <w:spacing w:before="60" w:beforeAutospacing="0" w:after="60" w:afterAutospacing="0"/>
              <w:jc w:val="both"/>
              <w:rPr>
                <w:rFonts w:ascii="Calibri" w:hAnsi="Calibri" w:cs="Calibri"/>
                <w:b/>
                <w:sz w:val="18"/>
                <w:szCs w:val="18"/>
              </w:rPr>
            </w:pPr>
            <w:r w:rsidRPr="0015414F">
              <w:rPr>
                <w:rFonts w:ascii="Calibri" w:hAnsi="Calibri" w:cs="Calibri"/>
                <w:b/>
                <w:sz w:val="18"/>
                <w:szCs w:val="18"/>
              </w:rPr>
              <w:t xml:space="preserve">RAZVOJNI PROBLEMI </w:t>
            </w:r>
          </w:p>
        </w:tc>
        <w:tc>
          <w:tcPr>
            <w:tcW w:w="4642" w:type="dxa"/>
            <w:shd w:val="clear" w:color="auto" w:fill="99CCFF"/>
          </w:tcPr>
          <w:p w14:paraId="4F53B6C8" w14:textId="77777777" w:rsidR="00034784" w:rsidRPr="0015414F" w:rsidRDefault="00034784" w:rsidP="00072476">
            <w:pPr>
              <w:pStyle w:val="StandardWeb"/>
              <w:spacing w:before="60" w:beforeAutospacing="0" w:after="60" w:afterAutospacing="0"/>
              <w:jc w:val="both"/>
              <w:rPr>
                <w:rFonts w:ascii="Calibri" w:hAnsi="Calibri" w:cs="Calibri"/>
                <w:b/>
                <w:sz w:val="18"/>
                <w:szCs w:val="18"/>
              </w:rPr>
            </w:pPr>
            <w:r w:rsidRPr="0015414F">
              <w:rPr>
                <w:rFonts w:ascii="Calibri" w:hAnsi="Calibri" w:cs="Calibri"/>
                <w:b/>
                <w:sz w:val="18"/>
                <w:szCs w:val="18"/>
              </w:rPr>
              <w:t xml:space="preserve"> RAZVOJNE POTREBE</w:t>
            </w:r>
          </w:p>
        </w:tc>
      </w:tr>
      <w:tr w:rsidR="00034784" w:rsidRPr="00171607" w14:paraId="34FA4EB9" w14:textId="77777777" w:rsidTr="00072476">
        <w:tc>
          <w:tcPr>
            <w:tcW w:w="4644" w:type="dxa"/>
            <w:vMerge w:val="restart"/>
            <w:shd w:val="clear" w:color="auto" w:fill="CCCCCC"/>
          </w:tcPr>
          <w:p w14:paraId="3661F941" w14:textId="77777777" w:rsidR="00034784" w:rsidRPr="0015414F"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15414F">
              <w:rPr>
                <w:rFonts w:ascii="Calibri" w:hAnsi="Calibri" w:cs="Calibri"/>
                <w:sz w:val="18"/>
                <w:szCs w:val="18"/>
              </w:rPr>
              <w:t>obnova dotrajalih dijelova mreže,</w:t>
            </w:r>
          </w:p>
          <w:p w14:paraId="67A41597" w14:textId="77777777" w:rsidR="00034784" w:rsidRPr="0015414F"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15414F">
              <w:rPr>
                <w:rFonts w:ascii="Calibri" w:hAnsi="Calibri" w:cs="Calibri"/>
                <w:sz w:val="18"/>
                <w:szCs w:val="18"/>
              </w:rPr>
              <w:t>povećanje kapaciteta mreže na području povećanih zahtjeva za električnom energijom</w:t>
            </w:r>
            <w:r>
              <w:rPr>
                <w:rFonts w:ascii="Calibri" w:hAnsi="Calibri" w:cs="Calibri"/>
                <w:sz w:val="18"/>
                <w:szCs w:val="18"/>
              </w:rPr>
              <w:t>,</w:t>
            </w:r>
          </w:p>
          <w:p w14:paraId="1CDD400A" w14:textId="77777777" w:rsidR="0003478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poboljšanje komunikacije s nadležnim službama grada zbog bržeg i lakšeg</w:t>
            </w:r>
            <w:r w:rsidRPr="0015414F">
              <w:rPr>
                <w:rFonts w:ascii="Calibri" w:hAnsi="Calibri" w:cs="Calibri"/>
                <w:sz w:val="18"/>
                <w:szCs w:val="18"/>
              </w:rPr>
              <w:t xml:space="preserve"> osiguranja koridora za prolaz energetskih KB</w:t>
            </w:r>
            <w:r>
              <w:rPr>
                <w:rFonts w:ascii="Calibri" w:hAnsi="Calibri" w:cs="Calibri"/>
                <w:sz w:val="18"/>
                <w:szCs w:val="18"/>
              </w:rPr>
              <w:t xml:space="preserve"> vodova</w:t>
            </w:r>
            <w:r w:rsidRPr="0015414F">
              <w:rPr>
                <w:rFonts w:ascii="Calibri" w:hAnsi="Calibri" w:cs="Calibri"/>
                <w:sz w:val="18"/>
                <w:szCs w:val="18"/>
              </w:rPr>
              <w:t xml:space="preserve"> i </w:t>
            </w:r>
            <w:r>
              <w:rPr>
                <w:rFonts w:ascii="Calibri" w:hAnsi="Calibri" w:cs="Calibri"/>
                <w:sz w:val="18"/>
                <w:szCs w:val="18"/>
              </w:rPr>
              <w:t>osiguranja lokacija za nove TS 10(20)/0,4 kV,</w:t>
            </w:r>
          </w:p>
          <w:p w14:paraId="6EEE6E9C" w14:textId="77777777" w:rsidR="0003478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poboljšanje komunikacije u području sustavnog usklađenja planova razvoja dijelova grada i planova razvoja elektrodistribucijske mreže</w:t>
            </w:r>
          </w:p>
          <w:p w14:paraId="4C16529A" w14:textId="1B9971A7" w:rsidR="00034784" w:rsidRPr="0015414F" w:rsidRDefault="00FE3248" w:rsidP="00072476">
            <w:pPr>
              <w:pStyle w:val="StandardWeb"/>
              <w:spacing w:before="60" w:beforeAutospacing="0" w:after="60" w:afterAutospacing="0"/>
              <w:ind w:right="-2"/>
              <w:rPr>
                <w:rFonts w:ascii="Calibri" w:hAnsi="Calibri" w:cs="Calibri"/>
                <w:sz w:val="18"/>
                <w:szCs w:val="18"/>
              </w:rPr>
            </w:pPr>
            <w:r w:rsidRPr="00FE3248">
              <w:rPr>
                <w:rFonts w:ascii="Calibri" w:hAnsi="Calibri" w:cs="Calibri"/>
                <w:sz w:val="18"/>
                <w:szCs w:val="18"/>
              </w:rPr>
              <w:t></w:t>
            </w:r>
            <w:r w:rsidRPr="00FE3248">
              <w:rPr>
                <w:rFonts w:ascii="Calibri" w:hAnsi="Calibri" w:cs="Calibri"/>
                <w:sz w:val="18"/>
                <w:szCs w:val="18"/>
              </w:rPr>
              <w:tab/>
              <w:t>Neadekvatno korištenje potencijala za proizvodnju električne energije iz obnovljivih izvora</w:t>
            </w:r>
          </w:p>
        </w:tc>
        <w:tc>
          <w:tcPr>
            <w:tcW w:w="4642" w:type="dxa"/>
            <w:shd w:val="clear" w:color="auto" w:fill="99CCFF"/>
          </w:tcPr>
          <w:p w14:paraId="0F6BC892" w14:textId="77777777" w:rsidR="00034784" w:rsidRPr="0015414F"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obnovom dotrajalih ili neodgovarajućih dijelova mreže </w:t>
            </w:r>
            <w:r w:rsidRPr="0015414F">
              <w:rPr>
                <w:rFonts w:ascii="Calibri" w:hAnsi="Calibri" w:cs="Calibri"/>
                <w:sz w:val="18"/>
                <w:szCs w:val="18"/>
              </w:rPr>
              <w:t xml:space="preserve">podizati kvalitetu, sigurnost i pouzdanost opskrbe </w:t>
            </w:r>
            <w:r>
              <w:rPr>
                <w:rFonts w:ascii="Calibri" w:hAnsi="Calibri" w:cs="Calibri"/>
                <w:sz w:val="18"/>
                <w:szCs w:val="18"/>
              </w:rPr>
              <w:t xml:space="preserve">električnom </w:t>
            </w:r>
            <w:r w:rsidRPr="0015414F">
              <w:rPr>
                <w:rFonts w:ascii="Calibri" w:hAnsi="Calibri" w:cs="Calibri"/>
                <w:sz w:val="18"/>
                <w:szCs w:val="18"/>
              </w:rPr>
              <w:t xml:space="preserve">energijom </w:t>
            </w:r>
          </w:p>
        </w:tc>
      </w:tr>
      <w:tr w:rsidR="00034784" w:rsidRPr="00171607" w14:paraId="0C255823" w14:textId="77777777" w:rsidTr="00072476">
        <w:tc>
          <w:tcPr>
            <w:tcW w:w="4644" w:type="dxa"/>
            <w:vMerge/>
            <w:shd w:val="clear" w:color="auto" w:fill="CCCCCC"/>
          </w:tcPr>
          <w:p w14:paraId="01AAE634" w14:textId="77777777" w:rsidR="00034784" w:rsidRPr="0015414F" w:rsidRDefault="00034784" w:rsidP="00165C16">
            <w:pPr>
              <w:pStyle w:val="StandardWeb"/>
              <w:numPr>
                <w:ilvl w:val="0"/>
                <w:numId w:val="2"/>
              </w:numPr>
              <w:tabs>
                <w:tab w:val="num" w:pos="284"/>
              </w:tabs>
              <w:spacing w:before="60" w:after="60"/>
              <w:ind w:left="284" w:right="-2" w:hanging="284"/>
              <w:rPr>
                <w:rFonts w:ascii="Calibri" w:hAnsi="Calibri" w:cs="Calibri"/>
                <w:sz w:val="18"/>
                <w:szCs w:val="18"/>
              </w:rPr>
            </w:pPr>
          </w:p>
        </w:tc>
        <w:tc>
          <w:tcPr>
            <w:tcW w:w="4642" w:type="dxa"/>
            <w:shd w:val="clear" w:color="auto" w:fill="99CCFF"/>
          </w:tcPr>
          <w:p w14:paraId="144E07F3" w14:textId="77777777" w:rsidR="0003478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promovirati energetsku učinkovitost, </w:t>
            </w:r>
          </w:p>
          <w:p w14:paraId="1093AB75" w14:textId="0CD08453" w:rsidR="00034784" w:rsidRPr="0066787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usugla</w:t>
            </w:r>
            <w:r w:rsidR="00D66A6E">
              <w:rPr>
                <w:rFonts w:ascii="Calibri" w:hAnsi="Calibri" w:cs="Calibri"/>
                <w:sz w:val="18"/>
                <w:szCs w:val="18"/>
              </w:rPr>
              <w:t>šavanje</w:t>
            </w:r>
            <w:r>
              <w:rPr>
                <w:rFonts w:ascii="Calibri" w:hAnsi="Calibri" w:cs="Calibri"/>
                <w:sz w:val="18"/>
                <w:szCs w:val="18"/>
              </w:rPr>
              <w:t xml:space="preserve"> ciljev</w:t>
            </w:r>
            <w:r w:rsidR="00F32031">
              <w:rPr>
                <w:rFonts w:ascii="Calibri" w:hAnsi="Calibri" w:cs="Calibri"/>
                <w:sz w:val="18"/>
                <w:szCs w:val="18"/>
              </w:rPr>
              <w:t>a</w:t>
            </w:r>
            <w:r>
              <w:rPr>
                <w:rFonts w:ascii="Calibri" w:hAnsi="Calibri" w:cs="Calibri"/>
                <w:sz w:val="18"/>
                <w:szCs w:val="18"/>
              </w:rPr>
              <w:t xml:space="preserve"> i strategij</w:t>
            </w:r>
            <w:r w:rsidR="00F32031">
              <w:rPr>
                <w:rFonts w:ascii="Calibri" w:hAnsi="Calibri" w:cs="Calibri"/>
                <w:sz w:val="18"/>
                <w:szCs w:val="18"/>
              </w:rPr>
              <w:t>e</w:t>
            </w:r>
            <w:r>
              <w:rPr>
                <w:rFonts w:ascii="Calibri" w:hAnsi="Calibri" w:cs="Calibri"/>
                <w:sz w:val="18"/>
                <w:szCs w:val="18"/>
              </w:rPr>
              <w:t xml:space="preserve"> razvoja grada u području tehničkih rješenja naprednih gradova („smart city“),  u području </w:t>
            </w:r>
            <w:r w:rsidRPr="0015414F">
              <w:rPr>
                <w:rFonts w:ascii="Calibri" w:hAnsi="Calibri" w:cs="Calibri"/>
                <w:sz w:val="18"/>
                <w:szCs w:val="18"/>
              </w:rPr>
              <w:t xml:space="preserve">upravljanja potrošnjom </w:t>
            </w:r>
            <w:r>
              <w:rPr>
                <w:rFonts w:ascii="Calibri" w:hAnsi="Calibri" w:cs="Calibri"/>
                <w:sz w:val="18"/>
                <w:szCs w:val="18"/>
              </w:rPr>
              <w:t xml:space="preserve">i izgradnje OIE (obnovljivih izvora energije) te povezati navedeno s </w:t>
            </w:r>
            <w:r w:rsidRPr="0015414F">
              <w:rPr>
                <w:rFonts w:ascii="Calibri" w:hAnsi="Calibri" w:cs="Calibri"/>
                <w:sz w:val="18"/>
                <w:szCs w:val="18"/>
              </w:rPr>
              <w:t xml:space="preserve">razvojem </w:t>
            </w:r>
            <w:r>
              <w:rPr>
                <w:rFonts w:ascii="Calibri" w:hAnsi="Calibri" w:cs="Calibri"/>
                <w:sz w:val="18"/>
                <w:szCs w:val="18"/>
              </w:rPr>
              <w:t>napredne</w:t>
            </w:r>
            <w:r w:rsidRPr="0015414F">
              <w:rPr>
                <w:rFonts w:ascii="Calibri" w:hAnsi="Calibri" w:cs="Calibri"/>
                <w:sz w:val="18"/>
                <w:szCs w:val="18"/>
              </w:rPr>
              <w:t xml:space="preserve"> </w:t>
            </w:r>
            <w:r>
              <w:rPr>
                <w:rFonts w:ascii="Calibri" w:hAnsi="Calibri" w:cs="Calibri"/>
                <w:sz w:val="18"/>
                <w:szCs w:val="18"/>
              </w:rPr>
              <w:t>elektro</w:t>
            </w:r>
            <w:r w:rsidRPr="0015414F">
              <w:rPr>
                <w:rFonts w:ascii="Calibri" w:hAnsi="Calibri" w:cs="Calibri"/>
                <w:sz w:val="18"/>
                <w:szCs w:val="18"/>
              </w:rPr>
              <w:t xml:space="preserve">energetske mreže „smart grid” </w:t>
            </w:r>
          </w:p>
        </w:tc>
      </w:tr>
      <w:tr w:rsidR="00034784" w:rsidRPr="00171607" w14:paraId="058932CD" w14:textId="77777777" w:rsidTr="00072476">
        <w:tc>
          <w:tcPr>
            <w:tcW w:w="4644" w:type="dxa"/>
            <w:vMerge/>
            <w:shd w:val="clear" w:color="auto" w:fill="CCCCCC"/>
          </w:tcPr>
          <w:p w14:paraId="0FB2E5C6" w14:textId="77777777" w:rsidR="00034784" w:rsidRPr="0015414F" w:rsidRDefault="00034784" w:rsidP="00165C16">
            <w:pPr>
              <w:pStyle w:val="StandardWeb"/>
              <w:numPr>
                <w:ilvl w:val="0"/>
                <w:numId w:val="2"/>
              </w:numPr>
              <w:tabs>
                <w:tab w:val="num" w:pos="284"/>
              </w:tabs>
              <w:spacing w:before="60" w:after="60"/>
              <w:ind w:left="284" w:right="-2" w:hanging="284"/>
              <w:rPr>
                <w:rFonts w:ascii="Calibri" w:hAnsi="Calibri" w:cs="Calibri"/>
                <w:sz w:val="18"/>
                <w:szCs w:val="18"/>
              </w:rPr>
            </w:pPr>
          </w:p>
        </w:tc>
        <w:tc>
          <w:tcPr>
            <w:tcW w:w="4642" w:type="dxa"/>
            <w:shd w:val="clear" w:color="auto" w:fill="99CCFF"/>
          </w:tcPr>
          <w:p w14:paraId="5D25931A" w14:textId="77777777" w:rsidR="00034784" w:rsidRPr="0015414F"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u komunikaciji s nadležnim službama grada o</w:t>
            </w:r>
            <w:r w:rsidRPr="0015414F">
              <w:rPr>
                <w:rFonts w:ascii="Calibri" w:hAnsi="Calibri" w:cs="Calibri"/>
                <w:sz w:val="18"/>
                <w:szCs w:val="18"/>
              </w:rPr>
              <w:t>sigurati lokacije za int</w:t>
            </w:r>
            <w:r>
              <w:rPr>
                <w:rFonts w:ascii="Calibri" w:hAnsi="Calibri" w:cs="Calibri"/>
                <w:sz w:val="18"/>
                <w:szCs w:val="18"/>
              </w:rPr>
              <w:t>erpolaciju i izgradnju novih TS 10(20)/0,4 kV i koridore za izgradnju energetskih KB vodova</w:t>
            </w:r>
            <w:r w:rsidRPr="0015414F">
              <w:rPr>
                <w:rFonts w:ascii="Calibri" w:hAnsi="Calibri" w:cs="Calibri"/>
                <w:sz w:val="18"/>
                <w:szCs w:val="18"/>
              </w:rPr>
              <w:t>.</w:t>
            </w:r>
          </w:p>
        </w:tc>
      </w:tr>
      <w:tr w:rsidR="00034784" w:rsidRPr="00171607" w14:paraId="7EC5A7F5" w14:textId="77777777" w:rsidTr="00072476">
        <w:tc>
          <w:tcPr>
            <w:tcW w:w="4644" w:type="dxa"/>
            <w:vMerge/>
            <w:shd w:val="clear" w:color="auto" w:fill="CCCCCC"/>
          </w:tcPr>
          <w:p w14:paraId="7B6E9A97" w14:textId="77777777" w:rsidR="00034784" w:rsidRPr="00171607" w:rsidRDefault="00034784" w:rsidP="00165C16">
            <w:pPr>
              <w:pStyle w:val="StandardWeb"/>
              <w:numPr>
                <w:ilvl w:val="0"/>
                <w:numId w:val="2"/>
              </w:numPr>
              <w:tabs>
                <w:tab w:val="num" w:pos="284"/>
              </w:tabs>
              <w:spacing w:before="60" w:after="60"/>
              <w:ind w:left="284" w:right="-2" w:hanging="284"/>
              <w:rPr>
                <w:rFonts w:ascii="Calibri" w:hAnsi="Calibri" w:cs="Calibri"/>
                <w:sz w:val="14"/>
                <w:szCs w:val="18"/>
              </w:rPr>
            </w:pPr>
          </w:p>
        </w:tc>
        <w:tc>
          <w:tcPr>
            <w:tcW w:w="4642" w:type="dxa"/>
            <w:shd w:val="clear" w:color="auto" w:fill="99CCFF"/>
          </w:tcPr>
          <w:p w14:paraId="5D2D94EE" w14:textId="77777777" w:rsidR="0003478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dosljednom realizacijom planiranih investicija </w:t>
            </w:r>
            <w:r w:rsidRPr="0015414F">
              <w:rPr>
                <w:rFonts w:ascii="Calibri" w:hAnsi="Calibri" w:cs="Calibri"/>
                <w:sz w:val="18"/>
                <w:szCs w:val="18"/>
              </w:rPr>
              <w:t xml:space="preserve">povećati kapacitet </w:t>
            </w:r>
            <w:r>
              <w:rPr>
                <w:rFonts w:ascii="Calibri" w:hAnsi="Calibri" w:cs="Calibri"/>
                <w:sz w:val="18"/>
                <w:szCs w:val="18"/>
              </w:rPr>
              <w:t xml:space="preserve">postojećih </w:t>
            </w:r>
            <w:r w:rsidRPr="0015414F">
              <w:rPr>
                <w:rFonts w:ascii="Calibri" w:hAnsi="Calibri" w:cs="Calibri"/>
                <w:sz w:val="18"/>
                <w:szCs w:val="18"/>
              </w:rPr>
              <w:t xml:space="preserve">pojnih točaka </w:t>
            </w:r>
            <w:r>
              <w:rPr>
                <w:rFonts w:ascii="Calibri" w:hAnsi="Calibri" w:cs="Calibri"/>
                <w:sz w:val="18"/>
                <w:szCs w:val="18"/>
              </w:rPr>
              <w:t xml:space="preserve">i </w:t>
            </w:r>
            <w:r w:rsidRPr="0015414F">
              <w:rPr>
                <w:rFonts w:ascii="Calibri" w:hAnsi="Calibri" w:cs="Calibri"/>
                <w:sz w:val="18"/>
                <w:szCs w:val="18"/>
              </w:rPr>
              <w:t>izgrad</w:t>
            </w:r>
            <w:r>
              <w:rPr>
                <w:rFonts w:ascii="Calibri" w:hAnsi="Calibri" w:cs="Calibri"/>
                <w:sz w:val="18"/>
                <w:szCs w:val="18"/>
              </w:rPr>
              <w:t>iti nove planirane TS 110/10(20) kV</w:t>
            </w:r>
          </w:p>
          <w:p w14:paraId="0A1259BD" w14:textId="0D00E874" w:rsidR="00080066" w:rsidRPr="00774FE4" w:rsidRDefault="00034784" w:rsidP="00774FE4">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nastaviti s </w:t>
            </w:r>
            <w:r w:rsidRPr="0015414F">
              <w:rPr>
                <w:rFonts w:ascii="Calibri" w:hAnsi="Calibri" w:cs="Calibri"/>
                <w:sz w:val="18"/>
                <w:szCs w:val="18"/>
              </w:rPr>
              <w:t>prelaskom na naponsku razinu od 20kV</w:t>
            </w:r>
            <w:r>
              <w:rPr>
                <w:rFonts w:ascii="Calibri" w:hAnsi="Calibri" w:cs="Calibri"/>
                <w:sz w:val="18"/>
                <w:szCs w:val="18"/>
              </w:rPr>
              <w:t xml:space="preserve"> u cilju daljeg smanjenja gubitaka</w:t>
            </w:r>
            <w:r w:rsidRPr="0015414F">
              <w:rPr>
                <w:rFonts w:ascii="Calibri" w:hAnsi="Calibri" w:cs="Calibri"/>
                <w:sz w:val="18"/>
                <w:szCs w:val="18"/>
              </w:rPr>
              <w:t xml:space="preserve"> </w:t>
            </w:r>
            <w:r w:rsidR="00FE3248" w:rsidRPr="00080066">
              <w:rPr>
                <w:rFonts w:ascii="Calibri" w:hAnsi="Calibri" w:cs="Calibri"/>
                <w:sz w:val="18"/>
                <w:szCs w:val="18"/>
              </w:rPr>
              <w:t>Korištenje vlastitih kapaciteta za razvoj projekata OIE, prvenstveno postavljanje fotonaponskih sustava na krovove</w:t>
            </w:r>
          </w:p>
          <w:p w14:paraId="6C406DEA" w14:textId="1B019C5E" w:rsidR="00080066" w:rsidRPr="00171607" w:rsidRDefault="00080066" w:rsidP="00072476">
            <w:pPr>
              <w:pStyle w:val="StandardWeb"/>
              <w:spacing w:before="60" w:beforeAutospacing="0" w:after="60" w:afterAutospacing="0"/>
              <w:ind w:right="-2"/>
              <w:rPr>
                <w:rFonts w:ascii="Calibri" w:hAnsi="Calibri" w:cs="Calibri"/>
                <w:sz w:val="14"/>
                <w:szCs w:val="18"/>
              </w:rPr>
            </w:pPr>
          </w:p>
        </w:tc>
      </w:tr>
      <w:tr w:rsidR="00034784" w:rsidRPr="00171607" w14:paraId="1ADDA269" w14:textId="77777777" w:rsidTr="00072476">
        <w:tc>
          <w:tcPr>
            <w:tcW w:w="4644" w:type="dxa"/>
            <w:vMerge/>
            <w:shd w:val="clear" w:color="auto" w:fill="CCCCCC"/>
          </w:tcPr>
          <w:p w14:paraId="7FC96F3D" w14:textId="77777777" w:rsidR="00034784" w:rsidRPr="00171607" w:rsidRDefault="00034784" w:rsidP="00165C16">
            <w:pPr>
              <w:pStyle w:val="StandardWeb"/>
              <w:numPr>
                <w:ilvl w:val="0"/>
                <w:numId w:val="2"/>
              </w:numPr>
              <w:tabs>
                <w:tab w:val="num" w:pos="284"/>
              </w:tabs>
              <w:spacing w:before="60" w:after="60"/>
              <w:ind w:left="284" w:right="-2" w:hanging="284"/>
              <w:rPr>
                <w:rFonts w:ascii="Calibri" w:hAnsi="Calibri" w:cs="Calibri"/>
                <w:sz w:val="14"/>
                <w:szCs w:val="18"/>
              </w:rPr>
            </w:pPr>
          </w:p>
        </w:tc>
        <w:tc>
          <w:tcPr>
            <w:tcW w:w="4642" w:type="dxa"/>
            <w:shd w:val="clear" w:color="auto" w:fill="99CCFF"/>
          </w:tcPr>
          <w:p w14:paraId="6DBD867F" w14:textId="77777777" w:rsidR="00034784" w:rsidRPr="00171607" w:rsidRDefault="00034784" w:rsidP="00072476">
            <w:pPr>
              <w:pStyle w:val="StandardWeb"/>
              <w:spacing w:before="60" w:beforeAutospacing="0" w:after="60" w:afterAutospacing="0"/>
              <w:ind w:right="-2"/>
              <w:rPr>
                <w:rFonts w:ascii="Calibri" w:hAnsi="Calibri" w:cs="Calibri"/>
                <w:sz w:val="14"/>
                <w:szCs w:val="18"/>
              </w:rPr>
            </w:pPr>
          </w:p>
        </w:tc>
      </w:tr>
      <w:tr w:rsidR="00034784" w:rsidRPr="00171607" w14:paraId="71A5D740" w14:textId="77777777" w:rsidTr="00072476">
        <w:tc>
          <w:tcPr>
            <w:tcW w:w="4644" w:type="dxa"/>
            <w:vMerge/>
            <w:shd w:val="clear" w:color="auto" w:fill="CCCCCC"/>
          </w:tcPr>
          <w:p w14:paraId="43AC5BC1" w14:textId="77777777" w:rsidR="00034784" w:rsidRPr="00171607"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4"/>
                <w:szCs w:val="18"/>
              </w:rPr>
            </w:pPr>
          </w:p>
        </w:tc>
        <w:tc>
          <w:tcPr>
            <w:tcW w:w="4642" w:type="dxa"/>
            <w:shd w:val="clear" w:color="auto" w:fill="99CCFF"/>
          </w:tcPr>
          <w:p w14:paraId="4648CB23" w14:textId="77777777" w:rsidR="00034784" w:rsidRPr="00171607" w:rsidRDefault="00034784" w:rsidP="00072476">
            <w:pPr>
              <w:pStyle w:val="StandardWeb"/>
              <w:spacing w:before="60" w:beforeAutospacing="0" w:after="60" w:afterAutospacing="0"/>
              <w:ind w:right="-2"/>
              <w:rPr>
                <w:rFonts w:ascii="Calibri" w:hAnsi="Calibri" w:cs="Calibri"/>
                <w:sz w:val="14"/>
                <w:szCs w:val="18"/>
              </w:rPr>
            </w:pPr>
          </w:p>
        </w:tc>
      </w:tr>
    </w:tbl>
    <w:p w14:paraId="023FB4C7" w14:textId="77777777" w:rsidR="00034784" w:rsidRDefault="00034784" w:rsidP="00034784">
      <w:pPr>
        <w:tabs>
          <w:tab w:val="left" w:pos="-720"/>
        </w:tabs>
        <w:suppressAutoHyphens/>
        <w:spacing w:line="240" w:lineRule="auto"/>
        <w:ind w:right="-2"/>
        <w:jc w:val="both"/>
        <w:rPr>
          <w:rFonts w:cs="Calibri"/>
          <w:b/>
        </w:rPr>
      </w:pPr>
    </w:p>
    <w:p w14:paraId="6106F9F4" w14:textId="76E250FD" w:rsidR="00034784" w:rsidRPr="00D945B9" w:rsidRDefault="00034784" w:rsidP="00034784">
      <w:pPr>
        <w:tabs>
          <w:tab w:val="left" w:pos="-720"/>
        </w:tabs>
        <w:suppressAutoHyphens/>
        <w:spacing w:line="240" w:lineRule="auto"/>
        <w:ind w:right="-2"/>
        <w:jc w:val="both"/>
        <w:rPr>
          <w:rFonts w:cs="Calibri"/>
        </w:rPr>
      </w:pPr>
      <w:r w:rsidRPr="00A33E06">
        <w:rPr>
          <w:rFonts w:cs="Calibri"/>
          <w:b/>
        </w:rPr>
        <w:t xml:space="preserve">Opskrba toplinskom energijom. </w:t>
      </w:r>
      <w:r w:rsidRPr="00483C4F">
        <w:rPr>
          <w:rFonts w:cs="Calibri"/>
        </w:rPr>
        <w:t>Opskrbu toplinskom energijom na području Grada Zagreba obavlja, na temelju izdane koncesije, tvrtka HEP Toplinarstvo d.o.o. koja, putem toplinske mreže ukupne duljine 227.3km opskrbljuje preko 100.000 krajnjih korisnika (97.251 kućanstava i 4.601 poslovnih korisnika)</w:t>
      </w:r>
      <w:r w:rsidRPr="00483C4F">
        <w:rPr>
          <w:rFonts w:cs="Calibri"/>
          <w:vertAlign w:val="superscript"/>
        </w:rPr>
        <w:footnoteReference w:id="62"/>
      </w:r>
      <w:r w:rsidRPr="00483C4F">
        <w:rPr>
          <w:rFonts w:cs="Calibri"/>
        </w:rPr>
        <w:t>. S obzirom na starost cijevi toplinske mreže, česta su puknuća koja rezultiraju velikim gubicima. S ciljem revitalizacije najkritičnijih d</w:t>
      </w:r>
      <w:r>
        <w:rPr>
          <w:rFonts w:cs="Calibri"/>
        </w:rPr>
        <w:t>i</w:t>
      </w:r>
      <w:r w:rsidRPr="00483C4F">
        <w:rPr>
          <w:rFonts w:cs="Calibri"/>
        </w:rPr>
        <w:t>jelova centralnog toplinskog sustava Grada Zagreba, u tijeku je provedba velikog EU-sufinanciranog projekta „Revitalizacija vrelovodne mreže s ciljem smanjenja energetskih gubitaka i povećanja učinkovitosti sustava toplinarstva u Gradu Zagrebu“ koji za cilj ima zamijeniti kanalno položene vrelovode s beskanalno položenim predizoliranim vrelovodima na dijelovima trase postojeće vrelovodne mreže u ukupnoj duljini od 68.5km. Vrijednost EU sufinanciranja koje se provodu putem mehanizma Integriranih teritorijalnih ulaganja Grada Zagreba je 421 milijun kuna.</w:t>
      </w:r>
      <w:r>
        <w:rPr>
          <w:rFonts w:cs="Calibri"/>
        </w:rPr>
        <w:t xml:space="preserve"> </w:t>
      </w:r>
      <w:r w:rsidRPr="00483C4F">
        <w:rPr>
          <w:rFonts w:cs="Calibri"/>
        </w:rPr>
        <w:t>Tijekom 2018. godine izgrađeno je ukupno 2.935m distributivne mreže u Gradu Zagrebu od čega se 2.870m odnosi na nastavak izgradnje magistralnog vrelovoda za naselje Dubrava čime će se dosadašnje kotlovnice, odnosno toplinski sustavi spojiti na Centralni toplinski sustav u Zagrebu.</w:t>
      </w:r>
      <w:r w:rsidRPr="003413AF">
        <w:t xml:space="preserve"> </w:t>
      </w:r>
      <w:r w:rsidRPr="003413AF">
        <w:rPr>
          <w:rFonts w:cs="Calibri"/>
        </w:rPr>
        <w:t>U 2019. godini intenzivno se radilo na zamjeni</w:t>
      </w:r>
      <w:r>
        <w:rPr>
          <w:rFonts w:cs="Calibri"/>
        </w:rPr>
        <w:t xml:space="preserve"> </w:t>
      </w:r>
      <w:r w:rsidRPr="003413AF">
        <w:rPr>
          <w:rFonts w:cs="Calibri"/>
        </w:rPr>
        <w:t>razvodne vrelovodne mreže u Zagrebu te je nastavljeno provođenje kapitalnog investicijskog</w:t>
      </w:r>
      <w:r>
        <w:rPr>
          <w:rFonts w:cs="Calibri"/>
        </w:rPr>
        <w:t xml:space="preserve"> </w:t>
      </w:r>
      <w:r w:rsidRPr="003413AF">
        <w:rPr>
          <w:rFonts w:cs="Calibri"/>
        </w:rPr>
        <w:t>projekta spajanja naselja Dubrava na centralni</w:t>
      </w:r>
      <w:r>
        <w:rPr>
          <w:rFonts w:cs="Calibri"/>
        </w:rPr>
        <w:t xml:space="preserve"> </w:t>
      </w:r>
      <w:r w:rsidRPr="003413AF">
        <w:rPr>
          <w:rFonts w:cs="Calibri"/>
        </w:rPr>
        <w:t>toplinski sustav grada Zagreba.</w:t>
      </w:r>
    </w:p>
    <w:p w14:paraId="63AFE04E" w14:textId="77777777" w:rsidR="00034784" w:rsidRPr="00A33E06" w:rsidRDefault="00034784" w:rsidP="00034784">
      <w:pPr>
        <w:tabs>
          <w:tab w:val="left" w:pos="-720"/>
        </w:tabs>
        <w:suppressAutoHyphens/>
        <w:spacing w:line="240" w:lineRule="auto"/>
        <w:ind w:right="-2"/>
        <w:jc w:val="both"/>
        <w:rPr>
          <w:rFonts w:cs="Calibri"/>
          <w:bCs/>
        </w:rPr>
      </w:pPr>
    </w:p>
    <w:tbl>
      <w:tblPr>
        <w:tblW w:w="0" w:type="auto"/>
        <w:tblCellMar>
          <w:left w:w="0" w:type="dxa"/>
          <w:right w:w="0" w:type="dxa"/>
        </w:tblCellMar>
        <w:tblLook w:val="0000" w:firstRow="0" w:lastRow="0" w:firstColumn="0" w:lastColumn="0" w:noHBand="0" w:noVBand="0"/>
      </w:tblPr>
      <w:tblGrid>
        <w:gridCol w:w="4533"/>
        <w:gridCol w:w="4539"/>
      </w:tblGrid>
      <w:tr w:rsidR="00034784" w:rsidRPr="00A33E06" w14:paraId="084E1FBF" w14:textId="77777777" w:rsidTr="00072476">
        <w:tc>
          <w:tcPr>
            <w:tcW w:w="4644" w:type="dxa"/>
            <w:shd w:val="clear" w:color="auto" w:fill="CCCCCC"/>
            <w:tcMar>
              <w:top w:w="0" w:type="dxa"/>
              <w:left w:w="108" w:type="dxa"/>
              <w:bottom w:w="0" w:type="dxa"/>
              <w:right w:w="108" w:type="dxa"/>
            </w:tcMar>
          </w:tcPr>
          <w:p w14:paraId="6D3CF8EF"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642" w:type="dxa"/>
            <w:shd w:val="clear" w:color="auto" w:fill="99CCFF"/>
            <w:tcMar>
              <w:top w:w="0" w:type="dxa"/>
              <w:left w:w="108" w:type="dxa"/>
              <w:bottom w:w="0" w:type="dxa"/>
              <w:right w:w="108" w:type="dxa"/>
            </w:tcMar>
          </w:tcPr>
          <w:p w14:paraId="5726D88B"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RAZVOJNE POTREBE</w:t>
            </w:r>
          </w:p>
        </w:tc>
      </w:tr>
      <w:tr w:rsidR="00034784" w:rsidRPr="00A33E06" w14:paraId="49F43CB9" w14:textId="77777777" w:rsidTr="00072476">
        <w:trPr>
          <w:trHeight w:val="1152"/>
        </w:trPr>
        <w:tc>
          <w:tcPr>
            <w:tcW w:w="4644" w:type="dxa"/>
            <w:shd w:val="clear" w:color="auto" w:fill="CCCCCC"/>
            <w:tcMar>
              <w:top w:w="0" w:type="dxa"/>
              <w:left w:w="108" w:type="dxa"/>
              <w:bottom w:w="0" w:type="dxa"/>
              <w:right w:w="108" w:type="dxa"/>
            </w:tcMar>
          </w:tcPr>
          <w:p w14:paraId="38248E4C"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dotrajali vrelovodi</w:t>
            </w:r>
          </w:p>
          <w:p w14:paraId="6D73BE04"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relativno veliki gubici energije</w:t>
            </w:r>
          </w:p>
          <w:p w14:paraId="0C4D9971" w14:textId="77777777" w:rsidR="0003478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 postoje individualna mjerenja potrošnje</w:t>
            </w:r>
          </w:p>
          <w:p w14:paraId="18042C71" w14:textId="77777777" w:rsidR="00034784" w:rsidRPr="0015177D"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Toplinske podstanice su u vlasništvu krajnjih korisnika što znatno otežava održavanje i daljnji razvoj sustava</w:t>
            </w:r>
          </w:p>
        </w:tc>
        <w:tc>
          <w:tcPr>
            <w:tcW w:w="4642" w:type="dxa"/>
            <w:shd w:val="clear" w:color="auto" w:fill="99CCFF"/>
            <w:tcMar>
              <w:top w:w="0" w:type="dxa"/>
              <w:left w:w="108" w:type="dxa"/>
              <w:bottom w:w="0" w:type="dxa"/>
              <w:right w:w="108" w:type="dxa"/>
            </w:tcMar>
          </w:tcPr>
          <w:p w14:paraId="7E54F062" w14:textId="77777777" w:rsidR="00396759" w:rsidRPr="00396759" w:rsidRDefault="00034784" w:rsidP="00396759">
            <w:pPr>
              <w:numPr>
                <w:ilvl w:val="0"/>
                <w:numId w:val="2"/>
              </w:numPr>
              <w:tabs>
                <w:tab w:val="num" w:pos="284"/>
              </w:tabs>
              <w:spacing w:before="60" w:after="60" w:line="240" w:lineRule="auto"/>
              <w:ind w:left="284" w:right="-2" w:hanging="284"/>
              <w:rPr>
                <w:rFonts w:cs="Calibri"/>
                <w:sz w:val="18"/>
                <w:szCs w:val="18"/>
              </w:rPr>
            </w:pPr>
            <w:r w:rsidRPr="00E919BC">
              <w:rPr>
                <w:rFonts w:eastAsia="Times New Roman" w:cs="Calibri"/>
                <w:sz w:val="18"/>
                <w:szCs w:val="18"/>
                <w:lang w:eastAsia="hr-HR"/>
              </w:rPr>
              <w:t>smanjenje energetskih gubitaka i povećanja učinkovitosti sustava toplinarstva u Gradu Zagrebu</w:t>
            </w:r>
          </w:p>
          <w:p w14:paraId="5763959F" w14:textId="56C27D7C" w:rsidR="00396759" w:rsidRPr="00396759" w:rsidRDefault="00396759" w:rsidP="00396759">
            <w:pPr>
              <w:numPr>
                <w:ilvl w:val="0"/>
                <w:numId w:val="2"/>
              </w:numPr>
              <w:tabs>
                <w:tab w:val="num" w:pos="284"/>
              </w:tabs>
              <w:spacing w:before="60" w:after="60" w:line="240" w:lineRule="auto"/>
              <w:ind w:left="284" w:right="-2" w:hanging="284"/>
              <w:rPr>
                <w:rFonts w:cs="Calibri"/>
                <w:sz w:val="18"/>
                <w:szCs w:val="18"/>
              </w:rPr>
            </w:pPr>
            <w:r w:rsidRPr="00396759">
              <w:rPr>
                <w:rFonts w:cs="Calibri"/>
                <w:sz w:val="18"/>
                <w:szCs w:val="18"/>
              </w:rPr>
              <w:t>dekarbonizacija toplinarstva postupnom zamjenom prirodnog plina sa vodikom, biometanom, korištenjem geotermalne energije, sunčeve energije, biomase te velikih dizalica topline</w:t>
            </w:r>
          </w:p>
          <w:p w14:paraId="2A557D31" w14:textId="77777777" w:rsidR="00396759" w:rsidRPr="008D3E23" w:rsidRDefault="00396759" w:rsidP="00165C16">
            <w:pPr>
              <w:numPr>
                <w:ilvl w:val="0"/>
                <w:numId w:val="2"/>
              </w:numPr>
              <w:tabs>
                <w:tab w:val="num" w:pos="284"/>
              </w:tabs>
              <w:spacing w:before="60" w:after="60" w:line="240" w:lineRule="auto"/>
              <w:ind w:left="284" w:right="-2" w:hanging="284"/>
              <w:rPr>
                <w:rFonts w:cs="Calibri"/>
                <w:sz w:val="18"/>
                <w:szCs w:val="18"/>
              </w:rPr>
            </w:pPr>
          </w:p>
          <w:p w14:paraId="49CA6B4D" w14:textId="6FD2C1F5" w:rsidR="00034784"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znatno povećati ulaganja u</w:t>
            </w:r>
            <w:r w:rsidRPr="00A33E06">
              <w:rPr>
                <w:rFonts w:ascii="Calibri" w:hAnsi="Calibri" w:cs="Calibri"/>
                <w:sz w:val="18"/>
                <w:szCs w:val="18"/>
              </w:rPr>
              <w:t xml:space="preserve"> sustav</w:t>
            </w:r>
            <w:r>
              <w:rPr>
                <w:rFonts w:ascii="Calibri" w:hAnsi="Calibri" w:cs="Calibri"/>
                <w:sz w:val="18"/>
                <w:szCs w:val="18"/>
              </w:rPr>
              <w:t>e</w:t>
            </w:r>
            <w:r w:rsidRPr="00A33E06">
              <w:rPr>
                <w:rFonts w:ascii="Calibri" w:hAnsi="Calibri" w:cs="Calibri"/>
                <w:sz w:val="18"/>
                <w:szCs w:val="18"/>
              </w:rPr>
              <w:t xml:space="preserve"> individualnog mjerenja i daljinskog očitavanja potrošnje</w:t>
            </w:r>
          </w:p>
          <w:p w14:paraId="7583522B"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Riješiti problem vlasništva toplinskih podstanica s ciljem sveobuhvatnog održavanja centralnog toplinskog sustava</w:t>
            </w:r>
          </w:p>
        </w:tc>
      </w:tr>
    </w:tbl>
    <w:p w14:paraId="39CA5DD9" w14:textId="77777777" w:rsidR="00034784" w:rsidRDefault="00034784" w:rsidP="00034784">
      <w:pPr>
        <w:spacing w:line="240" w:lineRule="auto"/>
        <w:jc w:val="both"/>
        <w:rPr>
          <w:rFonts w:cs="Calibri"/>
          <w:b/>
          <w:bCs/>
        </w:rPr>
      </w:pPr>
    </w:p>
    <w:p w14:paraId="237F231A" w14:textId="6D89AA04" w:rsidR="00034784" w:rsidRDefault="00034784" w:rsidP="0061125B">
      <w:pPr>
        <w:spacing w:line="240" w:lineRule="auto"/>
        <w:jc w:val="both"/>
        <w:rPr>
          <w:rFonts w:cs="Calibri"/>
        </w:rPr>
      </w:pPr>
      <w:r w:rsidRPr="00753E3C">
        <w:rPr>
          <w:rFonts w:cs="Calibri"/>
          <w:b/>
          <w:bCs/>
        </w:rPr>
        <w:t>Opskrba plinom</w:t>
      </w:r>
      <w:r w:rsidRPr="00D945B9">
        <w:rPr>
          <w:rFonts w:cs="Calibri"/>
          <w:b/>
          <w:bCs/>
        </w:rPr>
        <w:t>.</w:t>
      </w:r>
      <w:r w:rsidRPr="00D945B9">
        <w:rPr>
          <w:rFonts w:cs="Calibri"/>
        </w:rPr>
        <w:t xml:space="preserve">  </w:t>
      </w:r>
      <w:r w:rsidRPr="00775E8F">
        <w:rPr>
          <w:rFonts w:cs="Calibri"/>
        </w:rPr>
        <w:t>Distribuciju prirodnog plina po području Grada Zagreba obavlja energetski subjekt Gradska plinara Zagreb d.o.o. temeljem dozvole za obavljanje energetske djelatnosti distribucije plina i Ugovora o koncesiji. Plinski distribucijski sustav sastoji se od plinovoda, redukcijskih stanica, mjerno-redukcijskih stanica, odorizacijskih stanica, blokadnih stanica, razdjelnih stanica, sustava katodne zaštite, sustava za daljinski nadzor, upravljanje i prikupljanje podataka, priključaka, plinomjera i druge mjerne opreme, kao i sve druge opreme i građevina ugrađene u distribucijski sustav u svrhu osiguravanja sigurnog i pouzdanog pogona plinskog distribucijskog sustava i isporuke plina. Na području Grada Zagreba je izgrađeno je 3.144 km plinske mreže kroz koju se distribuira prirodni plin do 251.259 kućanstava i 16.935 poslovnih kupaca, ukupno 268.194 krajnjih kupaca (stanje na 31. prosinca 2019. godine). P</w:t>
      </w:r>
      <w:r w:rsidRPr="00D945B9">
        <w:rPr>
          <w:rFonts w:cs="Calibri"/>
        </w:rPr>
        <w:t xml:space="preserve">rirodni plin koristi </w:t>
      </w:r>
      <w:r w:rsidRPr="00A33E06">
        <w:rPr>
          <w:rFonts w:cs="Calibri"/>
        </w:rPr>
        <w:t xml:space="preserve">se za grijanje, pripremu potrošne tople vode, kuhanje, hlađenje, tehnološke potrebe uključivo proizvodnju električne energije, za pogon motornih vozila te </w:t>
      </w:r>
      <w:r w:rsidRPr="00A22A3E">
        <w:rPr>
          <w:rFonts w:cs="Calibri"/>
        </w:rPr>
        <w:t>gradsku rasvjetu. Problem neadekvatne strukturne sigurnosti objekata u centru Grada rezultirao je značajnim problemima za isporuku energije posebno plina u potresom pogođenim d</w:t>
      </w:r>
      <w:r w:rsidR="00744DCD">
        <w:rPr>
          <w:rFonts w:cs="Calibri"/>
        </w:rPr>
        <w:t>i</w:t>
      </w:r>
      <w:r w:rsidRPr="00A22A3E">
        <w:rPr>
          <w:rFonts w:cs="Calibri"/>
        </w:rPr>
        <w:t>jelovima. Urušavanje dimnjaka, napuknuća/rušenja zidova predstavljaju iznimno velik problem za osiguranje dostupnosti isporuke prirodnog plina. No, potres je otvorio i mogućnost i priliku da se pri obnovi objekata vodi računa i o povećanju en. učinkovitosti i integraciji obnovljivih izvora energije.</w:t>
      </w:r>
    </w:p>
    <w:p w14:paraId="554C404E" w14:textId="77777777" w:rsidR="009069A7" w:rsidRPr="00A33E06" w:rsidRDefault="009069A7" w:rsidP="0061125B">
      <w:pPr>
        <w:spacing w:line="240" w:lineRule="auto"/>
        <w:jc w:val="both"/>
        <w:rPr>
          <w:rFonts w:cs="Calibri"/>
        </w:rPr>
      </w:pPr>
    </w:p>
    <w:tbl>
      <w:tblPr>
        <w:tblW w:w="0" w:type="auto"/>
        <w:tblCellMar>
          <w:left w:w="0" w:type="dxa"/>
          <w:right w:w="0" w:type="dxa"/>
        </w:tblCellMar>
        <w:tblLook w:val="0000" w:firstRow="0" w:lastRow="0" w:firstColumn="0" w:lastColumn="0" w:noHBand="0" w:noVBand="0"/>
      </w:tblPr>
      <w:tblGrid>
        <w:gridCol w:w="4533"/>
        <w:gridCol w:w="4539"/>
      </w:tblGrid>
      <w:tr w:rsidR="00034784" w:rsidRPr="00A33E06" w14:paraId="583C4597" w14:textId="77777777" w:rsidTr="00072476">
        <w:tc>
          <w:tcPr>
            <w:tcW w:w="4644" w:type="dxa"/>
            <w:shd w:val="clear" w:color="auto" w:fill="CCCCCC"/>
            <w:tcMar>
              <w:top w:w="0" w:type="dxa"/>
              <w:left w:w="108" w:type="dxa"/>
              <w:bottom w:w="0" w:type="dxa"/>
              <w:right w:w="108" w:type="dxa"/>
            </w:tcMar>
          </w:tcPr>
          <w:p w14:paraId="5F726B0B"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642" w:type="dxa"/>
            <w:shd w:val="clear" w:color="auto" w:fill="99CCFF"/>
            <w:tcMar>
              <w:top w:w="0" w:type="dxa"/>
              <w:left w:w="108" w:type="dxa"/>
              <w:bottom w:w="0" w:type="dxa"/>
              <w:right w:w="108" w:type="dxa"/>
            </w:tcMar>
          </w:tcPr>
          <w:p w14:paraId="43817397"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RAZVOJNE POTREBE</w:t>
            </w:r>
          </w:p>
        </w:tc>
      </w:tr>
      <w:tr w:rsidR="00034784" w:rsidRPr="00A33E06" w14:paraId="522799B3" w14:textId="77777777" w:rsidTr="00072476">
        <w:tc>
          <w:tcPr>
            <w:tcW w:w="4644" w:type="dxa"/>
            <w:shd w:val="clear" w:color="auto" w:fill="CCCCCC"/>
            <w:tcMar>
              <w:top w:w="0" w:type="dxa"/>
              <w:left w:w="108" w:type="dxa"/>
              <w:bottom w:w="0" w:type="dxa"/>
              <w:right w:w="108" w:type="dxa"/>
            </w:tcMar>
          </w:tcPr>
          <w:p w14:paraId="1B46949D" w14:textId="77777777" w:rsidR="00034784" w:rsidRPr="009D67FC"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dotrajali dijelovi plinskog distribucijskog sustava</w:t>
            </w:r>
          </w:p>
          <w:p w14:paraId="7DC00DF1" w14:textId="77777777" w:rsidR="00034784" w:rsidRPr="009D67FC"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dijelovi grada koji nisu plinoficirani zahtijevaju podrobnu analizu isplativosti prije donošenja odluke o plinofikaciji</w:t>
            </w:r>
          </w:p>
          <w:p w14:paraId="4BE3DE9F" w14:textId="77777777" w:rsidR="00034784" w:rsidRPr="009D67FC"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cijena plina koja se postupno izjednačava sa ostalim konkurentskim energentima, uzrokuje smanjenje potražnje</w:t>
            </w:r>
          </w:p>
          <w:p w14:paraId="7FE04E34" w14:textId="77777777" w:rsidR="00034784" w:rsidRPr="009D67FC"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visoki troškovi implementacije i održavanja sustava daljinskog očitavanja koji trenutno nisu priznati od strane regulatora</w:t>
            </w:r>
          </w:p>
          <w:p w14:paraId="5B2515ED" w14:textId="77777777" w:rsidR="00034784" w:rsidRPr="009D67FC"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9D67FC">
              <w:rPr>
                <w:rFonts w:ascii="Calibri" w:hAnsi="Calibri" w:cs="Calibri"/>
                <w:sz w:val="18"/>
                <w:szCs w:val="18"/>
              </w:rPr>
              <w:t xml:space="preserve">nedostatak financijskih sredstava utječe na brzinu razvoja distribucijskog sustava kako na izgradnju novih dijelova tako i na potrebne rekonstrukcije </w:t>
            </w:r>
          </w:p>
          <w:p w14:paraId="38C71AD0" w14:textId="2BF9ECA4" w:rsidR="00034784" w:rsidRPr="009D67FC" w:rsidRDefault="00EE7C9E" w:rsidP="00072476">
            <w:pPr>
              <w:pStyle w:val="StandardWeb"/>
              <w:spacing w:before="60" w:beforeAutospacing="0" w:after="60" w:afterAutospacing="0"/>
              <w:ind w:left="284" w:right="-2"/>
              <w:rPr>
                <w:rFonts w:ascii="Calibri" w:hAnsi="Calibri" w:cs="Calibri"/>
                <w:sz w:val="18"/>
                <w:szCs w:val="18"/>
              </w:rPr>
            </w:pPr>
            <w:r w:rsidRPr="00EE7C9E">
              <w:rPr>
                <w:rFonts w:ascii="Calibri" w:hAnsi="Calibri" w:cs="Calibri"/>
                <w:sz w:val="18"/>
                <w:szCs w:val="18"/>
              </w:rPr>
              <w:t></w:t>
            </w:r>
            <w:r w:rsidRPr="00EE7C9E">
              <w:rPr>
                <w:rFonts w:ascii="Calibri" w:hAnsi="Calibri" w:cs="Calibri"/>
                <w:sz w:val="18"/>
                <w:szCs w:val="18"/>
              </w:rPr>
              <w:tab/>
              <w:t>Problematika dugoročnog poslovnog modela opskrbe plinom</w:t>
            </w:r>
          </w:p>
        </w:tc>
        <w:tc>
          <w:tcPr>
            <w:tcW w:w="4642" w:type="dxa"/>
            <w:shd w:val="clear" w:color="auto" w:fill="99CCFF"/>
            <w:tcMar>
              <w:top w:w="0" w:type="dxa"/>
              <w:left w:w="108" w:type="dxa"/>
              <w:bottom w:w="0" w:type="dxa"/>
              <w:right w:w="108" w:type="dxa"/>
            </w:tcMar>
          </w:tcPr>
          <w:p w14:paraId="495C5EC0" w14:textId="77777777" w:rsidR="00034784" w:rsidRPr="009D67FC" w:rsidRDefault="00034784" w:rsidP="00165C16">
            <w:pPr>
              <w:pStyle w:val="StandardWeb"/>
              <w:numPr>
                <w:ilvl w:val="0"/>
                <w:numId w:val="2"/>
              </w:numPr>
              <w:spacing w:before="60" w:beforeAutospacing="0" w:after="60" w:afterAutospacing="0"/>
              <w:ind w:right="-2"/>
              <w:rPr>
                <w:rFonts w:ascii="Calibri" w:hAnsi="Calibri" w:cs="Calibri"/>
                <w:sz w:val="18"/>
                <w:szCs w:val="18"/>
              </w:rPr>
            </w:pPr>
            <w:r w:rsidRPr="009D67FC">
              <w:rPr>
                <w:rFonts w:ascii="Calibri" w:hAnsi="Calibri" w:cs="Calibri"/>
                <w:sz w:val="18"/>
                <w:szCs w:val="18"/>
              </w:rPr>
              <w:t>revitalizacija postojećeg plinskog distribucijskog sustava temeljem kriterija tehno – ekonomske dotrajalosti</w:t>
            </w:r>
          </w:p>
          <w:p w14:paraId="77ABC6A3" w14:textId="77777777" w:rsidR="00034784" w:rsidRPr="009D67FC" w:rsidRDefault="00034784" w:rsidP="00165C16">
            <w:pPr>
              <w:pStyle w:val="StandardWeb"/>
              <w:numPr>
                <w:ilvl w:val="0"/>
                <w:numId w:val="2"/>
              </w:numPr>
              <w:spacing w:before="60" w:beforeAutospacing="0" w:after="60" w:afterAutospacing="0"/>
              <w:ind w:right="-2"/>
              <w:rPr>
                <w:rFonts w:ascii="Calibri" w:hAnsi="Calibri" w:cs="Calibri"/>
                <w:sz w:val="18"/>
                <w:szCs w:val="18"/>
              </w:rPr>
            </w:pPr>
            <w:r w:rsidRPr="009D67FC">
              <w:rPr>
                <w:rFonts w:ascii="Calibri" w:hAnsi="Calibri" w:cs="Calibri"/>
                <w:sz w:val="18"/>
                <w:szCs w:val="18"/>
              </w:rPr>
              <w:t>razvoj plinskog distribucijskog sustava na ne</w:t>
            </w:r>
            <w:r>
              <w:rPr>
                <w:rFonts w:ascii="Calibri" w:hAnsi="Calibri" w:cs="Calibri"/>
                <w:sz w:val="18"/>
                <w:szCs w:val="18"/>
              </w:rPr>
              <w:t xml:space="preserve"> </w:t>
            </w:r>
            <w:r w:rsidRPr="009D67FC">
              <w:rPr>
                <w:rFonts w:ascii="Calibri" w:hAnsi="Calibri" w:cs="Calibri"/>
                <w:sz w:val="18"/>
                <w:szCs w:val="18"/>
              </w:rPr>
              <w:t>plin</w:t>
            </w:r>
            <w:r>
              <w:rPr>
                <w:rFonts w:ascii="Calibri" w:hAnsi="Calibri" w:cs="Calibri"/>
                <w:sz w:val="18"/>
                <w:szCs w:val="18"/>
              </w:rPr>
              <w:t>i</w:t>
            </w:r>
            <w:r w:rsidRPr="009D67FC">
              <w:rPr>
                <w:rFonts w:ascii="Calibri" w:hAnsi="Calibri" w:cs="Calibri"/>
                <w:sz w:val="18"/>
                <w:szCs w:val="18"/>
              </w:rPr>
              <w:t>ficirana područja temeljem studija isplativosti kao održivi doprinos kvaliteti života u gradu</w:t>
            </w:r>
          </w:p>
          <w:p w14:paraId="13F041B8" w14:textId="77777777" w:rsidR="00034784" w:rsidRPr="009D67FC" w:rsidRDefault="00034784" w:rsidP="00165C16">
            <w:pPr>
              <w:pStyle w:val="StandardWeb"/>
              <w:numPr>
                <w:ilvl w:val="0"/>
                <w:numId w:val="2"/>
              </w:numPr>
              <w:spacing w:before="60" w:beforeAutospacing="0" w:after="60" w:afterAutospacing="0"/>
              <w:ind w:right="-2"/>
              <w:rPr>
                <w:rFonts w:ascii="Calibri" w:hAnsi="Calibri" w:cs="Calibri"/>
                <w:sz w:val="18"/>
                <w:szCs w:val="18"/>
              </w:rPr>
            </w:pPr>
            <w:r w:rsidRPr="009D67FC">
              <w:rPr>
                <w:rFonts w:ascii="Calibri" w:hAnsi="Calibri" w:cs="Calibri"/>
                <w:sz w:val="18"/>
                <w:szCs w:val="18"/>
              </w:rPr>
              <w:t>razvoj plinskog</w:t>
            </w:r>
            <w:r>
              <w:rPr>
                <w:rFonts w:ascii="Calibri" w:hAnsi="Calibri" w:cs="Calibri"/>
                <w:sz w:val="18"/>
                <w:szCs w:val="18"/>
              </w:rPr>
              <w:t xml:space="preserve"> </w:t>
            </w:r>
            <w:r w:rsidRPr="009D67FC">
              <w:rPr>
                <w:rFonts w:ascii="Calibri" w:hAnsi="Calibri" w:cs="Calibri"/>
                <w:sz w:val="18"/>
                <w:szCs w:val="18"/>
              </w:rPr>
              <w:t>distribucijskog sustava za potrebe distribucije  okolišno neutralnih plinova</w:t>
            </w:r>
          </w:p>
          <w:p w14:paraId="0315F5E8" w14:textId="77777777" w:rsidR="00034784" w:rsidRPr="009D67FC" w:rsidRDefault="00034784" w:rsidP="00165C16">
            <w:pPr>
              <w:pStyle w:val="StandardWeb"/>
              <w:numPr>
                <w:ilvl w:val="0"/>
                <w:numId w:val="2"/>
              </w:numPr>
              <w:spacing w:before="60" w:beforeAutospacing="0" w:after="60" w:afterAutospacing="0"/>
              <w:ind w:right="-2"/>
              <w:rPr>
                <w:rFonts w:ascii="Calibri" w:hAnsi="Calibri" w:cs="Calibri"/>
                <w:sz w:val="18"/>
                <w:szCs w:val="18"/>
              </w:rPr>
            </w:pPr>
            <w:r w:rsidRPr="009D67FC">
              <w:rPr>
                <w:rFonts w:ascii="Calibri" w:hAnsi="Calibri" w:cs="Calibri"/>
                <w:sz w:val="18"/>
                <w:szCs w:val="18"/>
              </w:rPr>
              <w:t>podizanje sigurnosti, pouzdanosti i učinkovitosti rada plinskog distribucijskog sustava (smart grid)</w:t>
            </w:r>
          </w:p>
          <w:p w14:paraId="7C877262" w14:textId="77777777" w:rsidR="00034784" w:rsidRPr="009D67FC" w:rsidRDefault="00034784" w:rsidP="00165C16">
            <w:pPr>
              <w:pStyle w:val="StandardWeb"/>
              <w:numPr>
                <w:ilvl w:val="0"/>
                <w:numId w:val="2"/>
              </w:numPr>
              <w:spacing w:before="60" w:beforeAutospacing="0" w:after="60" w:afterAutospacing="0"/>
              <w:ind w:right="-2"/>
              <w:rPr>
                <w:rFonts w:ascii="Calibri" w:hAnsi="Calibri" w:cs="Calibri"/>
                <w:sz w:val="18"/>
                <w:szCs w:val="18"/>
              </w:rPr>
            </w:pPr>
            <w:r w:rsidRPr="009D67FC">
              <w:rPr>
                <w:rFonts w:ascii="Calibri" w:hAnsi="Calibri" w:cs="Calibri"/>
                <w:sz w:val="18"/>
                <w:szCs w:val="18"/>
              </w:rPr>
              <w:t>izgradnja infrastrukture za alternativna goriva</w:t>
            </w:r>
          </w:p>
          <w:p w14:paraId="733C2724" w14:textId="77777777" w:rsidR="00034784" w:rsidRPr="009D67FC" w:rsidRDefault="00034784" w:rsidP="00165C16">
            <w:pPr>
              <w:numPr>
                <w:ilvl w:val="0"/>
                <w:numId w:val="2"/>
              </w:numPr>
              <w:spacing w:before="60" w:after="60" w:line="240" w:lineRule="auto"/>
              <w:ind w:right="-2"/>
              <w:rPr>
                <w:rFonts w:eastAsia="Times New Roman" w:cs="Calibri"/>
                <w:sz w:val="18"/>
                <w:szCs w:val="18"/>
                <w:lang w:eastAsia="hr-HR"/>
              </w:rPr>
            </w:pPr>
            <w:r w:rsidRPr="009D67FC">
              <w:rPr>
                <w:rFonts w:eastAsia="Times New Roman" w:cs="Calibri"/>
                <w:sz w:val="18"/>
                <w:szCs w:val="18"/>
                <w:lang w:eastAsia="hr-HR"/>
              </w:rPr>
              <w:t>podizati kvalitetu sigurne, pouzdane i kontinuirane opskrbe plinom</w:t>
            </w:r>
          </w:p>
          <w:p w14:paraId="65B6857D" w14:textId="77777777" w:rsidR="00034784" w:rsidRPr="009D67FC" w:rsidRDefault="00034784" w:rsidP="00165C16">
            <w:pPr>
              <w:numPr>
                <w:ilvl w:val="0"/>
                <w:numId w:val="2"/>
              </w:numPr>
              <w:spacing w:before="60" w:after="60" w:line="240" w:lineRule="auto"/>
              <w:ind w:right="-2"/>
              <w:rPr>
                <w:rFonts w:eastAsia="Times New Roman" w:cs="Calibri"/>
                <w:sz w:val="18"/>
                <w:szCs w:val="18"/>
                <w:lang w:eastAsia="hr-HR"/>
              </w:rPr>
            </w:pPr>
            <w:r w:rsidRPr="009D67FC">
              <w:rPr>
                <w:rFonts w:eastAsia="Times New Roman" w:cs="Calibri"/>
                <w:sz w:val="18"/>
                <w:szCs w:val="18"/>
                <w:lang w:eastAsia="hr-HR"/>
              </w:rPr>
              <w:t>kontinuirano nastaviti s uvođenjem sustava daljinskog očitavanja i poboljšati sustav upravljanja potrošnjom</w:t>
            </w:r>
          </w:p>
          <w:p w14:paraId="262BFE87" w14:textId="77777777" w:rsidR="00034784" w:rsidRPr="009D67FC" w:rsidRDefault="00034784" w:rsidP="00165C16">
            <w:pPr>
              <w:numPr>
                <w:ilvl w:val="0"/>
                <w:numId w:val="2"/>
              </w:numPr>
              <w:spacing w:before="60" w:after="60" w:line="240" w:lineRule="auto"/>
              <w:ind w:right="-2"/>
              <w:rPr>
                <w:rFonts w:eastAsia="Times New Roman" w:cs="Calibri"/>
                <w:sz w:val="18"/>
                <w:szCs w:val="18"/>
                <w:lang w:eastAsia="hr-HR"/>
              </w:rPr>
            </w:pPr>
            <w:r w:rsidRPr="009D67FC">
              <w:rPr>
                <w:rFonts w:eastAsia="Times New Roman" w:cs="Calibri"/>
                <w:sz w:val="18"/>
                <w:szCs w:val="18"/>
                <w:lang w:eastAsia="hr-HR"/>
              </w:rPr>
              <w:t>implementirati suvremena informatička rješenja koja će omogućiti brzu obradu i razmjenu podataka sa svim tržišnim subjektima</w:t>
            </w:r>
          </w:p>
          <w:p w14:paraId="00D04D06" w14:textId="452B7B7C" w:rsidR="00034784" w:rsidRPr="009D67FC" w:rsidRDefault="00034784" w:rsidP="00165C16">
            <w:pPr>
              <w:pStyle w:val="StandardWeb"/>
              <w:numPr>
                <w:ilvl w:val="0"/>
                <w:numId w:val="2"/>
              </w:numPr>
              <w:spacing w:before="60" w:beforeAutospacing="0" w:after="60" w:afterAutospacing="0"/>
              <w:ind w:right="-2"/>
              <w:rPr>
                <w:rFonts w:ascii="Calibri" w:hAnsi="Calibri" w:cs="Calibri"/>
                <w:sz w:val="18"/>
                <w:szCs w:val="18"/>
              </w:rPr>
            </w:pPr>
            <w:r w:rsidRPr="009D67FC">
              <w:rPr>
                <w:rFonts w:ascii="Calibri" w:hAnsi="Calibri" w:cs="Calibri"/>
                <w:sz w:val="18"/>
                <w:szCs w:val="18"/>
              </w:rPr>
              <w:t xml:space="preserve">strateška reorganizacija i transformacija u energetsku tvrtku s usklađenom vizijom za klimatski neutralnu Europu – okretanje ka obnovljivim izvorima </w:t>
            </w:r>
            <w:bookmarkStart w:id="137" w:name="_Hlk94605361"/>
            <w:r w:rsidRPr="009D67FC">
              <w:rPr>
                <w:rFonts w:ascii="Calibri" w:hAnsi="Calibri" w:cs="Calibri"/>
                <w:sz w:val="18"/>
                <w:szCs w:val="18"/>
              </w:rPr>
              <w:t xml:space="preserve">energije s naglaskom na proizvodnju i korištenje </w:t>
            </w:r>
            <w:r w:rsidR="00676249">
              <w:rPr>
                <w:rFonts w:ascii="Calibri" w:hAnsi="Calibri" w:cs="Calibri"/>
                <w:sz w:val="18"/>
                <w:szCs w:val="18"/>
              </w:rPr>
              <w:t xml:space="preserve">zelenog </w:t>
            </w:r>
            <w:r w:rsidRPr="009D67FC">
              <w:rPr>
                <w:rFonts w:ascii="Calibri" w:hAnsi="Calibri" w:cs="Calibri"/>
                <w:sz w:val="18"/>
                <w:szCs w:val="18"/>
              </w:rPr>
              <w:t>vodika</w:t>
            </w:r>
            <w:bookmarkEnd w:id="137"/>
          </w:p>
        </w:tc>
      </w:tr>
    </w:tbl>
    <w:p w14:paraId="54403C8C" w14:textId="77777777" w:rsidR="00034784" w:rsidRPr="00104178" w:rsidRDefault="00034784" w:rsidP="0061125B">
      <w:pPr>
        <w:autoSpaceDE w:val="0"/>
        <w:autoSpaceDN w:val="0"/>
        <w:adjustRightInd w:val="0"/>
        <w:spacing w:line="240" w:lineRule="auto"/>
        <w:jc w:val="both"/>
        <w:rPr>
          <w:rFonts w:cs="Calibri"/>
          <w:bCs/>
        </w:rPr>
      </w:pPr>
      <w:r w:rsidRPr="00A33E06">
        <w:rPr>
          <w:rFonts w:cs="Calibri"/>
          <w:b/>
        </w:rPr>
        <w:br/>
      </w:r>
      <w:r w:rsidRPr="007E5791">
        <w:rPr>
          <w:rFonts w:cs="Calibri"/>
          <w:b/>
        </w:rPr>
        <w:t>Javna rasvjeta.</w:t>
      </w:r>
      <w:r w:rsidRPr="007E5791">
        <w:rPr>
          <w:rFonts w:cs="Calibri"/>
          <w:bCs/>
        </w:rPr>
        <w:t xml:space="preserve"> </w:t>
      </w:r>
      <w:r w:rsidRPr="00104178">
        <w:rPr>
          <w:rFonts w:cs="Calibri"/>
          <w:bCs/>
        </w:rPr>
        <w:t>Grad Zagreb upravlja sustavom javne rasvjete koji se sastoji od 2045 priključnih mjernih mjesta od kojih je 1656 smješteno u samostojećim ormarićima javne rasvjete, a 389 se nalazi u trafostanicama. U sklopu priključnih mjernih mjesta nalaze se električna brojila u vlasništvu HEP Operator-a distribucijskog sustava d.o.o. koji su tijekom 2019. godine registrirali potrošnju električne energije u iznosu od 74,83 GWh.</w:t>
      </w:r>
      <w:r>
        <w:rPr>
          <w:rFonts w:cs="Calibri"/>
          <w:bCs/>
        </w:rPr>
        <w:t xml:space="preserve"> </w:t>
      </w:r>
      <w:r w:rsidRPr="00104178">
        <w:rPr>
          <w:rFonts w:cs="Calibri"/>
          <w:bCs/>
        </w:rPr>
        <w:t>Evidentiranih čeličnih stupova u vlasništvu Grada ima ukupno 46.565 komada, betonskih 2.141, drvenih 691 i ostalih 151. Stupova u vlasništvu HEP-a na kojima se nalazi javna rasvjeta je 58.156. Ukupno je na sustavu javne rasvjete evidentirano 120.985 svjetiljaka od čega se 112.175 svjetiljaka nalazi na stupovima. Podzemnih kabela javne rasvjete ima oko 1230 km. Plinsku rasvjetu čini 246 rasvjetnih tijela lociranih u središnjem dijelu i povijesnoj jezgri Gornjeg grada i Kaptola gdje su iste estetski uklopljene u ambijent povijesnih građevina.</w:t>
      </w:r>
    </w:p>
    <w:p w14:paraId="3F5FA7F8" w14:textId="77777777" w:rsidR="00034784" w:rsidRDefault="00034784" w:rsidP="0061125B">
      <w:pPr>
        <w:autoSpaceDE w:val="0"/>
        <w:autoSpaceDN w:val="0"/>
        <w:adjustRightInd w:val="0"/>
        <w:spacing w:line="240" w:lineRule="auto"/>
        <w:jc w:val="both"/>
        <w:rPr>
          <w:rFonts w:cs="Calibri"/>
          <w:bCs/>
        </w:rPr>
      </w:pPr>
      <w:r w:rsidRPr="00104178">
        <w:rPr>
          <w:rFonts w:cs="Calibri"/>
          <w:bCs/>
        </w:rPr>
        <w:t>Ukupna instalirana snaga iznosi oko 18 MW. Pokrivenost Zagreba javnom rasvjetom uglavnom je zadovoljavajuća uz potrebu stalnog ulaganja u sustav javne rasvjete u rubnim dijelovima grada.</w:t>
      </w:r>
    </w:p>
    <w:p w14:paraId="53BB9827" w14:textId="77777777" w:rsidR="00034784" w:rsidRDefault="00034784" w:rsidP="0061125B">
      <w:pPr>
        <w:autoSpaceDE w:val="0"/>
        <w:autoSpaceDN w:val="0"/>
        <w:adjustRightInd w:val="0"/>
        <w:spacing w:line="240" w:lineRule="auto"/>
        <w:jc w:val="both"/>
        <w:rPr>
          <w:rFonts w:cs="Calibri"/>
          <w:bCs/>
        </w:rPr>
      </w:pPr>
      <w:r w:rsidRPr="00104178">
        <w:rPr>
          <w:rFonts w:cs="Calibri"/>
          <w:bCs/>
        </w:rPr>
        <w:t>Sustav javne rasvjete, koji je potrebno održavati, zbog nove se gradnje svake godine povećava. Radi usklađivanja postojeće javne rasvjete s novim Zakonom o zaštiti od svjetlosnog onečišćenja predviđa se ubrzati proces modernizacije postojeće javne rasvjete s rasvjetnim tijelima u LED tehnologiji, što će uzrokovati povećane troškove radova i materijala uz istodobno smanjenje utroška električne energije, što ne mora značiti da će se troškovi električne energije smanjiti jer isto ovisi o jediničnoj cijeni iste.</w:t>
      </w:r>
    </w:p>
    <w:p w14:paraId="5EC8FFCF" w14:textId="4E93E50F" w:rsidR="00034784" w:rsidRDefault="00034784" w:rsidP="0061125B">
      <w:pPr>
        <w:autoSpaceDE w:val="0"/>
        <w:autoSpaceDN w:val="0"/>
        <w:adjustRightInd w:val="0"/>
        <w:spacing w:line="240" w:lineRule="auto"/>
        <w:jc w:val="both"/>
        <w:rPr>
          <w:rFonts w:cs="Calibri"/>
          <w:bCs/>
        </w:rPr>
      </w:pPr>
      <w:r>
        <w:rPr>
          <w:rFonts w:cs="Calibri"/>
          <w:bCs/>
        </w:rPr>
        <w:t xml:space="preserve">U 2021. planiran je početak modernizacije većeg djela sustava javne rasvjete Grada Zagreba </w:t>
      </w:r>
      <w:r w:rsidRPr="008D5C93">
        <w:rPr>
          <w:rFonts w:cs="Calibri"/>
          <w:bCs/>
        </w:rPr>
        <w:t>provođenjem mjera poboljšanja energetske učinkovitosti</w:t>
      </w:r>
      <w:r>
        <w:rPr>
          <w:rFonts w:cs="Calibri"/>
          <w:bCs/>
        </w:rPr>
        <w:t xml:space="preserve"> putem modela energetske usluge (</w:t>
      </w:r>
      <w:r w:rsidRPr="00B241E0">
        <w:rPr>
          <w:rFonts w:cs="Calibri"/>
          <w:bCs/>
          <w:i/>
          <w:iCs/>
        </w:rPr>
        <w:t>EPC – Energy Performance Contract</w:t>
      </w:r>
      <w:r>
        <w:rPr>
          <w:rFonts w:cs="Calibri"/>
          <w:bCs/>
        </w:rPr>
        <w:t>).</w:t>
      </w:r>
    </w:p>
    <w:p w14:paraId="1AC74891" w14:textId="4988F09C" w:rsidR="006E3C93" w:rsidRPr="00104178" w:rsidRDefault="006E3C93" w:rsidP="0061125B">
      <w:pPr>
        <w:autoSpaceDE w:val="0"/>
        <w:autoSpaceDN w:val="0"/>
        <w:adjustRightInd w:val="0"/>
        <w:spacing w:line="240" w:lineRule="auto"/>
        <w:jc w:val="both"/>
        <w:rPr>
          <w:rFonts w:cs="Calibri"/>
          <w:bCs/>
        </w:rPr>
      </w:pPr>
      <w:r>
        <w:rPr>
          <w:rFonts w:cs="Calibri"/>
          <w:bCs/>
        </w:rPr>
        <w:t xml:space="preserve">U tijeku je proces javne nabave za energetsku uslugu provođenjem mjera poboljšanja energetske učinkovitosti sustava javne rasvjete Grada Zagreba (EPC ugovor) s ciljem </w:t>
      </w:r>
      <w:r w:rsidRPr="006A47E7">
        <w:rPr>
          <w:rFonts w:cs="Calibri"/>
          <w:bCs/>
        </w:rPr>
        <w:t>postizanja ušteda u operativnom trošku (električna energija i održavanje) te povećanju sigurnosti i standarda za građane grada Zagreba.</w:t>
      </w:r>
      <w:r>
        <w:rPr>
          <w:rFonts w:cs="Calibri"/>
          <w:bCs/>
        </w:rPr>
        <w:t xml:space="preserve"> Projektom je obuhvaćeno oko 40% sustava javne rasvjete Grada Zagreba.</w:t>
      </w:r>
    </w:p>
    <w:p w14:paraId="600A9AC3" w14:textId="77777777" w:rsidR="00034784" w:rsidRPr="009555F2" w:rsidRDefault="00034784" w:rsidP="00034784">
      <w:pPr>
        <w:pStyle w:val="Tijeloteksta2"/>
        <w:ind w:right="-2"/>
        <w:rPr>
          <w:rFonts w:ascii="Arial" w:hAnsi="Arial"/>
          <w:b w:val="0"/>
          <w:sz w:val="22"/>
          <w:szCs w:val="22"/>
        </w:rPr>
      </w:pPr>
    </w:p>
    <w:tbl>
      <w:tblPr>
        <w:tblW w:w="0" w:type="auto"/>
        <w:tblCellMar>
          <w:left w:w="0" w:type="dxa"/>
          <w:right w:w="0" w:type="dxa"/>
        </w:tblCellMar>
        <w:tblLook w:val="0000" w:firstRow="0" w:lastRow="0" w:firstColumn="0" w:lastColumn="0" w:noHBand="0" w:noVBand="0"/>
      </w:tblPr>
      <w:tblGrid>
        <w:gridCol w:w="4535"/>
        <w:gridCol w:w="4537"/>
      </w:tblGrid>
      <w:tr w:rsidR="00034784" w:rsidRPr="00A33E06" w14:paraId="5296F8B5" w14:textId="77777777" w:rsidTr="00072476">
        <w:tc>
          <w:tcPr>
            <w:tcW w:w="4644" w:type="dxa"/>
            <w:shd w:val="clear" w:color="auto" w:fill="CCCCCC"/>
            <w:tcMar>
              <w:top w:w="0" w:type="dxa"/>
              <w:left w:w="108" w:type="dxa"/>
              <w:bottom w:w="0" w:type="dxa"/>
              <w:right w:w="108" w:type="dxa"/>
            </w:tcMar>
          </w:tcPr>
          <w:p w14:paraId="11E020A1"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642" w:type="dxa"/>
            <w:shd w:val="clear" w:color="auto" w:fill="99CCFF"/>
            <w:tcMar>
              <w:top w:w="0" w:type="dxa"/>
              <w:left w:w="108" w:type="dxa"/>
              <w:bottom w:w="0" w:type="dxa"/>
              <w:right w:w="108" w:type="dxa"/>
            </w:tcMar>
          </w:tcPr>
          <w:p w14:paraId="5E5088A5"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RAZVOJNE POTREBE</w:t>
            </w:r>
          </w:p>
        </w:tc>
      </w:tr>
      <w:tr w:rsidR="00034784" w:rsidRPr="00A33E06" w14:paraId="3D16269E" w14:textId="77777777" w:rsidTr="00072476">
        <w:trPr>
          <w:trHeight w:val="1477"/>
        </w:trPr>
        <w:tc>
          <w:tcPr>
            <w:tcW w:w="4644" w:type="dxa"/>
            <w:shd w:val="clear" w:color="auto" w:fill="CCCCCC"/>
            <w:tcMar>
              <w:top w:w="0" w:type="dxa"/>
              <w:left w:w="108" w:type="dxa"/>
              <w:bottom w:w="0" w:type="dxa"/>
              <w:right w:w="108" w:type="dxa"/>
            </w:tcMar>
          </w:tcPr>
          <w:p w14:paraId="04D01EA2"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znatni troškovi održavanja</w:t>
            </w:r>
          </w:p>
          <w:p w14:paraId="3F33EF63"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dijelom zastarjela i energetski neučinkovita rasvjeta</w:t>
            </w:r>
          </w:p>
          <w:p w14:paraId="46738E31"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nedovoljna pokrivenost u pojedinim dijelovima grada</w:t>
            </w:r>
          </w:p>
          <w:p w14:paraId="5A22D6D9"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nedostaje sustav upravljanja i regulacije</w:t>
            </w:r>
          </w:p>
          <w:p w14:paraId="05993600"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znatno svjetlosno onečišćenje</w:t>
            </w:r>
          </w:p>
        </w:tc>
        <w:tc>
          <w:tcPr>
            <w:tcW w:w="4642" w:type="dxa"/>
            <w:shd w:val="clear" w:color="auto" w:fill="99CCFF"/>
            <w:tcMar>
              <w:top w:w="0" w:type="dxa"/>
              <w:left w:w="108" w:type="dxa"/>
              <w:bottom w:w="0" w:type="dxa"/>
              <w:right w:w="108" w:type="dxa"/>
            </w:tcMar>
          </w:tcPr>
          <w:p w14:paraId="61B95871"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izgradnja javne rasvjete u pojedinim dijelovima grada </w:t>
            </w:r>
          </w:p>
          <w:p w14:paraId="1E82DAF8"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unaprijediti sustav upravljanja i regulacije</w:t>
            </w:r>
          </w:p>
          <w:p w14:paraId="1D170F7F"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daljnja </w:t>
            </w:r>
            <w:r w:rsidRPr="00A33E06">
              <w:rPr>
                <w:rFonts w:ascii="Calibri" w:hAnsi="Calibri" w:cs="Calibri"/>
                <w:sz w:val="18"/>
                <w:szCs w:val="18"/>
              </w:rPr>
              <w:t>modernizacija i primjena mjera energetske učinkovitosti u postojećem sustavu</w:t>
            </w:r>
          </w:p>
          <w:p w14:paraId="18BA45D8" w14:textId="77777777" w:rsidR="00034784" w:rsidRPr="00A33E06" w:rsidRDefault="00034784" w:rsidP="00165C16">
            <w:pPr>
              <w:pStyle w:val="StandardWeb"/>
              <w:numPr>
                <w:ilvl w:val="0"/>
                <w:numId w:val="2"/>
              </w:numPr>
              <w:tabs>
                <w:tab w:val="num" w:pos="284"/>
              </w:tabs>
              <w:autoSpaceDE w:val="0"/>
              <w:autoSpaceDN w:val="0"/>
              <w:adjustRightInd w:val="0"/>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smanjenje svjetlosnog onečišćenja</w:t>
            </w:r>
          </w:p>
        </w:tc>
      </w:tr>
    </w:tbl>
    <w:p w14:paraId="15D44940" w14:textId="561DD233" w:rsidR="00034784" w:rsidRPr="00C10DEE" w:rsidRDefault="00034784" w:rsidP="00B8319D">
      <w:pPr>
        <w:pStyle w:val="Stil2"/>
      </w:pPr>
      <w:r w:rsidRPr="00A33E06">
        <w:br/>
      </w:r>
      <w:bookmarkStart w:id="138" w:name="_Toc97123852"/>
      <w:r>
        <w:t>5</w:t>
      </w:r>
      <w:r w:rsidRPr="00A33E06">
        <w:t>.2.2. Obnovljivi izvori energije, ekološki prihvatljiva goriva i učinkovito gospodarenje energijom</w:t>
      </w:r>
      <w:bookmarkEnd w:id="138"/>
    </w:p>
    <w:p w14:paraId="3A92D576" w14:textId="77777777" w:rsidR="00034784" w:rsidRPr="00483C4F" w:rsidRDefault="00034784" w:rsidP="00034784">
      <w:pPr>
        <w:tabs>
          <w:tab w:val="left" w:pos="-720"/>
        </w:tabs>
        <w:suppressAutoHyphens/>
        <w:spacing w:after="0" w:line="240" w:lineRule="auto"/>
        <w:ind w:right="-2"/>
        <w:jc w:val="both"/>
        <w:rPr>
          <w:rFonts w:eastAsia="Times New Roman" w:cs="Calibri"/>
          <w:bCs/>
          <w:lang w:eastAsia="hr-HR"/>
        </w:rPr>
      </w:pPr>
      <w:r w:rsidRPr="00483C4F">
        <w:rPr>
          <w:rFonts w:eastAsia="Times New Roman" w:cs="Calibri"/>
          <w:bCs/>
          <w:lang w:eastAsia="hr-HR"/>
        </w:rPr>
        <w:t>Grad Zagreb pristupio je Sporazumu gradonačelnika za klimu i energiju 2016. godine i za nas to predstavlja nastavak dugoročnog procesa i priključenje aktivnoj zajednici lokalnih sredina koje se obvezuju izvještavati o provedbi planova te unaprjeđivati svakodnevicu građana kroz primjenu novih aktivnosti i pridonošenje održivoj budućnosti.</w:t>
      </w:r>
    </w:p>
    <w:p w14:paraId="2E13D973" w14:textId="77777777" w:rsidR="00034784" w:rsidRDefault="00034784" w:rsidP="00034784">
      <w:pPr>
        <w:spacing w:line="240" w:lineRule="auto"/>
        <w:jc w:val="both"/>
        <w:rPr>
          <w:rFonts w:cs="Calibri"/>
          <w:bCs/>
        </w:rPr>
      </w:pPr>
      <w:r>
        <w:rPr>
          <w:rFonts w:cs="Calibri"/>
          <w:bCs/>
        </w:rPr>
        <w:t xml:space="preserve">Krajem 2020., Europska unija obvezala se na još snažnije i ambicioznije ciljeve za 2030. s novim planom smanjenja emisija stakleničkih plinova od -55% i postavljanje temelja za dostizanje klimatske neutralnosti 2050. </w:t>
      </w:r>
    </w:p>
    <w:p w14:paraId="4A89D27D" w14:textId="1BD77FA8" w:rsidR="00034784" w:rsidRPr="00BC4342" w:rsidRDefault="00034784" w:rsidP="00034784">
      <w:pPr>
        <w:spacing w:line="240" w:lineRule="auto"/>
        <w:jc w:val="both"/>
        <w:rPr>
          <w:rFonts w:cs="Calibri"/>
          <w:bCs/>
        </w:rPr>
      </w:pPr>
      <w:r>
        <w:rPr>
          <w:rFonts w:cs="Calibri"/>
          <w:bCs/>
        </w:rPr>
        <w:t>Grad Zagreb</w:t>
      </w:r>
      <w:r w:rsidR="0006210F">
        <w:rPr>
          <w:rFonts w:cs="Calibri"/>
          <w:bCs/>
        </w:rPr>
        <w:t xml:space="preserve"> je u 2021. završio izradu Energetsko-klimatskog razvojnog okvira za 2030. s pogledom na 2050.</w:t>
      </w:r>
      <w:r>
        <w:rPr>
          <w:rFonts w:cs="Calibri"/>
          <w:bCs/>
        </w:rPr>
        <w:t xml:space="preserve"> u skladu s nadolazećim Europskim klimatskim zakonom i sveobuhvatnim smjernicama Zelenog plana za Europu. </w:t>
      </w:r>
      <w:r w:rsidR="0006210F">
        <w:rPr>
          <w:rFonts w:cs="Calibri"/>
          <w:bCs/>
        </w:rPr>
        <w:t xml:space="preserve">Izrađeni su detaljni scenariji smanjenja emisija stakleničkih plinova do 2030. i scenarij dostizanja klimatske neutralnosti do 2050. godine. </w:t>
      </w:r>
    </w:p>
    <w:p w14:paraId="245CEAB7" w14:textId="77777777" w:rsidR="00034784" w:rsidRPr="004A64FE" w:rsidRDefault="00034784" w:rsidP="00034784">
      <w:pPr>
        <w:tabs>
          <w:tab w:val="left" w:pos="-720"/>
        </w:tabs>
        <w:suppressAutoHyphens/>
        <w:spacing w:after="0" w:line="240" w:lineRule="auto"/>
        <w:ind w:right="-2"/>
        <w:jc w:val="both"/>
        <w:rPr>
          <w:rFonts w:eastAsia="Times New Roman" w:cs="Calibri"/>
          <w:bCs/>
          <w:lang w:eastAsia="hr-HR"/>
        </w:rPr>
      </w:pPr>
      <w:r w:rsidRPr="004A64FE">
        <w:rPr>
          <w:rFonts w:eastAsia="Times New Roman" w:cs="Calibri"/>
          <w:b/>
          <w:lang w:eastAsia="hr-HR"/>
        </w:rPr>
        <w:t>Geotermalni potencijal</w:t>
      </w:r>
      <w:r w:rsidRPr="004A64FE">
        <w:rPr>
          <w:rFonts w:eastAsia="Times New Roman" w:cs="Calibri"/>
          <w:bCs/>
          <w:lang w:eastAsia="hr-HR"/>
        </w:rPr>
        <w:t xml:space="preserve"> na području Grada Zagreba identificiran je u bušotinama izrađenim u drugoj polovici dvadesetog stoljeća što za potrebe istraživanja i eksploatacije nafte i plina što za potvrđivanje veličine i protočnih karakteristika utvrđenog geotermalnog ležišta. Podaci prikupljeni iz izrađenih bušotina služe kao osnova za projektiranje i planiranje geotermalnih projekata. </w:t>
      </w:r>
    </w:p>
    <w:p w14:paraId="1BA53823" w14:textId="77777777" w:rsidR="00034784" w:rsidRPr="004A64FE" w:rsidRDefault="00034784" w:rsidP="00034784">
      <w:pPr>
        <w:tabs>
          <w:tab w:val="left" w:pos="-720"/>
        </w:tabs>
        <w:suppressAutoHyphens/>
        <w:spacing w:after="0" w:line="240" w:lineRule="auto"/>
        <w:ind w:right="-2"/>
        <w:jc w:val="both"/>
        <w:rPr>
          <w:rFonts w:eastAsia="Times New Roman" w:cs="Calibri"/>
          <w:bCs/>
          <w:lang w:eastAsia="hr-HR"/>
        </w:rPr>
      </w:pPr>
    </w:p>
    <w:p w14:paraId="2C675F66" w14:textId="77777777" w:rsidR="00034784" w:rsidRPr="004A64FE" w:rsidRDefault="00034784" w:rsidP="00034784">
      <w:pPr>
        <w:tabs>
          <w:tab w:val="left" w:pos="-720"/>
        </w:tabs>
        <w:suppressAutoHyphens/>
        <w:spacing w:after="0" w:line="240" w:lineRule="auto"/>
        <w:ind w:right="-2"/>
        <w:jc w:val="both"/>
        <w:rPr>
          <w:rFonts w:eastAsia="Times New Roman" w:cs="Calibri"/>
          <w:bCs/>
          <w:lang w:eastAsia="hr-HR"/>
        </w:rPr>
      </w:pPr>
      <w:r w:rsidRPr="004A64FE">
        <w:rPr>
          <w:rFonts w:eastAsia="Times New Roman" w:cs="Calibri"/>
          <w:b/>
          <w:lang w:eastAsia="hr-HR"/>
        </w:rPr>
        <w:t>Geotermalno polje Zagreb</w:t>
      </w:r>
      <w:r w:rsidRPr="004A64FE">
        <w:rPr>
          <w:rFonts w:eastAsia="Times New Roman" w:cs="Calibri"/>
          <w:bCs/>
          <w:lang w:eastAsia="hr-HR"/>
        </w:rPr>
        <w:t xml:space="preserve"> nalazi se na jugozapadnom prilazu Zagrebu. Rijeka Sava dijeli ga infrastrukturno na sjeverni dio s dominantnim rekreacijskim zonama Jarun i Mladost i južni dio u kojemu dominira Klinička bolnica Novi Zagreb. Trenutno se geotermalna energija koristi za grijanje Sportskog centra “Mladost” i toplinske stanica u zgradi Kineziološkog fakulteta. S obzirom da se koristi tek manji dio raspoložive energije, opravdano je razmotriti priključak na postojeći toplinski sustav. Zagrebačko geotermalno polje moglo bi se iskorištavati za grijanje objekata u jugozapadnom dijelu grada. Osim za grijanje, planirano je i  korištenje geotermalnih izvora za potrebe zdravstvenog turizma. </w:t>
      </w:r>
    </w:p>
    <w:p w14:paraId="14C386E0" w14:textId="0B89464B" w:rsidR="00034784" w:rsidRDefault="00034784" w:rsidP="00034784">
      <w:pPr>
        <w:tabs>
          <w:tab w:val="left" w:pos="-720"/>
        </w:tabs>
        <w:suppressAutoHyphens/>
        <w:spacing w:after="0" w:line="240" w:lineRule="auto"/>
        <w:ind w:right="-2"/>
        <w:jc w:val="both"/>
      </w:pPr>
      <w:r w:rsidRPr="004A64FE">
        <w:rPr>
          <w:rFonts w:eastAsia="Times New Roman" w:cs="Calibri"/>
          <w:bCs/>
          <w:lang w:eastAsia="hr-HR"/>
        </w:rPr>
        <w:t>Na području Grada Zagreba nalazi se šest (6) potencijalnih prostora na kojima se tek trebaju provesti dodatne istražne aktivnosti s ciljem utvrđivanja geotermalnog potencijala za eksploataciju geotermalne vode za energetske svrhe. Na zapadu grada to je potencijal Podsused, u centru grada Šalata i Savica, na krajnjem istoku Sesvete i Laktec, te na jugu Lomnica</w:t>
      </w:r>
      <w:r>
        <w:t>.</w:t>
      </w:r>
      <w:r w:rsidR="00C00AC8">
        <w:t xml:space="preserve"> Naveden</w:t>
      </w:r>
      <w:r w:rsidR="001E1738">
        <w:t xml:space="preserve">e radnje </w:t>
      </w:r>
      <w:r w:rsidR="006E7ADE">
        <w:t>potrebno je</w:t>
      </w:r>
      <w:r w:rsidR="00C00AC8">
        <w:t xml:space="preserve"> planirati izvan granice obuhvata područja zaštićenog temeljem Zakona o zaštiti prirode (NN 80/13, 15/18, 14/19, 127/19)</w:t>
      </w:r>
      <w:r w:rsidR="001E1738">
        <w:t xml:space="preserve"> Značajni krajobraz Savica</w:t>
      </w:r>
      <w:r w:rsidR="006E7ADE">
        <w:t xml:space="preserve">, te </w:t>
      </w:r>
      <w:r w:rsidR="001E1738">
        <w:t xml:space="preserve">osigurati da </w:t>
      </w:r>
      <w:r w:rsidR="006E7ADE">
        <w:t xml:space="preserve">se </w:t>
      </w:r>
      <w:r w:rsidR="001E1738">
        <w:t>radnje i aktivnosti kojima se mogu narušiti svojstva zbog kojih je to područje proglašeno zaštićenim ne provode.</w:t>
      </w:r>
    </w:p>
    <w:p w14:paraId="2C1A0968" w14:textId="77777777" w:rsidR="00034784" w:rsidRPr="00A33E06" w:rsidRDefault="00034784" w:rsidP="00034784">
      <w:pPr>
        <w:tabs>
          <w:tab w:val="left" w:pos="-720"/>
        </w:tabs>
        <w:suppressAutoHyphens/>
        <w:spacing w:after="0" w:line="240" w:lineRule="auto"/>
        <w:ind w:right="-2"/>
        <w:jc w:val="both"/>
      </w:pPr>
    </w:p>
    <w:tbl>
      <w:tblPr>
        <w:tblW w:w="0" w:type="auto"/>
        <w:tblLook w:val="01E0" w:firstRow="1" w:lastRow="1" w:firstColumn="1" w:lastColumn="1" w:noHBand="0" w:noVBand="0"/>
      </w:tblPr>
      <w:tblGrid>
        <w:gridCol w:w="4541"/>
        <w:gridCol w:w="4531"/>
      </w:tblGrid>
      <w:tr w:rsidR="00034784" w:rsidRPr="00A33E06" w14:paraId="3AD1970B" w14:textId="77777777" w:rsidTr="00072476">
        <w:tc>
          <w:tcPr>
            <w:tcW w:w="4650" w:type="dxa"/>
            <w:shd w:val="clear" w:color="auto" w:fill="CCCCCC"/>
          </w:tcPr>
          <w:p w14:paraId="7DE79FF0"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636" w:type="dxa"/>
            <w:shd w:val="clear" w:color="auto" w:fill="99CCFF"/>
          </w:tcPr>
          <w:p w14:paraId="39EFAD21"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 RAZVOJNE POTREBE</w:t>
            </w:r>
          </w:p>
        </w:tc>
      </w:tr>
      <w:tr w:rsidR="00034784" w:rsidRPr="00A33E06" w14:paraId="7BA7112B" w14:textId="77777777" w:rsidTr="00072476">
        <w:tc>
          <w:tcPr>
            <w:tcW w:w="4650" w:type="dxa"/>
            <w:shd w:val="clear" w:color="auto" w:fill="CCCCCC"/>
          </w:tcPr>
          <w:p w14:paraId="159C427D"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mali udio obnovljivih izvora energije</w:t>
            </w:r>
          </w:p>
          <w:p w14:paraId="26AF5F72"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 xml:space="preserve">nedovoljno </w:t>
            </w:r>
            <w:r>
              <w:rPr>
                <w:rFonts w:ascii="Calibri" w:hAnsi="Calibri" w:cs="Calibri"/>
                <w:sz w:val="18"/>
                <w:szCs w:val="18"/>
              </w:rPr>
              <w:t>diverzificirani</w:t>
            </w:r>
            <w:r w:rsidRPr="00A33E06">
              <w:rPr>
                <w:rFonts w:ascii="Calibri" w:hAnsi="Calibri" w:cs="Calibri"/>
                <w:sz w:val="18"/>
                <w:szCs w:val="18"/>
              </w:rPr>
              <w:t xml:space="preserve"> izvori energije </w:t>
            </w:r>
          </w:p>
          <w:p w14:paraId="30ED6E6F"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nedostatna uporaba ekološko prihvatljivih goriva</w:t>
            </w:r>
          </w:p>
          <w:p w14:paraId="1FB25FE2"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nedovoljna razina ekološke svijesti</w:t>
            </w:r>
          </w:p>
        </w:tc>
        <w:tc>
          <w:tcPr>
            <w:tcW w:w="4636" w:type="dxa"/>
            <w:shd w:val="clear" w:color="auto" w:fill="99CCFF"/>
          </w:tcPr>
          <w:p w14:paraId="1915267D"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diverzificiranje</w:t>
            </w:r>
            <w:r w:rsidRPr="00A33E06">
              <w:rPr>
                <w:rFonts w:ascii="Calibri" w:hAnsi="Calibri" w:cs="Calibri"/>
                <w:sz w:val="18"/>
                <w:szCs w:val="18"/>
              </w:rPr>
              <w:t xml:space="preserve"> izvora energije</w:t>
            </w:r>
          </w:p>
          <w:p w14:paraId="5B724487"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promicanje korištenja čistih tehnologija</w:t>
            </w:r>
          </w:p>
          <w:p w14:paraId="49BBD4F2"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promicanje i poticanje</w:t>
            </w:r>
            <w:r>
              <w:rPr>
                <w:rFonts w:ascii="Calibri" w:hAnsi="Calibri" w:cs="Calibri"/>
                <w:sz w:val="18"/>
                <w:szCs w:val="18"/>
              </w:rPr>
              <w:t xml:space="preserve"> </w:t>
            </w:r>
            <w:r w:rsidRPr="00A33E06">
              <w:rPr>
                <w:rFonts w:ascii="Calibri" w:hAnsi="Calibri" w:cs="Calibri"/>
                <w:sz w:val="18"/>
                <w:szCs w:val="18"/>
              </w:rPr>
              <w:t>uporabe obnovljivih izvora energije, osobito geotermalne</w:t>
            </w:r>
            <w:r>
              <w:rPr>
                <w:rFonts w:ascii="Calibri" w:hAnsi="Calibri" w:cs="Calibri"/>
                <w:sz w:val="18"/>
                <w:szCs w:val="18"/>
              </w:rPr>
              <w:t xml:space="preserve"> i sunčane energije koja je lokalno dostupa i iskoristiva</w:t>
            </w:r>
          </w:p>
          <w:p w14:paraId="45E522F4"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promicanje i poticanje uporabe ekološko prihvatljivih goriva</w:t>
            </w:r>
          </w:p>
          <w:p w14:paraId="027AB8B8"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promicanje i poticanje primjene mjera energetske učinkovitosti</w:t>
            </w:r>
          </w:p>
          <w:p w14:paraId="390D28A9" w14:textId="77777777" w:rsidR="00034784" w:rsidRPr="00DE0239"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podizanje razine ekološke svijesti</w:t>
            </w:r>
          </w:p>
          <w:p w14:paraId="682448E5" w14:textId="77777777" w:rsidR="002F46FB" w:rsidRDefault="00034784" w:rsidP="002F46FB">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 xml:space="preserve">daljnji razvoj i primjena </w:t>
            </w:r>
            <w:r w:rsidRPr="00A33E06">
              <w:rPr>
                <w:rFonts w:ascii="Calibri" w:hAnsi="Calibri" w:cs="Calibri"/>
                <w:sz w:val="18"/>
                <w:szCs w:val="18"/>
              </w:rPr>
              <w:t>Energetsk</w:t>
            </w:r>
            <w:r>
              <w:rPr>
                <w:rFonts w:ascii="Calibri" w:hAnsi="Calibri" w:cs="Calibri"/>
                <w:sz w:val="18"/>
                <w:szCs w:val="18"/>
              </w:rPr>
              <w:t>og</w:t>
            </w:r>
            <w:r w:rsidRPr="00A33E06">
              <w:rPr>
                <w:rFonts w:ascii="Calibri" w:hAnsi="Calibri" w:cs="Calibri"/>
                <w:sz w:val="18"/>
                <w:szCs w:val="18"/>
              </w:rPr>
              <w:t xml:space="preserve"> informacijsk</w:t>
            </w:r>
            <w:r>
              <w:rPr>
                <w:rFonts w:ascii="Calibri" w:hAnsi="Calibri" w:cs="Calibri"/>
                <w:sz w:val="18"/>
                <w:szCs w:val="18"/>
              </w:rPr>
              <w:t>og</w:t>
            </w:r>
            <w:r w:rsidRPr="00A33E06">
              <w:rPr>
                <w:rFonts w:ascii="Calibri" w:hAnsi="Calibri" w:cs="Calibri"/>
                <w:sz w:val="18"/>
                <w:szCs w:val="18"/>
              </w:rPr>
              <w:t xml:space="preserve"> sustav</w:t>
            </w:r>
            <w:r>
              <w:rPr>
                <w:rFonts w:ascii="Calibri" w:hAnsi="Calibri" w:cs="Calibri"/>
                <w:sz w:val="18"/>
                <w:szCs w:val="18"/>
              </w:rPr>
              <w:t>a Grada Zagreba u javnim zgrada u vlasništvu Grada Zagreba s ciljem k</w:t>
            </w:r>
            <w:r w:rsidRPr="00A33E06">
              <w:rPr>
                <w:rFonts w:ascii="Calibri" w:hAnsi="Calibri" w:cs="Calibri"/>
                <w:sz w:val="18"/>
                <w:szCs w:val="18"/>
              </w:rPr>
              <w:t>ontinuirano</w:t>
            </w:r>
            <w:r>
              <w:rPr>
                <w:rFonts w:ascii="Calibri" w:hAnsi="Calibri" w:cs="Calibri"/>
                <w:sz w:val="18"/>
                <w:szCs w:val="18"/>
              </w:rPr>
              <w:t>g</w:t>
            </w:r>
            <w:r w:rsidRPr="00A33E06">
              <w:rPr>
                <w:rFonts w:ascii="Calibri" w:hAnsi="Calibri" w:cs="Calibri"/>
                <w:sz w:val="18"/>
                <w:szCs w:val="18"/>
              </w:rPr>
              <w:t xml:space="preserve"> praćenj</w:t>
            </w:r>
            <w:r>
              <w:rPr>
                <w:rFonts w:ascii="Calibri" w:hAnsi="Calibri" w:cs="Calibri"/>
                <w:sz w:val="18"/>
                <w:szCs w:val="18"/>
              </w:rPr>
              <w:t>a</w:t>
            </w:r>
            <w:r w:rsidRPr="00A33E06">
              <w:rPr>
                <w:rFonts w:ascii="Calibri" w:hAnsi="Calibri" w:cs="Calibri"/>
                <w:sz w:val="18"/>
                <w:szCs w:val="18"/>
              </w:rPr>
              <w:t xml:space="preserve"> proizvodnje,</w:t>
            </w:r>
            <w:r>
              <w:rPr>
                <w:rFonts w:ascii="Calibri" w:hAnsi="Calibri" w:cs="Calibri"/>
                <w:sz w:val="18"/>
                <w:szCs w:val="18"/>
              </w:rPr>
              <w:t xml:space="preserve"> </w:t>
            </w:r>
            <w:r w:rsidRPr="00A33E06">
              <w:rPr>
                <w:rFonts w:ascii="Calibri" w:hAnsi="Calibri" w:cs="Calibri"/>
                <w:sz w:val="18"/>
                <w:szCs w:val="18"/>
              </w:rPr>
              <w:t>kvalitete</w:t>
            </w:r>
            <w:r>
              <w:rPr>
                <w:rFonts w:ascii="Calibri" w:hAnsi="Calibri" w:cs="Calibri"/>
                <w:sz w:val="18"/>
                <w:szCs w:val="18"/>
              </w:rPr>
              <w:t xml:space="preserve"> </w:t>
            </w:r>
            <w:r w:rsidRPr="00A33E06">
              <w:rPr>
                <w:rFonts w:ascii="Calibri" w:hAnsi="Calibri" w:cs="Calibri"/>
                <w:sz w:val="18"/>
                <w:szCs w:val="18"/>
              </w:rPr>
              <w:t>opskrbe i energetske potrošnje</w:t>
            </w:r>
          </w:p>
          <w:p w14:paraId="2F4F8D46" w14:textId="4F8827D6" w:rsidR="00D90AED" w:rsidRDefault="00D90AED" w:rsidP="002F46FB">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educiranje građana o prednostima instaliranja solarnih sustava i informiranje i savjetovanje o dostupnim subvencijama</w:t>
            </w:r>
          </w:p>
          <w:p w14:paraId="48DDAF9E" w14:textId="37E07756" w:rsidR="002F46FB" w:rsidRPr="002F46FB" w:rsidRDefault="002F46FB" w:rsidP="002F46FB">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2F46FB">
              <w:rPr>
                <w:rFonts w:ascii="Calibri" w:hAnsi="Calibri" w:cs="Calibri"/>
                <w:sz w:val="18"/>
                <w:szCs w:val="18"/>
              </w:rPr>
              <w:t>postaviti solarne elektrane i toplinske kolektore na pogodnim objektima u gradskom vlasništvu</w:t>
            </w:r>
          </w:p>
        </w:tc>
      </w:tr>
    </w:tbl>
    <w:p w14:paraId="2A38DF6E" w14:textId="77777777" w:rsidR="0061125B" w:rsidRDefault="0061125B" w:rsidP="00034784">
      <w:pPr>
        <w:rPr>
          <w:rFonts w:cs="Calibri"/>
          <w:b/>
        </w:rPr>
      </w:pPr>
    </w:p>
    <w:p w14:paraId="58B1734D" w14:textId="0C93C476" w:rsidR="00E86015" w:rsidRDefault="00034784" w:rsidP="00B8319D">
      <w:pPr>
        <w:pStyle w:val="Stil2"/>
        <w:rPr>
          <w:rFonts w:cs="Calibri"/>
        </w:rPr>
      </w:pPr>
      <w:bookmarkStart w:id="139" w:name="_Toc97123853"/>
      <w:r>
        <w:t>5</w:t>
      </w:r>
      <w:r w:rsidRPr="00A33E06">
        <w:t xml:space="preserve">.2.3. </w:t>
      </w:r>
      <w:r w:rsidR="00E86015">
        <w:rPr>
          <w:rFonts w:cs="Calibri"/>
        </w:rPr>
        <w:t>Sigurnost opskrbe energijom, problem energetskog siromaštva i inflacije cijena energije</w:t>
      </w:r>
      <w:bookmarkEnd w:id="139"/>
    </w:p>
    <w:p w14:paraId="625B3027" w14:textId="0D33D071" w:rsidR="00E86015" w:rsidRPr="00D10E64" w:rsidRDefault="00E86015" w:rsidP="00E86015">
      <w:pPr>
        <w:jc w:val="both"/>
        <w:rPr>
          <w:rFonts w:cs="Calibri"/>
          <w:bCs/>
        </w:rPr>
      </w:pPr>
      <w:r>
        <w:rPr>
          <w:rFonts w:cs="Calibri"/>
          <w:bCs/>
        </w:rPr>
        <w:t>Nastavno na proglašenje globalne pandemije vezano za COVID-19 i prekida skoro svih socijalnih i gospodarskih aktivnosti u proljeće 2020., cijene energenata dosegle su povijesno niske minimume u ljeto 2020. godine. Brzim gospodarskim oporavkom i ponovnim „otvaranjem“ globalne ekonomije, cijene energije počele su nezaustavljiv rast pa je tako veleprodajna cijena plina u Europi dosegla povijesne maksimume krajem 2021. godine. Ovakva razina izuzetne volatilnosti doprinijela je snažnom inflacijskom pritisku koji kontinuirano smanjuje ionako mal</w:t>
      </w:r>
      <w:r w:rsidR="00987801">
        <w:rPr>
          <w:rFonts w:cs="Calibri"/>
          <w:bCs/>
        </w:rPr>
        <w:t>i</w:t>
      </w:r>
      <w:r>
        <w:rPr>
          <w:rFonts w:cs="Calibri"/>
          <w:bCs/>
        </w:rPr>
        <w:t xml:space="preserve"> rast plaća i općeg dohotka. Kratkoročno, zemlje članice EU, pa i regionalna te lokalna samouprava, nemaju značajne mehanizme direktnih intervencija u ovu problematiku. Fokus većine mjera je na zaštiti visokorizičnih skupina od energetskog siromaštva, određene por</w:t>
      </w:r>
      <w:r w:rsidR="00987801">
        <w:rPr>
          <w:rFonts w:cs="Calibri"/>
          <w:bCs/>
        </w:rPr>
        <w:t>e</w:t>
      </w:r>
      <w:r>
        <w:rPr>
          <w:rFonts w:cs="Calibri"/>
          <w:bCs/>
        </w:rPr>
        <w:t>zne olakšice i odgode plaćanja. U kontekstu Zelenog plana za Europu, ova kriza treba biti još veći poticaj na daljnje (i puno veće) ulaganje u energetsku učinkovitost, smanjenje energetske potrošnje i još snažnije okretanje ka obnovljivi</w:t>
      </w:r>
      <w:r w:rsidR="00987801">
        <w:rPr>
          <w:rFonts w:cs="Calibri"/>
          <w:bCs/>
        </w:rPr>
        <w:t>m</w:t>
      </w:r>
      <w:r>
        <w:rPr>
          <w:rFonts w:cs="Calibri"/>
          <w:bCs/>
        </w:rPr>
        <w:t xml:space="preserve"> izvorima energije. </w:t>
      </w:r>
    </w:p>
    <w:tbl>
      <w:tblPr>
        <w:tblW w:w="0" w:type="auto"/>
        <w:tblLook w:val="01E0" w:firstRow="1" w:lastRow="1" w:firstColumn="1" w:lastColumn="1" w:noHBand="0" w:noVBand="0"/>
      </w:tblPr>
      <w:tblGrid>
        <w:gridCol w:w="4541"/>
        <w:gridCol w:w="4531"/>
      </w:tblGrid>
      <w:tr w:rsidR="00E86015" w:rsidRPr="00A33E06" w14:paraId="30AE44E7" w14:textId="77777777" w:rsidTr="00E86015">
        <w:tc>
          <w:tcPr>
            <w:tcW w:w="4541" w:type="dxa"/>
            <w:shd w:val="clear" w:color="auto" w:fill="CCCCCC"/>
          </w:tcPr>
          <w:p w14:paraId="5F53272D" w14:textId="77777777" w:rsidR="00E86015" w:rsidRPr="00A33E06" w:rsidRDefault="00E86015" w:rsidP="00696143">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531" w:type="dxa"/>
            <w:shd w:val="clear" w:color="auto" w:fill="99CCFF"/>
          </w:tcPr>
          <w:p w14:paraId="1412CF7A" w14:textId="35FD9F79" w:rsidR="00E86015" w:rsidRPr="00A33E06" w:rsidRDefault="00E86015" w:rsidP="00696143">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 RAZVOJNE POTREBE</w:t>
            </w:r>
          </w:p>
        </w:tc>
      </w:tr>
      <w:tr w:rsidR="00E86015" w:rsidRPr="00A33E06" w14:paraId="617A3143" w14:textId="77777777" w:rsidTr="00E86015">
        <w:tc>
          <w:tcPr>
            <w:tcW w:w="4541" w:type="dxa"/>
            <w:shd w:val="clear" w:color="auto" w:fill="CCCCCC"/>
          </w:tcPr>
          <w:p w14:paraId="289613A2" w14:textId="77777777" w:rsidR="00E86015" w:rsidRDefault="00E86015" w:rsidP="00696143">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Zanemariv udio obnovljivih izvora energije u energetskom miksu Grada Zagreba</w:t>
            </w:r>
          </w:p>
          <w:p w14:paraId="207BECCB" w14:textId="77777777" w:rsidR="00E86015" w:rsidRPr="002E7F05" w:rsidRDefault="00E86015" w:rsidP="00696143">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Nedovoljno razrađen okvir na razini Grada Zagreba za direktnu intervenciju u problematiku energetskog siromaštva na području Grada Zagreba</w:t>
            </w:r>
          </w:p>
        </w:tc>
        <w:tc>
          <w:tcPr>
            <w:tcW w:w="4531" w:type="dxa"/>
            <w:shd w:val="clear" w:color="auto" w:fill="99CCFF"/>
          </w:tcPr>
          <w:p w14:paraId="4D37F166" w14:textId="77777777" w:rsidR="00E86015" w:rsidRDefault="00E86015" w:rsidP="00696143">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snažniji okret ka dekarbonizaciji svih sektora uz adekvatno osiguranje otpornosti energetskog sustava</w:t>
            </w:r>
          </w:p>
          <w:p w14:paraId="7634C518" w14:textId="77777777" w:rsidR="00E86015" w:rsidRPr="00C04E78" w:rsidRDefault="00E86015" w:rsidP="00696143">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Pr>
                <w:rFonts w:ascii="Calibri" w:hAnsi="Calibri" w:cs="Calibri"/>
                <w:sz w:val="18"/>
                <w:szCs w:val="18"/>
              </w:rPr>
              <w:t>stvaranje robusnog i fleksibilnog lokalnog okvira za suzbijanje problema energetskog siromaštva</w:t>
            </w:r>
          </w:p>
        </w:tc>
      </w:tr>
    </w:tbl>
    <w:p w14:paraId="66827F24" w14:textId="77777777" w:rsidR="00E86015" w:rsidRPr="00A33E06" w:rsidRDefault="00E86015" w:rsidP="00E86015">
      <w:pPr>
        <w:pStyle w:val="Stil2"/>
      </w:pPr>
      <w:bookmarkStart w:id="140" w:name="_Toc97123854"/>
      <w:r>
        <w:t xml:space="preserve">5.2.4. </w:t>
      </w:r>
      <w:r w:rsidRPr="00A33E06">
        <w:t>Klimatske promjene</w:t>
      </w:r>
      <w:bookmarkEnd w:id="140"/>
    </w:p>
    <w:p w14:paraId="3A285E21" w14:textId="7C8C91F3" w:rsidR="00034784" w:rsidRDefault="00034784" w:rsidP="00034784">
      <w:pPr>
        <w:pStyle w:val="Bezproreda"/>
        <w:jc w:val="both"/>
      </w:pPr>
      <w:r>
        <w:t>U Gradu Zagrebu već se osjete negativni učinci djelovanja klimatskih promjena. Za postaju Zagreb-Grič srednja godišnja temperatura zraka za 2019. iznosi 14,2 °C zbog čega je 2019. najtoplija godina postaje Zagreb-Grič od početka meteoroloških motrenja, tj. od 1862. godine.</w:t>
      </w:r>
    </w:p>
    <w:p w14:paraId="37C80858" w14:textId="408FD2D1" w:rsidR="007A2522" w:rsidRDefault="007A2522" w:rsidP="00034784">
      <w:pPr>
        <w:pStyle w:val="Bezproreda"/>
        <w:jc w:val="both"/>
      </w:pPr>
    </w:p>
    <w:p w14:paraId="68976966" w14:textId="13B36737" w:rsidR="00ED75AB" w:rsidRDefault="00ED75AB" w:rsidP="00034784">
      <w:pPr>
        <w:pStyle w:val="Bezproreda"/>
        <w:jc w:val="both"/>
      </w:pPr>
    </w:p>
    <w:p w14:paraId="648B77CE" w14:textId="557FF6F9" w:rsidR="00ED75AB" w:rsidRDefault="00ED75AB" w:rsidP="00034784">
      <w:pPr>
        <w:pStyle w:val="Bezproreda"/>
        <w:jc w:val="both"/>
      </w:pPr>
    </w:p>
    <w:p w14:paraId="29327FD5" w14:textId="77777777" w:rsidR="00ED75AB" w:rsidRDefault="00ED75AB" w:rsidP="00034784">
      <w:pPr>
        <w:pStyle w:val="Bezproreda"/>
        <w:jc w:val="both"/>
      </w:pPr>
    </w:p>
    <w:p w14:paraId="064A76BB" w14:textId="77777777" w:rsidR="002E0171" w:rsidRDefault="002E0171" w:rsidP="00ED75AB"/>
    <w:p w14:paraId="7A8A81EF" w14:textId="77777777" w:rsidR="002E0171" w:rsidRDefault="002E0171" w:rsidP="00ED75AB"/>
    <w:p w14:paraId="6F2B728D" w14:textId="77777777" w:rsidR="002E0171" w:rsidRDefault="002E0171" w:rsidP="00ED75AB"/>
    <w:p w14:paraId="6DB3342D" w14:textId="77777777" w:rsidR="002E0171" w:rsidRDefault="002E0171" w:rsidP="00ED75AB"/>
    <w:p w14:paraId="1B51C4B2" w14:textId="77777777" w:rsidR="002E0171" w:rsidRDefault="002E0171" w:rsidP="00ED75AB"/>
    <w:p w14:paraId="5F390738" w14:textId="77777777" w:rsidR="002E0171" w:rsidRDefault="002E0171" w:rsidP="00ED75AB"/>
    <w:p w14:paraId="2C864E1B" w14:textId="36712351" w:rsidR="0028421A" w:rsidRDefault="007A2522" w:rsidP="00861272">
      <w:pPr>
        <w:pStyle w:val="Bezproreda"/>
        <w:jc w:val="center"/>
      </w:pPr>
      <w:r>
        <w:t xml:space="preserve">Graf </w:t>
      </w:r>
      <w:r w:rsidR="00751C19">
        <w:fldChar w:fldCharType="begin"/>
      </w:r>
      <w:r w:rsidR="00751C19">
        <w:instrText xml:space="preserve"> SEQ Graf \* ARABIC </w:instrText>
      </w:r>
      <w:r w:rsidR="00751C19">
        <w:fldChar w:fldCharType="separate"/>
      </w:r>
      <w:r w:rsidR="00DE17C9">
        <w:rPr>
          <w:noProof/>
        </w:rPr>
        <w:t>5</w:t>
      </w:r>
      <w:r w:rsidR="00751C19">
        <w:rPr>
          <w:noProof/>
        </w:rPr>
        <w:fldChar w:fldCharType="end"/>
      </w:r>
      <w:r>
        <w:t>.</w:t>
      </w:r>
      <w:r w:rsidR="00ED75AB">
        <w:t xml:space="preserve"> </w:t>
      </w:r>
      <w:r w:rsidR="000E7548" w:rsidRPr="000E7548">
        <w:t>Srednja godišnja temperatura zraka za postaju Zagreb-Grič u razdoblju 1862. - 2019. godina.</w:t>
      </w:r>
      <w:r w:rsidR="00034784">
        <w:rPr>
          <w:noProof/>
        </w:rPr>
        <w:drawing>
          <wp:inline distT="0" distB="0" distL="0" distR="0" wp14:anchorId="633490B6" wp14:editId="7CFF2A6B">
            <wp:extent cx="5715000" cy="34290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gg_s2019.gif"/>
                    <pic:cNvPicPr/>
                  </pic:nvPicPr>
                  <pic:blipFill>
                    <a:blip r:embed="rId54">
                      <a:extLst>
                        <a:ext uri="{28A0092B-C50C-407E-A947-70E740481C1C}">
                          <a14:useLocalDpi xmlns:a14="http://schemas.microsoft.com/office/drawing/2010/main" val="0"/>
                        </a:ext>
                      </a:extLst>
                    </a:blip>
                    <a:stretch>
                      <a:fillRect/>
                    </a:stretch>
                  </pic:blipFill>
                  <pic:spPr>
                    <a:xfrm>
                      <a:off x="0" y="0"/>
                      <a:ext cx="5715000" cy="3429000"/>
                    </a:xfrm>
                    <a:prstGeom prst="rect">
                      <a:avLst/>
                    </a:prstGeom>
                    <a:ln>
                      <a:solidFill>
                        <a:schemeClr val="tx1"/>
                      </a:solidFill>
                    </a:ln>
                  </pic:spPr>
                </pic:pic>
              </a:graphicData>
            </a:graphic>
          </wp:inline>
        </w:drawing>
      </w:r>
    </w:p>
    <w:p w14:paraId="7BFAA542" w14:textId="31629883" w:rsidR="00861272" w:rsidRDefault="00861272" w:rsidP="00861272">
      <w:pPr>
        <w:pStyle w:val="Bezproreda"/>
        <w:jc w:val="both"/>
      </w:pPr>
      <w:r>
        <w:t xml:space="preserve">Izvor: DHMZ, </w:t>
      </w:r>
      <w:hyperlink r:id="rId55" w:history="1">
        <w:r w:rsidRPr="00E259B3">
          <w:rPr>
            <w:rStyle w:val="Hiperveza"/>
          </w:rPr>
          <w:t>www.meteo.hr</w:t>
        </w:r>
      </w:hyperlink>
    </w:p>
    <w:p w14:paraId="14AD7829" w14:textId="77777777" w:rsidR="00861272" w:rsidRDefault="00861272" w:rsidP="00861272">
      <w:pPr>
        <w:pStyle w:val="Bezproreda"/>
        <w:jc w:val="both"/>
      </w:pPr>
    </w:p>
    <w:p w14:paraId="413BAE9F" w14:textId="77777777" w:rsidR="00034784" w:rsidRPr="001F632C" w:rsidRDefault="00034784" w:rsidP="00034784">
      <w:pPr>
        <w:pStyle w:val="Bezproreda"/>
        <w:jc w:val="both"/>
        <w:rPr>
          <w:rFonts w:cs="Calibri"/>
          <w:bCs/>
          <w:lang w:eastAsia="hr-HR"/>
        </w:rPr>
      </w:pPr>
      <w:r w:rsidRPr="001F632C">
        <w:rPr>
          <w:rFonts w:cs="Calibri"/>
          <w:bCs/>
          <w:lang w:eastAsia="hr-HR"/>
        </w:rPr>
        <w:t>Očigledan je i dalje pozitivan trend srednje godišnje temperature zraka (1,1 °C/100 god) za Zagreb-Grič. Navedeno ukazuje na činjenicu da temperatura zraka u Hrvatskoj i dalje prati trend globalnog zatopljenja s izvjesnim međugodišnjim kolebanjima</w:t>
      </w:r>
      <w:r w:rsidRPr="00371CD4">
        <w:rPr>
          <w:rFonts w:cs="Calibri"/>
          <w:bCs/>
          <w:vertAlign w:val="superscript"/>
          <w:lang w:eastAsia="hr-HR"/>
        </w:rPr>
        <w:footnoteReference w:id="63"/>
      </w:r>
      <w:r w:rsidRPr="001F632C">
        <w:rPr>
          <w:rFonts w:cs="Calibri"/>
          <w:bCs/>
          <w:lang w:eastAsia="hr-HR"/>
        </w:rPr>
        <w:t xml:space="preserve">. </w:t>
      </w:r>
    </w:p>
    <w:p w14:paraId="29A6DF68" w14:textId="77777777" w:rsidR="00034784" w:rsidRPr="001F632C" w:rsidRDefault="00034784" w:rsidP="00034784">
      <w:pPr>
        <w:pStyle w:val="Bezproreda"/>
        <w:jc w:val="both"/>
        <w:rPr>
          <w:rFonts w:cs="Calibri"/>
          <w:bCs/>
          <w:lang w:eastAsia="hr-HR"/>
        </w:rPr>
      </w:pPr>
    </w:p>
    <w:p w14:paraId="01D563DD" w14:textId="77777777" w:rsidR="00034784" w:rsidRPr="001F632C" w:rsidRDefault="00034784" w:rsidP="00034784">
      <w:pPr>
        <w:pStyle w:val="Bezproreda"/>
        <w:jc w:val="both"/>
        <w:rPr>
          <w:rFonts w:cs="Calibri"/>
          <w:bCs/>
          <w:lang w:eastAsia="hr-HR"/>
        </w:rPr>
      </w:pPr>
      <w:r w:rsidRPr="001F632C">
        <w:rPr>
          <w:rFonts w:cs="Calibri"/>
          <w:bCs/>
          <w:lang w:eastAsia="hr-HR"/>
        </w:rPr>
        <w:t>Kroz pripremu Akcijskog plana energetski održivog razvitka i prilagodbe klimatskim promjenama Grada Zagreba (Službeni glasnik Grada Zagreba 13/19), napravljena je analiza klimatskih promjena, rizika i ranjivosti.</w:t>
      </w:r>
      <w:r>
        <w:rPr>
          <w:rFonts w:cs="Calibri"/>
          <w:bCs/>
          <w:lang w:eastAsia="hr-HR"/>
        </w:rPr>
        <w:t xml:space="preserve"> </w:t>
      </w:r>
      <w:r w:rsidRPr="001F632C">
        <w:rPr>
          <w:rFonts w:cs="Calibri"/>
          <w:bCs/>
          <w:lang w:eastAsia="hr-HR"/>
        </w:rPr>
        <w:t>Kvalitativna ocjena rizika izloženosti klimatskim promjenama prema uputi iz Obrasca za izvještavanje Sporazuma gradonačelnika za energiju i klimu:</w:t>
      </w:r>
    </w:p>
    <w:p w14:paraId="7264C8E8" w14:textId="77777777" w:rsidR="00034784" w:rsidRDefault="00034784" w:rsidP="00034784">
      <w:pPr>
        <w:pStyle w:val="Bezproreda"/>
      </w:pPr>
    </w:p>
    <w:p w14:paraId="695D9FF4" w14:textId="16C7CF11" w:rsidR="000A7DCF" w:rsidRDefault="00ED75AB" w:rsidP="00ED75AB">
      <w:pPr>
        <w:pStyle w:val="Opisslike"/>
      </w:pPr>
      <w:r>
        <w:t xml:space="preserve">Tablica </w:t>
      </w:r>
      <w:r w:rsidR="00751C19">
        <w:fldChar w:fldCharType="begin"/>
      </w:r>
      <w:r w:rsidR="00751C19">
        <w:instrText xml:space="preserve"> SEQ Tablica \* ARABIC </w:instrText>
      </w:r>
      <w:r w:rsidR="00751C19">
        <w:fldChar w:fldCharType="separate"/>
      </w:r>
      <w:r w:rsidR="00803E25">
        <w:rPr>
          <w:noProof/>
        </w:rPr>
        <w:t>34</w:t>
      </w:r>
      <w:r w:rsidR="00751C19">
        <w:rPr>
          <w:noProof/>
        </w:rPr>
        <w:fldChar w:fldCharType="end"/>
      </w:r>
      <w:r>
        <w:t>. O</w:t>
      </w:r>
      <w:r w:rsidRPr="00A04060">
        <w:t>cjena rizika izloženosti klimatskim promjenama</w:t>
      </w:r>
    </w:p>
    <w:tbl>
      <w:tblPr>
        <w:tblStyle w:val="Reetkatablice"/>
        <w:tblW w:w="9720" w:type="dxa"/>
        <w:tblInd w:w="-95" w:type="dxa"/>
        <w:tblLook w:val="04A0" w:firstRow="1" w:lastRow="0" w:firstColumn="1" w:lastColumn="0" w:noHBand="0" w:noVBand="1"/>
      </w:tblPr>
      <w:tblGrid>
        <w:gridCol w:w="1931"/>
        <w:gridCol w:w="1710"/>
        <w:gridCol w:w="2029"/>
        <w:gridCol w:w="2160"/>
        <w:gridCol w:w="1890"/>
      </w:tblGrid>
      <w:tr w:rsidR="00034784" w:rsidRPr="00400308" w14:paraId="0D3BBFF6" w14:textId="77777777" w:rsidTr="00072476">
        <w:trPr>
          <w:trHeight w:val="305"/>
        </w:trPr>
        <w:tc>
          <w:tcPr>
            <w:tcW w:w="1931" w:type="dxa"/>
            <w:shd w:val="clear" w:color="auto" w:fill="D5DCE4" w:themeFill="text2" w:themeFillTint="33"/>
            <w:noWrap/>
            <w:hideMark/>
          </w:tcPr>
          <w:p w14:paraId="1F7C7242" w14:textId="77777777" w:rsidR="00034784" w:rsidRPr="00400308" w:rsidRDefault="00034784" w:rsidP="00072476">
            <w:pPr>
              <w:jc w:val="both"/>
              <w:rPr>
                <w:rFonts w:cstheme="minorHAnsi"/>
                <w:b/>
                <w:bCs/>
                <w:sz w:val="18"/>
              </w:rPr>
            </w:pPr>
            <w:r w:rsidRPr="00400308">
              <w:rPr>
                <w:rFonts w:cstheme="minorHAnsi"/>
                <w:b/>
                <w:bCs/>
                <w:sz w:val="18"/>
              </w:rPr>
              <w:t> </w:t>
            </w:r>
          </w:p>
        </w:tc>
        <w:tc>
          <w:tcPr>
            <w:tcW w:w="1710" w:type="dxa"/>
            <w:shd w:val="clear" w:color="auto" w:fill="D5DCE4" w:themeFill="text2" w:themeFillTint="33"/>
            <w:noWrap/>
            <w:hideMark/>
          </w:tcPr>
          <w:p w14:paraId="04380FD8" w14:textId="77777777" w:rsidR="00034784" w:rsidRPr="00400308" w:rsidRDefault="00034784" w:rsidP="00072476">
            <w:pPr>
              <w:jc w:val="center"/>
              <w:rPr>
                <w:rFonts w:cstheme="minorHAnsi"/>
                <w:b/>
                <w:bCs/>
                <w:sz w:val="18"/>
              </w:rPr>
            </w:pPr>
            <w:r w:rsidRPr="00400308">
              <w:rPr>
                <w:rFonts w:cstheme="minorHAnsi"/>
                <w:b/>
                <w:bCs/>
                <w:sz w:val="18"/>
              </w:rPr>
              <w:t>Trenutni rizici</w:t>
            </w:r>
          </w:p>
        </w:tc>
        <w:tc>
          <w:tcPr>
            <w:tcW w:w="6079" w:type="dxa"/>
            <w:gridSpan w:val="3"/>
            <w:shd w:val="clear" w:color="auto" w:fill="D5DCE4" w:themeFill="text2" w:themeFillTint="33"/>
            <w:noWrap/>
            <w:hideMark/>
          </w:tcPr>
          <w:p w14:paraId="75C477FB" w14:textId="77777777" w:rsidR="00034784" w:rsidRPr="00400308" w:rsidRDefault="00034784" w:rsidP="00072476">
            <w:pPr>
              <w:jc w:val="center"/>
              <w:rPr>
                <w:rFonts w:cstheme="minorHAnsi"/>
                <w:b/>
                <w:bCs/>
                <w:sz w:val="18"/>
              </w:rPr>
            </w:pPr>
            <w:r w:rsidRPr="00400308">
              <w:rPr>
                <w:rFonts w:cstheme="minorHAnsi"/>
                <w:b/>
                <w:bCs/>
                <w:sz w:val="18"/>
              </w:rPr>
              <w:t>Predviđeni rizici</w:t>
            </w:r>
          </w:p>
        </w:tc>
      </w:tr>
      <w:tr w:rsidR="00034784" w:rsidRPr="00400308" w14:paraId="71E42A77" w14:textId="77777777" w:rsidTr="00072476">
        <w:trPr>
          <w:trHeight w:val="20"/>
        </w:trPr>
        <w:tc>
          <w:tcPr>
            <w:tcW w:w="1931" w:type="dxa"/>
            <w:shd w:val="clear" w:color="auto" w:fill="D5DCE4" w:themeFill="text2" w:themeFillTint="33"/>
            <w:hideMark/>
          </w:tcPr>
          <w:p w14:paraId="484009DF" w14:textId="0B66DA1A" w:rsidR="00034784" w:rsidRPr="00400308" w:rsidRDefault="00034784" w:rsidP="00072476">
            <w:pPr>
              <w:rPr>
                <w:rFonts w:cstheme="minorHAnsi"/>
                <w:b/>
                <w:bCs/>
                <w:sz w:val="18"/>
              </w:rPr>
            </w:pPr>
            <w:r w:rsidRPr="00400308">
              <w:rPr>
                <w:rFonts w:cstheme="minorHAnsi"/>
                <w:b/>
                <w:bCs/>
                <w:sz w:val="18"/>
              </w:rPr>
              <w:t>Vrsta klimatskog ekstr</w:t>
            </w:r>
            <w:r w:rsidR="00ED75AB">
              <w:rPr>
                <w:rFonts w:cstheme="minorHAnsi"/>
                <w:b/>
                <w:bCs/>
                <w:sz w:val="18"/>
              </w:rPr>
              <w:t>e</w:t>
            </w:r>
            <w:r w:rsidRPr="00400308">
              <w:rPr>
                <w:rFonts w:cstheme="minorHAnsi"/>
                <w:b/>
                <w:bCs/>
                <w:sz w:val="18"/>
              </w:rPr>
              <w:t>ma</w:t>
            </w:r>
          </w:p>
        </w:tc>
        <w:tc>
          <w:tcPr>
            <w:tcW w:w="1710" w:type="dxa"/>
            <w:shd w:val="clear" w:color="auto" w:fill="D5DCE4" w:themeFill="text2" w:themeFillTint="33"/>
            <w:hideMark/>
          </w:tcPr>
          <w:p w14:paraId="5BC7911E" w14:textId="77777777" w:rsidR="00034784" w:rsidRPr="00400308" w:rsidRDefault="00034784" w:rsidP="00072476">
            <w:pPr>
              <w:jc w:val="center"/>
              <w:rPr>
                <w:rFonts w:cstheme="minorHAnsi"/>
                <w:b/>
                <w:bCs/>
                <w:sz w:val="18"/>
              </w:rPr>
            </w:pPr>
            <w:r w:rsidRPr="00400308">
              <w:rPr>
                <w:rFonts w:cstheme="minorHAnsi"/>
                <w:b/>
                <w:bCs/>
                <w:sz w:val="18"/>
              </w:rPr>
              <w:t>Razina trenutnog rizika</w:t>
            </w:r>
          </w:p>
        </w:tc>
        <w:tc>
          <w:tcPr>
            <w:tcW w:w="2029" w:type="dxa"/>
            <w:shd w:val="clear" w:color="auto" w:fill="D5DCE4" w:themeFill="text2" w:themeFillTint="33"/>
            <w:vAlign w:val="center"/>
            <w:hideMark/>
          </w:tcPr>
          <w:p w14:paraId="12171553" w14:textId="77777777" w:rsidR="00034784" w:rsidRPr="00400308" w:rsidRDefault="00034784" w:rsidP="00072476">
            <w:pPr>
              <w:jc w:val="center"/>
              <w:rPr>
                <w:rFonts w:cstheme="minorHAnsi"/>
                <w:b/>
                <w:bCs/>
                <w:sz w:val="18"/>
              </w:rPr>
            </w:pPr>
            <w:r w:rsidRPr="00400308">
              <w:rPr>
                <w:rFonts w:cstheme="minorHAnsi"/>
                <w:b/>
                <w:bCs/>
                <w:sz w:val="18"/>
              </w:rPr>
              <w:t>Očekivana promjena intenziteta</w:t>
            </w:r>
          </w:p>
        </w:tc>
        <w:tc>
          <w:tcPr>
            <w:tcW w:w="2160" w:type="dxa"/>
            <w:shd w:val="clear" w:color="auto" w:fill="D5DCE4" w:themeFill="text2" w:themeFillTint="33"/>
            <w:vAlign w:val="center"/>
            <w:hideMark/>
          </w:tcPr>
          <w:p w14:paraId="1A99DA6F" w14:textId="77777777" w:rsidR="00034784" w:rsidRPr="00400308" w:rsidRDefault="00034784" w:rsidP="00072476">
            <w:pPr>
              <w:jc w:val="center"/>
              <w:rPr>
                <w:rFonts w:cstheme="minorHAnsi"/>
                <w:b/>
                <w:bCs/>
                <w:sz w:val="18"/>
              </w:rPr>
            </w:pPr>
            <w:r w:rsidRPr="00400308">
              <w:rPr>
                <w:rFonts w:cstheme="minorHAnsi"/>
                <w:b/>
                <w:bCs/>
                <w:sz w:val="18"/>
              </w:rPr>
              <w:t>Očekivana promjena učestalosti</w:t>
            </w:r>
          </w:p>
        </w:tc>
        <w:tc>
          <w:tcPr>
            <w:tcW w:w="1890" w:type="dxa"/>
            <w:shd w:val="clear" w:color="auto" w:fill="D5DCE4" w:themeFill="text2" w:themeFillTint="33"/>
            <w:vAlign w:val="center"/>
            <w:hideMark/>
          </w:tcPr>
          <w:p w14:paraId="1B5DA087" w14:textId="77777777" w:rsidR="00034784" w:rsidRPr="00400308" w:rsidRDefault="00034784" w:rsidP="00072476">
            <w:pPr>
              <w:jc w:val="center"/>
              <w:rPr>
                <w:rFonts w:cstheme="minorHAnsi"/>
                <w:b/>
                <w:bCs/>
                <w:sz w:val="18"/>
              </w:rPr>
            </w:pPr>
            <w:r w:rsidRPr="00400308">
              <w:rPr>
                <w:rFonts w:cstheme="minorHAnsi"/>
                <w:b/>
                <w:bCs/>
                <w:sz w:val="18"/>
              </w:rPr>
              <w:t>Vremenski period</w:t>
            </w:r>
          </w:p>
        </w:tc>
      </w:tr>
      <w:tr w:rsidR="00034784" w:rsidRPr="00400308" w14:paraId="79DA5436" w14:textId="77777777" w:rsidTr="00072476">
        <w:trPr>
          <w:trHeight w:val="20"/>
        </w:trPr>
        <w:tc>
          <w:tcPr>
            <w:tcW w:w="1931" w:type="dxa"/>
            <w:shd w:val="clear" w:color="auto" w:fill="FBE4D5" w:themeFill="accent2" w:themeFillTint="33"/>
            <w:hideMark/>
          </w:tcPr>
          <w:p w14:paraId="593E05C0" w14:textId="77777777" w:rsidR="00034784" w:rsidRPr="00400308" w:rsidRDefault="00034784" w:rsidP="00072476">
            <w:pPr>
              <w:rPr>
                <w:rFonts w:cstheme="minorHAnsi"/>
                <w:b/>
                <w:bCs/>
                <w:sz w:val="18"/>
              </w:rPr>
            </w:pPr>
            <w:r w:rsidRPr="00400308">
              <w:rPr>
                <w:rFonts w:cstheme="minorHAnsi"/>
                <w:b/>
                <w:bCs/>
                <w:sz w:val="18"/>
              </w:rPr>
              <w:t>Ekstremna vrućina</w:t>
            </w:r>
          </w:p>
        </w:tc>
        <w:tc>
          <w:tcPr>
            <w:tcW w:w="1710" w:type="dxa"/>
            <w:vAlign w:val="center"/>
            <w:hideMark/>
          </w:tcPr>
          <w:p w14:paraId="3B6F6D98" w14:textId="77777777" w:rsidR="00034784" w:rsidRPr="00400308" w:rsidRDefault="00034784" w:rsidP="00072476">
            <w:pPr>
              <w:jc w:val="center"/>
              <w:rPr>
                <w:rFonts w:cstheme="minorHAnsi"/>
                <w:b/>
                <w:sz w:val="18"/>
              </w:rPr>
            </w:pPr>
            <w:r w:rsidRPr="00400308">
              <w:rPr>
                <w:rFonts w:cstheme="minorHAnsi"/>
                <w:b/>
                <w:sz w:val="18"/>
              </w:rPr>
              <w:t>Visoka</w:t>
            </w:r>
          </w:p>
        </w:tc>
        <w:tc>
          <w:tcPr>
            <w:tcW w:w="2029" w:type="dxa"/>
            <w:vAlign w:val="center"/>
            <w:hideMark/>
          </w:tcPr>
          <w:p w14:paraId="3CCC27B3"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7F1BE2CD" w14:textId="77777777" w:rsidR="00034784" w:rsidRPr="00400308" w:rsidRDefault="00034784" w:rsidP="00072476">
            <w:pPr>
              <w:jc w:val="center"/>
              <w:rPr>
                <w:rFonts w:cstheme="minorHAnsi"/>
                <w:sz w:val="18"/>
              </w:rPr>
            </w:pPr>
            <w:r w:rsidRPr="00400308">
              <w:rPr>
                <w:rFonts w:cstheme="minorHAnsi"/>
                <w:sz w:val="18"/>
              </w:rPr>
              <w:t>Povećanje</w:t>
            </w:r>
          </w:p>
        </w:tc>
        <w:tc>
          <w:tcPr>
            <w:tcW w:w="1890" w:type="dxa"/>
            <w:vAlign w:val="center"/>
            <w:hideMark/>
          </w:tcPr>
          <w:p w14:paraId="6BD8DE70" w14:textId="77777777" w:rsidR="00034784" w:rsidRPr="00400308" w:rsidRDefault="00034784" w:rsidP="00072476">
            <w:pPr>
              <w:rPr>
                <w:rFonts w:cstheme="minorHAnsi"/>
                <w:sz w:val="18"/>
              </w:rPr>
            </w:pPr>
            <w:r w:rsidRPr="00400308">
              <w:rPr>
                <w:rFonts w:cstheme="minorHAnsi"/>
                <w:sz w:val="18"/>
              </w:rPr>
              <w:t>Trenutni rizik</w:t>
            </w:r>
          </w:p>
        </w:tc>
      </w:tr>
      <w:tr w:rsidR="00034784" w:rsidRPr="00400308" w14:paraId="7EE0FFCC" w14:textId="77777777" w:rsidTr="00072476">
        <w:trPr>
          <w:trHeight w:val="20"/>
        </w:trPr>
        <w:tc>
          <w:tcPr>
            <w:tcW w:w="1931" w:type="dxa"/>
            <w:shd w:val="clear" w:color="auto" w:fill="FBE4D5" w:themeFill="accent2" w:themeFillTint="33"/>
            <w:hideMark/>
          </w:tcPr>
          <w:p w14:paraId="47DDA09D" w14:textId="77777777" w:rsidR="00034784" w:rsidRPr="00400308" w:rsidRDefault="00034784" w:rsidP="00072476">
            <w:pPr>
              <w:rPr>
                <w:rFonts w:cstheme="minorHAnsi"/>
                <w:b/>
                <w:bCs/>
                <w:sz w:val="18"/>
              </w:rPr>
            </w:pPr>
            <w:r w:rsidRPr="00400308">
              <w:rPr>
                <w:rFonts w:cstheme="minorHAnsi"/>
                <w:b/>
                <w:bCs/>
                <w:sz w:val="18"/>
              </w:rPr>
              <w:t>Ekstremna hladnoća</w:t>
            </w:r>
          </w:p>
        </w:tc>
        <w:tc>
          <w:tcPr>
            <w:tcW w:w="1710" w:type="dxa"/>
            <w:vAlign w:val="center"/>
            <w:hideMark/>
          </w:tcPr>
          <w:p w14:paraId="1C6790C3" w14:textId="77777777" w:rsidR="00034784" w:rsidRPr="00400308" w:rsidRDefault="00034784" w:rsidP="00072476">
            <w:pPr>
              <w:jc w:val="center"/>
              <w:rPr>
                <w:rFonts w:cstheme="minorHAnsi"/>
                <w:b/>
                <w:sz w:val="18"/>
              </w:rPr>
            </w:pPr>
            <w:r w:rsidRPr="00400308">
              <w:rPr>
                <w:rFonts w:cstheme="minorHAnsi"/>
                <w:b/>
                <w:sz w:val="18"/>
              </w:rPr>
              <w:t>Visoka</w:t>
            </w:r>
          </w:p>
        </w:tc>
        <w:tc>
          <w:tcPr>
            <w:tcW w:w="2029" w:type="dxa"/>
            <w:vAlign w:val="center"/>
            <w:hideMark/>
          </w:tcPr>
          <w:p w14:paraId="4C2947A1"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66ADCD91" w14:textId="77777777" w:rsidR="00034784" w:rsidRPr="00400308" w:rsidRDefault="00034784" w:rsidP="00072476">
            <w:pPr>
              <w:jc w:val="center"/>
              <w:rPr>
                <w:rFonts w:cstheme="minorHAnsi"/>
                <w:sz w:val="18"/>
              </w:rPr>
            </w:pPr>
            <w:r w:rsidRPr="00400308">
              <w:rPr>
                <w:rFonts w:cstheme="minorHAnsi"/>
                <w:sz w:val="18"/>
              </w:rPr>
              <w:t>Povećanje</w:t>
            </w:r>
          </w:p>
        </w:tc>
        <w:tc>
          <w:tcPr>
            <w:tcW w:w="1890" w:type="dxa"/>
            <w:vAlign w:val="center"/>
            <w:hideMark/>
          </w:tcPr>
          <w:p w14:paraId="34B42AF6" w14:textId="77777777" w:rsidR="00034784" w:rsidRPr="00400308" w:rsidRDefault="00034784" w:rsidP="00072476">
            <w:pPr>
              <w:rPr>
                <w:rFonts w:cstheme="minorHAnsi"/>
                <w:sz w:val="18"/>
              </w:rPr>
            </w:pPr>
            <w:r w:rsidRPr="00400308">
              <w:rPr>
                <w:rFonts w:cstheme="minorHAnsi"/>
                <w:sz w:val="18"/>
              </w:rPr>
              <w:t>Trenutni rizik</w:t>
            </w:r>
          </w:p>
        </w:tc>
      </w:tr>
      <w:tr w:rsidR="00034784" w:rsidRPr="00400308" w14:paraId="47BFFE88" w14:textId="77777777" w:rsidTr="00072476">
        <w:trPr>
          <w:trHeight w:val="20"/>
        </w:trPr>
        <w:tc>
          <w:tcPr>
            <w:tcW w:w="1931" w:type="dxa"/>
            <w:shd w:val="clear" w:color="auto" w:fill="FBE4D5" w:themeFill="accent2" w:themeFillTint="33"/>
            <w:hideMark/>
          </w:tcPr>
          <w:p w14:paraId="18C22C8C" w14:textId="77777777" w:rsidR="00034784" w:rsidRPr="00400308" w:rsidRDefault="00034784" w:rsidP="00072476">
            <w:pPr>
              <w:rPr>
                <w:rFonts w:cstheme="minorHAnsi"/>
                <w:b/>
                <w:bCs/>
                <w:sz w:val="18"/>
              </w:rPr>
            </w:pPr>
            <w:r w:rsidRPr="00400308">
              <w:rPr>
                <w:rFonts w:cstheme="minorHAnsi"/>
                <w:b/>
                <w:bCs/>
                <w:sz w:val="18"/>
              </w:rPr>
              <w:t>Ekstremna vlažnost zraka</w:t>
            </w:r>
          </w:p>
        </w:tc>
        <w:tc>
          <w:tcPr>
            <w:tcW w:w="1710" w:type="dxa"/>
            <w:vAlign w:val="center"/>
            <w:hideMark/>
          </w:tcPr>
          <w:p w14:paraId="6C33BF03" w14:textId="77777777" w:rsidR="00034784" w:rsidRPr="00400308" w:rsidRDefault="00034784" w:rsidP="00072476">
            <w:pPr>
              <w:jc w:val="center"/>
              <w:rPr>
                <w:rFonts w:cstheme="minorHAnsi"/>
                <w:b/>
                <w:sz w:val="18"/>
              </w:rPr>
            </w:pPr>
            <w:r w:rsidRPr="00400308">
              <w:rPr>
                <w:rFonts w:cstheme="minorHAnsi"/>
                <w:b/>
                <w:sz w:val="18"/>
              </w:rPr>
              <w:t>Umjerena</w:t>
            </w:r>
          </w:p>
        </w:tc>
        <w:tc>
          <w:tcPr>
            <w:tcW w:w="2029" w:type="dxa"/>
            <w:vAlign w:val="center"/>
            <w:hideMark/>
          </w:tcPr>
          <w:p w14:paraId="1833D339"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173AF25F" w14:textId="77777777" w:rsidR="00034784" w:rsidRPr="00400308" w:rsidRDefault="00034784" w:rsidP="00072476">
            <w:pPr>
              <w:jc w:val="center"/>
              <w:rPr>
                <w:rFonts w:cstheme="minorHAnsi"/>
                <w:sz w:val="18"/>
              </w:rPr>
            </w:pPr>
            <w:r w:rsidRPr="00400308">
              <w:rPr>
                <w:rFonts w:cstheme="minorHAnsi"/>
                <w:sz w:val="18"/>
              </w:rPr>
              <w:t>Povećanje</w:t>
            </w:r>
          </w:p>
        </w:tc>
        <w:tc>
          <w:tcPr>
            <w:tcW w:w="1890" w:type="dxa"/>
            <w:vAlign w:val="center"/>
            <w:hideMark/>
          </w:tcPr>
          <w:p w14:paraId="4B70F6FC" w14:textId="77777777" w:rsidR="00034784" w:rsidRPr="00400308" w:rsidRDefault="00034784" w:rsidP="00072476">
            <w:pPr>
              <w:rPr>
                <w:rFonts w:cstheme="minorHAnsi"/>
                <w:sz w:val="18"/>
              </w:rPr>
            </w:pPr>
            <w:r w:rsidRPr="00400308">
              <w:rPr>
                <w:rFonts w:cstheme="minorHAnsi"/>
                <w:sz w:val="18"/>
              </w:rPr>
              <w:t>Trenutni rizik</w:t>
            </w:r>
          </w:p>
        </w:tc>
      </w:tr>
      <w:tr w:rsidR="00034784" w:rsidRPr="00400308" w14:paraId="36365F55" w14:textId="77777777" w:rsidTr="00072476">
        <w:trPr>
          <w:trHeight w:val="602"/>
        </w:trPr>
        <w:tc>
          <w:tcPr>
            <w:tcW w:w="1931" w:type="dxa"/>
            <w:shd w:val="clear" w:color="auto" w:fill="FBE4D5" w:themeFill="accent2" w:themeFillTint="33"/>
            <w:hideMark/>
          </w:tcPr>
          <w:p w14:paraId="2B949135" w14:textId="77777777" w:rsidR="00034784" w:rsidRPr="00400308" w:rsidRDefault="00034784" w:rsidP="00072476">
            <w:pPr>
              <w:rPr>
                <w:rFonts w:cstheme="minorHAnsi"/>
                <w:b/>
                <w:bCs/>
                <w:sz w:val="18"/>
              </w:rPr>
            </w:pPr>
            <w:r w:rsidRPr="00400308">
              <w:rPr>
                <w:rFonts w:cstheme="minorHAnsi"/>
                <w:b/>
                <w:bCs/>
                <w:sz w:val="18"/>
              </w:rPr>
              <w:t>Poplave</w:t>
            </w:r>
          </w:p>
        </w:tc>
        <w:tc>
          <w:tcPr>
            <w:tcW w:w="1710" w:type="dxa"/>
            <w:vAlign w:val="center"/>
            <w:hideMark/>
          </w:tcPr>
          <w:p w14:paraId="7D936402" w14:textId="77777777" w:rsidR="00034784" w:rsidRPr="00400308" w:rsidRDefault="00034784" w:rsidP="00072476">
            <w:pPr>
              <w:jc w:val="center"/>
              <w:rPr>
                <w:rFonts w:cstheme="minorHAnsi"/>
                <w:b/>
                <w:sz w:val="18"/>
              </w:rPr>
            </w:pPr>
            <w:r w:rsidRPr="00400308">
              <w:rPr>
                <w:rFonts w:cstheme="minorHAnsi"/>
                <w:b/>
                <w:sz w:val="18"/>
              </w:rPr>
              <w:t>Niska</w:t>
            </w:r>
          </w:p>
        </w:tc>
        <w:tc>
          <w:tcPr>
            <w:tcW w:w="2029" w:type="dxa"/>
            <w:vAlign w:val="center"/>
            <w:hideMark/>
          </w:tcPr>
          <w:p w14:paraId="1A70A50D"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6E78B52B" w14:textId="77777777" w:rsidR="00034784" w:rsidRPr="00400308" w:rsidRDefault="00034784" w:rsidP="00072476">
            <w:pPr>
              <w:jc w:val="center"/>
              <w:rPr>
                <w:rFonts w:cstheme="minorHAnsi"/>
                <w:sz w:val="18"/>
              </w:rPr>
            </w:pPr>
            <w:r w:rsidRPr="00400308">
              <w:rPr>
                <w:rFonts w:cstheme="minorHAnsi"/>
                <w:sz w:val="18"/>
              </w:rPr>
              <w:t>Povećanje</w:t>
            </w:r>
          </w:p>
        </w:tc>
        <w:tc>
          <w:tcPr>
            <w:tcW w:w="1890" w:type="dxa"/>
            <w:vAlign w:val="center"/>
            <w:hideMark/>
          </w:tcPr>
          <w:p w14:paraId="27CB1D78" w14:textId="77777777" w:rsidR="00034784" w:rsidRPr="00400308" w:rsidRDefault="00034784" w:rsidP="00072476">
            <w:pPr>
              <w:rPr>
                <w:rFonts w:cstheme="minorHAnsi"/>
                <w:sz w:val="18"/>
              </w:rPr>
            </w:pPr>
            <w:r w:rsidRPr="00400308">
              <w:rPr>
                <w:rFonts w:cstheme="minorHAnsi"/>
                <w:sz w:val="18"/>
              </w:rPr>
              <w:t>Rizik u dugoročnom periodu</w:t>
            </w:r>
          </w:p>
        </w:tc>
      </w:tr>
      <w:tr w:rsidR="00034784" w:rsidRPr="00400308" w14:paraId="6C807316" w14:textId="77777777" w:rsidTr="00072476">
        <w:trPr>
          <w:trHeight w:val="20"/>
        </w:trPr>
        <w:tc>
          <w:tcPr>
            <w:tcW w:w="1931" w:type="dxa"/>
            <w:shd w:val="clear" w:color="auto" w:fill="FBE4D5" w:themeFill="accent2" w:themeFillTint="33"/>
            <w:hideMark/>
          </w:tcPr>
          <w:p w14:paraId="5EF41871" w14:textId="77777777" w:rsidR="00034784" w:rsidRPr="00400308" w:rsidRDefault="00034784" w:rsidP="00072476">
            <w:pPr>
              <w:rPr>
                <w:rFonts w:cstheme="minorHAnsi"/>
                <w:b/>
                <w:bCs/>
                <w:sz w:val="18"/>
              </w:rPr>
            </w:pPr>
            <w:r w:rsidRPr="00400308">
              <w:rPr>
                <w:rFonts w:cstheme="minorHAnsi"/>
                <w:b/>
                <w:bCs/>
                <w:sz w:val="18"/>
              </w:rPr>
              <w:t>Promjena razine more</w:t>
            </w:r>
          </w:p>
        </w:tc>
        <w:tc>
          <w:tcPr>
            <w:tcW w:w="1710" w:type="dxa"/>
            <w:vAlign w:val="center"/>
            <w:hideMark/>
          </w:tcPr>
          <w:p w14:paraId="555A9BB7" w14:textId="77777777" w:rsidR="00034784" w:rsidRPr="00400308" w:rsidRDefault="00034784" w:rsidP="00072476">
            <w:pPr>
              <w:jc w:val="center"/>
              <w:rPr>
                <w:rFonts w:cstheme="minorHAnsi"/>
                <w:b/>
                <w:sz w:val="18"/>
              </w:rPr>
            </w:pPr>
            <w:r w:rsidRPr="00400308">
              <w:rPr>
                <w:rFonts w:cstheme="minorHAnsi"/>
                <w:b/>
                <w:sz w:val="18"/>
              </w:rPr>
              <w:t>Nema rizika</w:t>
            </w:r>
          </w:p>
        </w:tc>
        <w:tc>
          <w:tcPr>
            <w:tcW w:w="2029" w:type="dxa"/>
            <w:vAlign w:val="center"/>
            <w:hideMark/>
          </w:tcPr>
          <w:p w14:paraId="10148E34" w14:textId="77777777" w:rsidR="00034784" w:rsidRPr="00400308" w:rsidRDefault="00034784" w:rsidP="00072476">
            <w:pPr>
              <w:jc w:val="center"/>
              <w:rPr>
                <w:rFonts w:cstheme="minorHAnsi"/>
                <w:sz w:val="18"/>
              </w:rPr>
            </w:pPr>
            <w:r w:rsidRPr="00400308">
              <w:rPr>
                <w:rFonts w:cstheme="minorHAnsi"/>
                <w:sz w:val="18"/>
              </w:rPr>
              <w:t>Bez promjene</w:t>
            </w:r>
          </w:p>
        </w:tc>
        <w:tc>
          <w:tcPr>
            <w:tcW w:w="2160" w:type="dxa"/>
            <w:vAlign w:val="center"/>
            <w:hideMark/>
          </w:tcPr>
          <w:p w14:paraId="7FA028BE" w14:textId="77777777" w:rsidR="00034784" w:rsidRPr="00400308" w:rsidRDefault="00034784" w:rsidP="00072476">
            <w:pPr>
              <w:jc w:val="center"/>
              <w:rPr>
                <w:rFonts w:cstheme="minorHAnsi"/>
                <w:sz w:val="18"/>
              </w:rPr>
            </w:pPr>
            <w:r w:rsidRPr="00400308">
              <w:rPr>
                <w:rFonts w:cstheme="minorHAnsi"/>
                <w:sz w:val="18"/>
              </w:rPr>
              <w:t>Bez promjene</w:t>
            </w:r>
          </w:p>
        </w:tc>
        <w:tc>
          <w:tcPr>
            <w:tcW w:w="1890" w:type="dxa"/>
            <w:vAlign w:val="center"/>
            <w:hideMark/>
          </w:tcPr>
          <w:p w14:paraId="3E4808A5" w14:textId="77777777" w:rsidR="00034784" w:rsidRPr="00400308" w:rsidRDefault="00034784" w:rsidP="00072476">
            <w:pPr>
              <w:rPr>
                <w:rFonts w:cstheme="minorHAnsi"/>
                <w:sz w:val="18"/>
              </w:rPr>
            </w:pPr>
            <w:r w:rsidRPr="00400308">
              <w:rPr>
                <w:rFonts w:cstheme="minorHAnsi"/>
                <w:sz w:val="18"/>
              </w:rPr>
              <w:t>Nema rizika</w:t>
            </w:r>
          </w:p>
        </w:tc>
      </w:tr>
      <w:tr w:rsidR="00034784" w:rsidRPr="00400308" w14:paraId="1FB43B9A" w14:textId="77777777" w:rsidTr="00072476">
        <w:trPr>
          <w:trHeight w:val="20"/>
        </w:trPr>
        <w:tc>
          <w:tcPr>
            <w:tcW w:w="1931" w:type="dxa"/>
            <w:shd w:val="clear" w:color="auto" w:fill="FBE4D5" w:themeFill="accent2" w:themeFillTint="33"/>
            <w:hideMark/>
          </w:tcPr>
          <w:p w14:paraId="16CC0855" w14:textId="77777777" w:rsidR="00034784" w:rsidRPr="00400308" w:rsidRDefault="00034784" w:rsidP="00072476">
            <w:pPr>
              <w:rPr>
                <w:rFonts w:cstheme="minorHAnsi"/>
                <w:b/>
                <w:bCs/>
                <w:sz w:val="18"/>
              </w:rPr>
            </w:pPr>
            <w:r w:rsidRPr="00400308">
              <w:rPr>
                <w:rFonts w:cstheme="minorHAnsi"/>
                <w:b/>
                <w:bCs/>
                <w:sz w:val="18"/>
              </w:rPr>
              <w:t>Suše</w:t>
            </w:r>
          </w:p>
        </w:tc>
        <w:tc>
          <w:tcPr>
            <w:tcW w:w="1710" w:type="dxa"/>
            <w:vAlign w:val="center"/>
            <w:hideMark/>
          </w:tcPr>
          <w:p w14:paraId="2C6869BD" w14:textId="77777777" w:rsidR="00034784" w:rsidRPr="00400308" w:rsidRDefault="00034784" w:rsidP="00072476">
            <w:pPr>
              <w:jc w:val="center"/>
              <w:rPr>
                <w:rFonts w:cstheme="minorHAnsi"/>
                <w:b/>
                <w:sz w:val="18"/>
              </w:rPr>
            </w:pPr>
            <w:r w:rsidRPr="00400308">
              <w:rPr>
                <w:rFonts w:cstheme="minorHAnsi"/>
                <w:b/>
                <w:sz w:val="18"/>
              </w:rPr>
              <w:t>Visoka</w:t>
            </w:r>
          </w:p>
        </w:tc>
        <w:tc>
          <w:tcPr>
            <w:tcW w:w="2029" w:type="dxa"/>
            <w:vAlign w:val="center"/>
            <w:hideMark/>
          </w:tcPr>
          <w:p w14:paraId="3CAD4EBA"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5FB211F5" w14:textId="77777777" w:rsidR="00034784" w:rsidRPr="00400308" w:rsidRDefault="00034784" w:rsidP="00072476">
            <w:pPr>
              <w:jc w:val="center"/>
              <w:rPr>
                <w:rFonts w:cstheme="minorHAnsi"/>
                <w:sz w:val="18"/>
              </w:rPr>
            </w:pPr>
            <w:r w:rsidRPr="00400308">
              <w:rPr>
                <w:rFonts w:cstheme="minorHAnsi"/>
                <w:sz w:val="18"/>
              </w:rPr>
              <w:t>Povećanje</w:t>
            </w:r>
          </w:p>
        </w:tc>
        <w:tc>
          <w:tcPr>
            <w:tcW w:w="1890" w:type="dxa"/>
            <w:vAlign w:val="center"/>
            <w:hideMark/>
          </w:tcPr>
          <w:p w14:paraId="4D67BC6B" w14:textId="77777777" w:rsidR="00034784" w:rsidRPr="00400308" w:rsidRDefault="00034784" w:rsidP="00072476">
            <w:pPr>
              <w:rPr>
                <w:rFonts w:cstheme="minorHAnsi"/>
                <w:sz w:val="18"/>
              </w:rPr>
            </w:pPr>
            <w:r w:rsidRPr="00400308">
              <w:rPr>
                <w:rFonts w:cstheme="minorHAnsi"/>
                <w:sz w:val="18"/>
              </w:rPr>
              <w:t>Trenutni rizik</w:t>
            </w:r>
          </w:p>
        </w:tc>
      </w:tr>
      <w:tr w:rsidR="00034784" w:rsidRPr="00400308" w14:paraId="28E17275" w14:textId="77777777" w:rsidTr="00072476">
        <w:trPr>
          <w:trHeight w:val="20"/>
        </w:trPr>
        <w:tc>
          <w:tcPr>
            <w:tcW w:w="1931" w:type="dxa"/>
            <w:shd w:val="clear" w:color="auto" w:fill="FBE4D5" w:themeFill="accent2" w:themeFillTint="33"/>
            <w:hideMark/>
          </w:tcPr>
          <w:p w14:paraId="605F378B" w14:textId="77777777" w:rsidR="00034784" w:rsidRPr="00400308" w:rsidRDefault="00034784" w:rsidP="00072476">
            <w:pPr>
              <w:rPr>
                <w:rFonts w:cstheme="minorHAnsi"/>
                <w:b/>
                <w:bCs/>
                <w:sz w:val="18"/>
              </w:rPr>
            </w:pPr>
            <w:r w:rsidRPr="00400308">
              <w:rPr>
                <w:rFonts w:cstheme="minorHAnsi"/>
                <w:b/>
                <w:bCs/>
                <w:sz w:val="18"/>
              </w:rPr>
              <w:t xml:space="preserve">Oluje </w:t>
            </w:r>
          </w:p>
        </w:tc>
        <w:tc>
          <w:tcPr>
            <w:tcW w:w="1710" w:type="dxa"/>
            <w:vAlign w:val="center"/>
            <w:hideMark/>
          </w:tcPr>
          <w:p w14:paraId="3FE2BCF7" w14:textId="77777777" w:rsidR="00034784" w:rsidRPr="00400308" w:rsidRDefault="00034784" w:rsidP="00072476">
            <w:pPr>
              <w:jc w:val="center"/>
              <w:rPr>
                <w:rFonts w:cstheme="minorHAnsi"/>
                <w:b/>
                <w:sz w:val="18"/>
              </w:rPr>
            </w:pPr>
            <w:r w:rsidRPr="00400308">
              <w:rPr>
                <w:rFonts w:cstheme="minorHAnsi"/>
                <w:b/>
                <w:sz w:val="18"/>
              </w:rPr>
              <w:t>Visoka</w:t>
            </w:r>
          </w:p>
        </w:tc>
        <w:tc>
          <w:tcPr>
            <w:tcW w:w="2029" w:type="dxa"/>
            <w:vAlign w:val="center"/>
            <w:hideMark/>
          </w:tcPr>
          <w:p w14:paraId="78783807"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370A5EC0" w14:textId="77777777" w:rsidR="00034784" w:rsidRPr="00400308" w:rsidRDefault="00034784" w:rsidP="00072476">
            <w:pPr>
              <w:jc w:val="center"/>
              <w:rPr>
                <w:rFonts w:cstheme="minorHAnsi"/>
                <w:sz w:val="18"/>
              </w:rPr>
            </w:pPr>
            <w:r w:rsidRPr="00400308">
              <w:rPr>
                <w:rFonts w:cstheme="minorHAnsi"/>
                <w:sz w:val="18"/>
              </w:rPr>
              <w:t>Povećanje</w:t>
            </w:r>
          </w:p>
        </w:tc>
        <w:tc>
          <w:tcPr>
            <w:tcW w:w="1890" w:type="dxa"/>
            <w:vAlign w:val="center"/>
            <w:hideMark/>
          </w:tcPr>
          <w:p w14:paraId="23E1CF7B" w14:textId="77777777" w:rsidR="00034784" w:rsidRPr="00400308" w:rsidRDefault="00034784" w:rsidP="00072476">
            <w:pPr>
              <w:rPr>
                <w:rFonts w:cstheme="minorHAnsi"/>
                <w:sz w:val="18"/>
              </w:rPr>
            </w:pPr>
            <w:r w:rsidRPr="00400308">
              <w:rPr>
                <w:rFonts w:cstheme="minorHAnsi"/>
                <w:sz w:val="18"/>
              </w:rPr>
              <w:t>Trenutni rizik</w:t>
            </w:r>
          </w:p>
        </w:tc>
      </w:tr>
      <w:tr w:rsidR="00034784" w:rsidRPr="00400308" w14:paraId="260425A5" w14:textId="77777777" w:rsidTr="00072476">
        <w:trPr>
          <w:trHeight w:val="20"/>
        </w:trPr>
        <w:tc>
          <w:tcPr>
            <w:tcW w:w="1931" w:type="dxa"/>
            <w:shd w:val="clear" w:color="auto" w:fill="FBE4D5" w:themeFill="accent2" w:themeFillTint="33"/>
            <w:hideMark/>
          </w:tcPr>
          <w:p w14:paraId="6BF0C4FF" w14:textId="77777777" w:rsidR="00034784" w:rsidRPr="00400308" w:rsidRDefault="00034784" w:rsidP="00072476">
            <w:pPr>
              <w:rPr>
                <w:rFonts w:cstheme="minorHAnsi"/>
                <w:b/>
                <w:bCs/>
                <w:sz w:val="18"/>
              </w:rPr>
            </w:pPr>
            <w:r w:rsidRPr="00400308">
              <w:rPr>
                <w:rFonts w:cstheme="minorHAnsi"/>
                <w:b/>
                <w:bCs/>
                <w:sz w:val="18"/>
              </w:rPr>
              <w:t>Klizišta</w:t>
            </w:r>
          </w:p>
        </w:tc>
        <w:tc>
          <w:tcPr>
            <w:tcW w:w="1710" w:type="dxa"/>
            <w:vAlign w:val="center"/>
            <w:hideMark/>
          </w:tcPr>
          <w:p w14:paraId="0EC26A51" w14:textId="77777777" w:rsidR="00034784" w:rsidRPr="00400308" w:rsidRDefault="00034784" w:rsidP="00072476">
            <w:pPr>
              <w:jc w:val="center"/>
              <w:rPr>
                <w:rFonts w:cstheme="minorHAnsi"/>
                <w:b/>
                <w:sz w:val="18"/>
              </w:rPr>
            </w:pPr>
            <w:r w:rsidRPr="00400308">
              <w:rPr>
                <w:rFonts w:cstheme="minorHAnsi"/>
                <w:b/>
                <w:sz w:val="18"/>
              </w:rPr>
              <w:t>Visoka</w:t>
            </w:r>
          </w:p>
        </w:tc>
        <w:tc>
          <w:tcPr>
            <w:tcW w:w="2029" w:type="dxa"/>
            <w:vAlign w:val="center"/>
            <w:hideMark/>
          </w:tcPr>
          <w:p w14:paraId="53756CAF"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5AD74572" w14:textId="77777777" w:rsidR="00034784" w:rsidRPr="00400308" w:rsidRDefault="00034784" w:rsidP="00072476">
            <w:pPr>
              <w:jc w:val="center"/>
              <w:rPr>
                <w:rFonts w:cstheme="minorHAnsi"/>
                <w:sz w:val="18"/>
              </w:rPr>
            </w:pPr>
            <w:r w:rsidRPr="00400308">
              <w:rPr>
                <w:rFonts w:cstheme="minorHAnsi"/>
                <w:sz w:val="18"/>
              </w:rPr>
              <w:t>Povećanje</w:t>
            </w:r>
          </w:p>
        </w:tc>
        <w:tc>
          <w:tcPr>
            <w:tcW w:w="1890" w:type="dxa"/>
            <w:vAlign w:val="center"/>
            <w:hideMark/>
          </w:tcPr>
          <w:p w14:paraId="0F901862" w14:textId="77777777" w:rsidR="00034784" w:rsidRPr="00400308" w:rsidRDefault="00034784" w:rsidP="00072476">
            <w:pPr>
              <w:rPr>
                <w:rFonts w:cstheme="minorHAnsi"/>
                <w:sz w:val="18"/>
              </w:rPr>
            </w:pPr>
            <w:r w:rsidRPr="00400308">
              <w:rPr>
                <w:rFonts w:cstheme="minorHAnsi"/>
                <w:sz w:val="18"/>
              </w:rPr>
              <w:t>Trenutni rizik</w:t>
            </w:r>
          </w:p>
        </w:tc>
      </w:tr>
      <w:tr w:rsidR="00034784" w:rsidRPr="00400308" w14:paraId="040BC2FB" w14:textId="77777777" w:rsidTr="00072476">
        <w:trPr>
          <w:trHeight w:val="20"/>
        </w:trPr>
        <w:tc>
          <w:tcPr>
            <w:tcW w:w="1931" w:type="dxa"/>
            <w:shd w:val="clear" w:color="auto" w:fill="FBE4D5" w:themeFill="accent2" w:themeFillTint="33"/>
            <w:hideMark/>
          </w:tcPr>
          <w:p w14:paraId="0824EDB5" w14:textId="77777777" w:rsidR="00034784" w:rsidRPr="00400308" w:rsidRDefault="00034784" w:rsidP="00072476">
            <w:pPr>
              <w:rPr>
                <w:rFonts w:cstheme="minorHAnsi"/>
                <w:b/>
                <w:bCs/>
                <w:sz w:val="18"/>
              </w:rPr>
            </w:pPr>
            <w:r w:rsidRPr="00400308">
              <w:rPr>
                <w:rFonts w:cstheme="minorHAnsi"/>
                <w:b/>
                <w:bCs/>
                <w:sz w:val="18"/>
              </w:rPr>
              <w:t>Požari u šumama</w:t>
            </w:r>
          </w:p>
        </w:tc>
        <w:tc>
          <w:tcPr>
            <w:tcW w:w="1710" w:type="dxa"/>
            <w:vAlign w:val="center"/>
            <w:hideMark/>
          </w:tcPr>
          <w:p w14:paraId="0BBFE62A" w14:textId="77777777" w:rsidR="00034784" w:rsidRPr="00400308" w:rsidRDefault="00034784" w:rsidP="00072476">
            <w:pPr>
              <w:jc w:val="center"/>
              <w:rPr>
                <w:rFonts w:cstheme="minorHAnsi"/>
                <w:b/>
                <w:sz w:val="18"/>
              </w:rPr>
            </w:pPr>
            <w:r w:rsidRPr="00400308">
              <w:rPr>
                <w:rFonts w:cstheme="minorHAnsi"/>
                <w:b/>
                <w:sz w:val="18"/>
              </w:rPr>
              <w:t>Niska</w:t>
            </w:r>
          </w:p>
        </w:tc>
        <w:tc>
          <w:tcPr>
            <w:tcW w:w="2029" w:type="dxa"/>
            <w:vAlign w:val="center"/>
            <w:hideMark/>
          </w:tcPr>
          <w:p w14:paraId="5BED8F94" w14:textId="77777777" w:rsidR="00034784" w:rsidRPr="00400308" w:rsidRDefault="00034784" w:rsidP="00072476">
            <w:pPr>
              <w:jc w:val="center"/>
              <w:rPr>
                <w:rFonts w:cstheme="minorHAnsi"/>
                <w:sz w:val="18"/>
              </w:rPr>
            </w:pPr>
            <w:r w:rsidRPr="00400308">
              <w:rPr>
                <w:rFonts w:cstheme="minorHAnsi"/>
                <w:sz w:val="18"/>
              </w:rPr>
              <w:t>Povećanje</w:t>
            </w:r>
          </w:p>
        </w:tc>
        <w:tc>
          <w:tcPr>
            <w:tcW w:w="2160" w:type="dxa"/>
            <w:vAlign w:val="center"/>
            <w:hideMark/>
          </w:tcPr>
          <w:p w14:paraId="43AA150E" w14:textId="77777777" w:rsidR="00034784" w:rsidRPr="00400308" w:rsidRDefault="00034784" w:rsidP="00072476">
            <w:pPr>
              <w:jc w:val="center"/>
              <w:rPr>
                <w:rFonts w:cstheme="minorHAnsi"/>
                <w:sz w:val="18"/>
              </w:rPr>
            </w:pPr>
            <w:r w:rsidRPr="00400308">
              <w:rPr>
                <w:rFonts w:cstheme="minorHAnsi"/>
                <w:sz w:val="18"/>
              </w:rPr>
              <w:t>Bez promjene</w:t>
            </w:r>
          </w:p>
        </w:tc>
        <w:tc>
          <w:tcPr>
            <w:tcW w:w="1890" w:type="dxa"/>
            <w:vAlign w:val="center"/>
            <w:hideMark/>
          </w:tcPr>
          <w:p w14:paraId="6EF69053" w14:textId="77777777" w:rsidR="00034784" w:rsidRPr="00400308" w:rsidRDefault="00034784" w:rsidP="00072476">
            <w:pPr>
              <w:rPr>
                <w:rFonts w:cstheme="minorHAnsi"/>
                <w:sz w:val="18"/>
              </w:rPr>
            </w:pPr>
            <w:r w:rsidRPr="00400308">
              <w:rPr>
                <w:rFonts w:cstheme="minorHAnsi"/>
                <w:sz w:val="18"/>
              </w:rPr>
              <w:t>Trenutni rizik</w:t>
            </w:r>
          </w:p>
        </w:tc>
      </w:tr>
    </w:tbl>
    <w:p w14:paraId="5243D05A" w14:textId="77777777" w:rsidR="00034784" w:rsidRDefault="00034784" w:rsidP="00034784">
      <w:pPr>
        <w:pStyle w:val="Bezproreda"/>
      </w:pPr>
    </w:p>
    <w:p w14:paraId="0E9CFD3E" w14:textId="77777777" w:rsidR="00034784" w:rsidRDefault="00034784" w:rsidP="00034784">
      <w:pPr>
        <w:pStyle w:val="Bezproreda"/>
        <w:jc w:val="both"/>
      </w:pPr>
      <w:r>
        <w:t>34 predložene mjere za prilagodbu klimatskim promjenama u Akcijskom planu pokrivaju široki spektar aktivnosti i njihovom provedbom osigurava se transformacija Grada Zagreba u robustan grad otporan na klimatske ekstreme kojih će biti sve više. Sveobuhvatna transformacija cijelih sektora (zgradarstva, prometa, energetskih sustava, upravljanja vodama, prostorno-planskog planiranja, okoliša i bioraznolikosti, zdravstva, …) nužna je za uspješnu pripremu Grada Zagreba za 21. stoljeće.</w:t>
      </w:r>
    </w:p>
    <w:p w14:paraId="37ABE042" w14:textId="77777777" w:rsidR="00034784" w:rsidRPr="001F632C" w:rsidRDefault="00034784" w:rsidP="00034784">
      <w:pPr>
        <w:pStyle w:val="Bezproreda"/>
        <w:jc w:val="both"/>
        <w:rPr>
          <w:rFonts w:cs="Calibri"/>
          <w:bCs/>
          <w:lang w:eastAsia="hr-HR"/>
        </w:rPr>
      </w:pPr>
      <w:r w:rsidRPr="001F632C">
        <w:rPr>
          <w:rFonts w:cs="Calibri"/>
          <w:bCs/>
          <w:lang w:eastAsia="hr-HR"/>
        </w:rPr>
        <w:t>Predložene mjere grupirane su i međusobno povezane na način da pripremne/analitičke aktivnosti prethode provedbenim aktivnostima s obzirom da je nužna promjena cjelokupne paradigme klimatski-otpornog razvoja grada.</w:t>
      </w:r>
    </w:p>
    <w:p w14:paraId="57C7084F" w14:textId="77777777" w:rsidR="00034784" w:rsidRDefault="00034784" w:rsidP="00034784">
      <w:pPr>
        <w:jc w:val="both"/>
      </w:pPr>
      <w:r w:rsidRPr="001F632C">
        <w:rPr>
          <w:rFonts w:eastAsia="Times New Roman" w:cs="Calibri"/>
          <w:bCs/>
          <w:lang w:eastAsia="hr-HR"/>
        </w:rPr>
        <w:t>Osiguranje značajnih izvora za (su)financiranje predloženih aktivnosti biti će jedan od najvećih izazova. Bespovratna sredstva iz raznih izvora imaju svoje prednosti, no obično su ograničenog volumena i vezana za obično kratke investicijske cikluse. Bespovratna sredstva obično ne pokrivaju cijeli trošak investicije što znači da vlasnici projekta moraju osigurati financiranje iz drugih izvora što je samo po sebi proces koji zahtjeva vrijeme, trošak pripreme i ne garantira sigurnost dobivanja financiranja. S stoga je nužan razvoj holističkih modela razvoja projekata prilagodbe klimatskim promjenama koji će uzeti u obzir vlastite resurse/prihode ili generirati uštede na konzistentnoj razini čime se može osigurati dugoročna održivost projekta. Nastavno na sveobuhvatne promjene međunarodnih tržišta, u narednom razdoblju se očekuje značajan fokus na osiguranje dostupnosti održivih izvora financiranja za ovakve aktivnosti.</w:t>
      </w:r>
    </w:p>
    <w:p w14:paraId="0996B1B8" w14:textId="77777777" w:rsidR="00034784" w:rsidRPr="00A33E06" w:rsidRDefault="00034784" w:rsidP="00034784">
      <w:pPr>
        <w:jc w:val="both"/>
        <w:rPr>
          <w:rFonts w:cs="Calibri"/>
          <w:b/>
        </w:rPr>
      </w:pPr>
    </w:p>
    <w:tbl>
      <w:tblPr>
        <w:tblpPr w:leftFromText="180" w:rightFromText="180" w:vertAnchor="text" w:horzAnchor="margin" w:tblpY="46"/>
        <w:tblW w:w="0" w:type="auto"/>
        <w:tblLook w:val="01E0" w:firstRow="1" w:lastRow="1" w:firstColumn="1" w:lastColumn="1" w:noHBand="0" w:noVBand="0"/>
      </w:tblPr>
      <w:tblGrid>
        <w:gridCol w:w="4552"/>
        <w:gridCol w:w="4520"/>
      </w:tblGrid>
      <w:tr w:rsidR="00034784" w:rsidRPr="00A33E06" w14:paraId="33314A80" w14:textId="77777777" w:rsidTr="00072476">
        <w:tc>
          <w:tcPr>
            <w:tcW w:w="4552" w:type="dxa"/>
            <w:shd w:val="clear" w:color="auto" w:fill="CCCCCC"/>
          </w:tcPr>
          <w:p w14:paraId="752C8C59"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RAZVOJNI PROBLEMI </w:t>
            </w:r>
          </w:p>
        </w:tc>
        <w:tc>
          <w:tcPr>
            <w:tcW w:w="4520" w:type="dxa"/>
            <w:shd w:val="clear" w:color="auto" w:fill="99CCFF"/>
          </w:tcPr>
          <w:p w14:paraId="49112E7D" w14:textId="77777777" w:rsidR="00034784" w:rsidRPr="00A33E06" w:rsidRDefault="00034784" w:rsidP="00072476">
            <w:pPr>
              <w:pStyle w:val="StandardWeb"/>
              <w:spacing w:before="60" w:beforeAutospacing="0" w:after="60" w:afterAutospacing="0"/>
              <w:jc w:val="both"/>
              <w:rPr>
                <w:rFonts w:ascii="Calibri" w:hAnsi="Calibri" w:cs="Calibri"/>
                <w:b/>
                <w:sz w:val="18"/>
                <w:szCs w:val="18"/>
              </w:rPr>
            </w:pPr>
            <w:r w:rsidRPr="00A33E06">
              <w:rPr>
                <w:rFonts w:ascii="Calibri" w:hAnsi="Calibri" w:cs="Calibri"/>
                <w:b/>
                <w:sz w:val="18"/>
                <w:szCs w:val="18"/>
              </w:rPr>
              <w:t xml:space="preserve"> RAZVOJNE POTREBE</w:t>
            </w:r>
          </w:p>
        </w:tc>
      </w:tr>
      <w:tr w:rsidR="00034784" w:rsidRPr="00A33E06" w14:paraId="5A1851C9" w14:textId="77777777" w:rsidTr="00072476">
        <w:tc>
          <w:tcPr>
            <w:tcW w:w="4552" w:type="dxa"/>
            <w:shd w:val="clear" w:color="auto" w:fill="CCCCCC"/>
          </w:tcPr>
          <w:p w14:paraId="0503E938" w14:textId="77777777" w:rsidR="00034784" w:rsidRDefault="00034784" w:rsidP="00165C16">
            <w:pPr>
              <w:pStyle w:val="StandardWeb"/>
              <w:numPr>
                <w:ilvl w:val="0"/>
                <w:numId w:val="21"/>
              </w:numPr>
              <w:spacing w:before="60" w:beforeAutospacing="0" w:after="60" w:afterAutospacing="0"/>
              <w:ind w:right="-2"/>
              <w:rPr>
                <w:rFonts w:ascii="Calibri" w:hAnsi="Calibri" w:cs="Calibri"/>
                <w:sz w:val="18"/>
                <w:szCs w:val="18"/>
              </w:rPr>
            </w:pPr>
            <w:r w:rsidRPr="00A33E06">
              <w:rPr>
                <w:rFonts w:ascii="Calibri" w:hAnsi="Calibri" w:cs="Calibri"/>
                <w:sz w:val="18"/>
                <w:szCs w:val="18"/>
              </w:rPr>
              <w:t>značajan udio sektora prometa u emisijama stakleničkih plinova</w:t>
            </w:r>
          </w:p>
          <w:p w14:paraId="0216BF39" w14:textId="77777777" w:rsidR="00034784" w:rsidRPr="00A33E06" w:rsidRDefault="00034784" w:rsidP="00165C16">
            <w:pPr>
              <w:pStyle w:val="StandardWeb"/>
              <w:numPr>
                <w:ilvl w:val="0"/>
                <w:numId w:val="21"/>
              </w:numPr>
              <w:spacing w:before="60" w:beforeAutospacing="0" w:after="60" w:afterAutospacing="0"/>
              <w:ind w:right="-2"/>
              <w:rPr>
                <w:rFonts w:ascii="Calibri" w:hAnsi="Calibri" w:cs="Calibri"/>
                <w:sz w:val="18"/>
                <w:szCs w:val="18"/>
              </w:rPr>
            </w:pPr>
            <w:r w:rsidRPr="00A33E06">
              <w:rPr>
                <w:rFonts w:ascii="Calibri" w:hAnsi="Calibri" w:cs="Calibri"/>
                <w:sz w:val="18"/>
                <w:szCs w:val="18"/>
              </w:rPr>
              <w:t>velik udio energetskog sektora u emisijama stakleničkih plinova</w:t>
            </w:r>
          </w:p>
          <w:p w14:paraId="3DB291D3" w14:textId="77777777" w:rsidR="00034784" w:rsidRPr="00A33E06" w:rsidRDefault="00034784" w:rsidP="00165C16">
            <w:pPr>
              <w:pStyle w:val="StandardWeb"/>
              <w:numPr>
                <w:ilvl w:val="0"/>
                <w:numId w:val="21"/>
              </w:numPr>
              <w:spacing w:before="60" w:beforeAutospacing="0" w:after="60" w:afterAutospacing="0"/>
              <w:ind w:right="-2"/>
              <w:rPr>
                <w:rFonts w:ascii="Calibri" w:hAnsi="Calibri" w:cs="Calibri"/>
                <w:sz w:val="18"/>
                <w:szCs w:val="18"/>
              </w:rPr>
            </w:pPr>
            <w:r w:rsidRPr="00A33E06">
              <w:rPr>
                <w:rFonts w:ascii="Calibri" w:hAnsi="Calibri" w:cs="Calibri"/>
                <w:sz w:val="18"/>
                <w:szCs w:val="18"/>
              </w:rPr>
              <w:t>značajan udio industrijskog sektora u emisiji stakleničkih plinova</w:t>
            </w:r>
          </w:p>
          <w:p w14:paraId="06911444" w14:textId="77777777" w:rsidR="00034784" w:rsidRPr="00A33E06" w:rsidRDefault="00034784" w:rsidP="00165C16">
            <w:pPr>
              <w:pStyle w:val="StandardWeb"/>
              <w:numPr>
                <w:ilvl w:val="0"/>
                <w:numId w:val="21"/>
              </w:numPr>
              <w:spacing w:before="60" w:beforeAutospacing="0" w:after="60" w:afterAutospacing="0"/>
              <w:ind w:right="-2"/>
              <w:rPr>
                <w:rFonts w:ascii="Calibri" w:hAnsi="Calibri" w:cs="Calibri"/>
                <w:sz w:val="18"/>
                <w:szCs w:val="18"/>
              </w:rPr>
            </w:pPr>
            <w:r w:rsidRPr="00A33E06">
              <w:rPr>
                <w:rFonts w:ascii="Calibri" w:hAnsi="Calibri" w:cs="Calibri"/>
                <w:sz w:val="18"/>
                <w:szCs w:val="18"/>
              </w:rPr>
              <w:t>značajan udio sektora</w:t>
            </w:r>
            <w:r>
              <w:rPr>
                <w:rFonts w:ascii="Calibri" w:hAnsi="Calibri" w:cs="Calibri"/>
                <w:sz w:val="18"/>
                <w:szCs w:val="18"/>
              </w:rPr>
              <w:t xml:space="preserve"> </w:t>
            </w:r>
            <w:r w:rsidRPr="00A33E06">
              <w:rPr>
                <w:rFonts w:ascii="Calibri" w:hAnsi="Calibri" w:cs="Calibri"/>
                <w:sz w:val="18"/>
                <w:szCs w:val="18"/>
              </w:rPr>
              <w:t>gospodarenja otpadom</w:t>
            </w:r>
            <w:r>
              <w:rPr>
                <w:rFonts w:ascii="Calibri" w:hAnsi="Calibri" w:cs="Calibri"/>
                <w:sz w:val="18"/>
                <w:szCs w:val="18"/>
              </w:rPr>
              <w:t xml:space="preserve"> </w:t>
            </w:r>
            <w:r w:rsidRPr="00A33E06">
              <w:rPr>
                <w:rFonts w:ascii="Calibri" w:hAnsi="Calibri" w:cs="Calibri"/>
                <w:sz w:val="18"/>
                <w:szCs w:val="18"/>
              </w:rPr>
              <w:t xml:space="preserve">u emisijama stakleničkih plinova </w:t>
            </w:r>
          </w:p>
          <w:p w14:paraId="06C31932" w14:textId="77777777" w:rsidR="00034784" w:rsidRPr="00A33E06" w:rsidRDefault="00034784" w:rsidP="00165C16">
            <w:pPr>
              <w:pStyle w:val="StandardWeb"/>
              <w:numPr>
                <w:ilvl w:val="0"/>
                <w:numId w:val="21"/>
              </w:numPr>
              <w:spacing w:before="60" w:beforeAutospacing="0" w:after="60" w:afterAutospacing="0"/>
              <w:ind w:right="-2"/>
              <w:rPr>
                <w:rFonts w:ascii="Calibri" w:hAnsi="Calibri" w:cs="Calibri"/>
                <w:sz w:val="18"/>
                <w:szCs w:val="18"/>
              </w:rPr>
            </w:pPr>
            <w:r w:rsidRPr="00A33E06">
              <w:rPr>
                <w:rFonts w:ascii="Calibri" w:hAnsi="Calibri" w:cs="Calibri"/>
                <w:sz w:val="18"/>
                <w:szCs w:val="18"/>
              </w:rPr>
              <w:t>loša energetska svojstva sektora zgradarstva</w:t>
            </w:r>
          </w:p>
          <w:p w14:paraId="05AA5840" w14:textId="77777777" w:rsidR="00034784" w:rsidRPr="00A33E06" w:rsidRDefault="00034784" w:rsidP="00165C16">
            <w:pPr>
              <w:pStyle w:val="StandardWeb"/>
              <w:numPr>
                <w:ilvl w:val="0"/>
                <w:numId w:val="21"/>
              </w:numPr>
              <w:spacing w:before="60" w:beforeAutospacing="0" w:after="60" w:afterAutospacing="0"/>
              <w:ind w:right="-2"/>
              <w:rPr>
                <w:rFonts w:ascii="Calibri" w:hAnsi="Calibri" w:cs="Calibri"/>
                <w:sz w:val="18"/>
                <w:szCs w:val="18"/>
              </w:rPr>
            </w:pPr>
          </w:p>
        </w:tc>
        <w:tc>
          <w:tcPr>
            <w:tcW w:w="4520" w:type="dxa"/>
            <w:shd w:val="clear" w:color="auto" w:fill="99CCFF"/>
          </w:tcPr>
          <w:p w14:paraId="730854DB"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smanjenje emisije CO</w:t>
            </w:r>
            <w:r w:rsidRPr="00A33E06">
              <w:rPr>
                <w:rFonts w:ascii="Calibri" w:hAnsi="Calibri" w:cs="Calibri"/>
                <w:sz w:val="18"/>
                <w:szCs w:val="18"/>
                <w:vertAlign w:val="subscript"/>
              </w:rPr>
              <w:t>2</w:t>
            </w:r>
            <w:r w:rsidRPr="00A33E06">
              <w:rPr>
                <w:rFonts w:ascii="Calibri" w:hAnsi="Calibri" w:cs="Calibri"/>
                <w:sz w:val="18"/>
                <w:szCs w:val="18"/>
              </w:rPr>
              <w:t xml:space="preserve"> u svim sektorima provedbom mjera energetske učinkovitosti</w:t>
            </w:r>
          </w:p>
          <w:p w14:paraId="21AC4BF3"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korištenje obnovljivih izvora energije i ekološko prihvatljivih goriva</w:t>
            </w:r>
          </w:p>
          <w:p w14:paraId="69EA5C73"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racionalno korištenje energije</w:t>
            </w:r>
          </w:p>
          <w:p w14:paraId="5EE9AA4D"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provođenje preventivnih i zaštitnih ciljeva i mjera za smanjenje emisije CO</w:t>
            </w:r>
            <w:r w:rsidRPr="00A33E06">
              <w:rPr>
                <w:rFonts w:ascii="Calibri" w:hAnsi="Calibri" w:cs="Calibri"/>
                <w:sz w:val="18"/>
                <w:szCs w:val="18"/>
                <w:vertAlign w:val="subscript"/>
              </w:rPr>
              <w:t>2</w:t>
            </w:r>
            <w:r w:rsidRPr="00A33E06">
              <w:rPr>
                <w:rFonts w:ascii="Calibri" w:hAnsi="Calibri" w:cs="Calibri"/>
                <w:sz w:val="18"/>
                <w:szCs w:val="18"/>
              </w:rPr>
              <w:t>, podizanjem energetske učinkovitosti</w:t>
            </w:r>
            <w:r>
              <w:rPr>
                <w:rFonts w:ascii="Calibri" w:hAnsi="Calibri" w:cs="Calibri"/>
                <w:sz w:val="18"/>
                <w:szCs w:val="18"/>
              </w:rPr>
              <w:t xml:space="preserve"> </w:t>
            </w:r>
            <w:r w:rsidRPr="00A33E06">
              <w:rPr>
                <w:rFonts w:ascii="Calibri" w:hAnsi="Calibri" w:cs="Calibri"/>
                <w:sz w:val="18"/>
                <w:szCs w:val="18"/>
              </w:rPr>
              <w:t>u sektorima zgradarstva i prometa</w:t>
            </w:r>
          </w:p>
          <w:p w14:paraId="453735D9" w14:textId="77777777" w:rsidR="00034784" w:rsidRPr="00A33E06" w:rsidRDefault="00034784" w:rsidP="00165C16">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primjena novih ICT tehnologija u sustavu upravljanja energijom</w:t>
            </w:r>
            <w:r>
              <w:rPr>
                <w:rFonts w:ascii="Calibri" w:hAnsi="Calibri" w:cs="Calibri"/>
                <w:sz w:val="18"/>
                <w:szCs w:val="18"/>
              </w:rPr>
              <w:t xml:space="preserve"> </w:t>
            </w:r>
          </w:p>
          <w:p w14:paraId="32E5F6B6" w14:textId="77777777" w:rsidR="00DF421F" w:rsidRDefault="00034784" w:rsidP="00DF421F">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A33E06">
              <w:rPr>
                <w:rFonts w:ascii="Calibri" w:hAnsi="Calibri" w:cs="Calibri"/>
                <w:sz w:val="18"/>
                <w:szCs w:val="18"/>
              </w:rPr>
              <w:t>pretvaranje urbanih četvrti u ekološki održiva područja</w:t>
            </w:r>
          </w:p>
          <w:p w14:paraId="7219928E" w14:textId="27FBE27D" w:rsidR="00DF421F" w:rsidRPr="00DF421F" w:rsidRDefault="00DF421F" w:rsidP="00DF421F">
            <w:pPr>
              <w:pStyle w:val="StandardWeb"/>
              <w:numPr>
                <w:ilvl w:val="0"/>
                <w:numId w:val="2"/>
              </w:numPr>
              <w:tabs>
                <w:tab w:val="num" w:pos="284"/>
              </w:tabs>
              <w:spacing w:before="60" w:beforeAutospacing="0" w:after="60" w:afterAutospacing="0"/>
              <w:ind w:left="284" w:right="-2" w:hanging="284"/>
              <w:rPr>
                <w:rFonts w:ascii="Calibri" w:hAnsi="Calibri" w:cs="Calibri"/>
                <w:sz w:val="18"/>
                <w:szCs w:val="18"/>
              </w:rPr>
            </w:pPr>
            <w:r w:rsidRPr="00DF421F">
              <w:rPr>
                <w:rFonts w:ascii="Calibri" w:hAnsi="Calibri" w:cs="Calibri"/>
                <w:sz w:val="18"/>
                <w:szCs w:val="18"/>
              </w:rPr>
              <w:t>Uvrštavanje klimatskog aspekta u sustav prostornog planiranja (npr. kreiranje koridora sa zelenim raslinjem za manje zagrijavanje ljeti, osiguranje dovoljnog razmaka među zgradama za bolju prozračnost ljeti i osunčanost zimi, otvaranje natkrivenih potoka gdje je to moguće i izvedivo…)</w:t>
            </w:r>
          </w:p>
        </w:tc>
      </w:tr>
    </w:tbl>
    <w:p w14:paraId="4331CEED" w14:textId="205CC9CD" w:rsidR="00072476" w:rsidRPr="00392F62" w:rsidRDefault="00034784" w:rsidP="00392F62">
      <w:pPr>
        <w:pStyle w:val="Stil2"/>
        <w:rPr>
          <w:rFonts w:cs="Calibri"/>
          <w:caps/>
          <w:sz w:val="40"/>
          <w:szCs w:val="40"/>
        </w:rPr>
      </w:pPr>
      <w:r>
        <w:rPr>
          <w:szCs w:val="24"/>
        </w:rPr>
        <w:br w:type="page"/>
      </w:r>
      <w:r w:rsidRPr="0021384E">
        <w:t xml:space="preserve"> </w:t>
      </w:r>
      <w:bookmarkStart w:id="141" w:name="_Toc97123855"/>
      <w:r w:rsidR="00072476" w:rsidRPr="00392F62">
        <w:rPr>
          <w:rFonts w:cs="Calibri"/>
          <w:caps/>
          <w:sz w:val="40"/>
          <w:szCs w:val="40"/>
        </w:rPr>
        <w:t>6. UPRAVLJANJE RAZVOJEM</w:t>
      </w:r>
      <w:bookmarkEnd w:id="141"/>
    </w:p>
    <w:p w14:paraId="68DC215A" w14:textId="62E057F9" w:rsidR="00072476" w:rsidRPr="00C614DF" w:rsidRDefault="00072476" w:rsidP="00072476">
      <w:pPr>
        <w:autoSpaceDE w:val="0"/>
        <w:autoSpaceDN w:val="0"/>
        <w:adjustRightInd w:val="0"/>
        <w:spacing w:after="200" w:line="240" w:lineRule="auto"/>
        <w:jc w:val="both"/>
        <w:rPr>
          <w:rFonts w:cs="Calibri"/>
          <w:bCs/>
          <w:caps/>
        </w:rPr>
      </w:pPr>
      <w:r w:rsidRPr="00C614DF">
        <w:rPr>
          <w:rFonts w:cs="Calibri"/>
          <w:bCs/>
          <w:caps/>
        </w:rPr>
        <w:t>u</w:t>
      </w:r>
      <w:r w:rsidRPr="00C614DF">
        <w:rPr>
          <w:rFonts w:cs="Calibri"/>
          <w:bCs/>
        </w:rPr>
        <w:t>pravljanje razvojem kompleksno je područje koje je po svom karakteru multidisciplinarno, t</w:t>
      </w:r>
      <w:r w:rsidR="0061125B">
        <w:rPr>
          <w:rFonts w:cs="Calibri"/>
          <w:bCs/>
        </w:rPr>
        <w:t>.</w:t>
      </w:r>
      <w:r w:rsidRPr="00C614DF">
        <w:rPr>
          <w:rFonts w:cs="Calibri"/>
          <w:bCs/>
        </w:rPr>
        <w:t xml:space="preserve">j uključuje sastavnice povezane sa </w:t>
      </w:r>
      <w:r>
        <w:rPr>
          <w:rFonts w:cs="Calibri"/>
          <w:bCs/>
        </w:rPr>
        <w:t xml:space="preserve">institucionalnim, </w:t>
      </w:r>
      <w:r w:rsidRPr="00C614DF">
        <w:rPr>
          <w:rFonts w:cs="Calibri"/>
          <w:bCs/>
        </w:rPr>
        <w:t xml:space="preserve">društvenim, gospodarskim, prostornim i okolišnim problemima i potrebama koji su </w:t>
      </w:r>
      <w:r>
        <w:rPr>
          <w:rFonts w:cs="Calibri"/>
          <w:bCs/>
        </w:rPr>
        <w:t xml:space="preserve">specifične </w:t>
      </w:r>
      <w:r w:rsidRPr="00C614DF">
        <w:rPr>
          <w:rFonts w:cs="Calibri"/>
          <w:bCs/>
        </w:rPr>
        <w:t>u svakom gradu.</w:t>
      </w:r>
    </w:p>
    <w:p w14:paraId="5FF86FEE" w14:textId="65432281" w:rsidR="00072476" w:rsidRPr="00B8319D" w:rsidRDefault="00072476" w:rsidP="00B8319D">
      <w:pPr>
        <w:pStyle w:val="Stil2"/>
        <w:rPr>
          <w:rStyle w:val="Stil2Char"/>
          <w:b/>
          <w:bCs/>
        </w:rPr>
      </w:pPr>
      <w:bookmarkStart w:id="142" w:name="_Toc97123856"/>
      <w:r w:rsidRPr="00B8319D">
        <w:t>6.</w:t>
      </w:r>
      <w:r w:rsidRPr="00B8319D">
        <w:rPr>
          <w:rStyle w:val="Stil2Char"/>
          <w:b/>
          <w:bCs/>
        </w:rPr>
        <w:t xml:space="preserve">1. </w:t>
      </w:r>
      <w:r w:rsidR="00B8319D" w:rsidRPr="00B8319D">
        <w:rPr>
          <w:rStyle w:val="Stil2Char"/>
          <w:b/>
          <w:bCs/>
        </w:rPr>
        <w:t>INSTITUCIONALNI OKVIR ZA UPRAVLJANJE RAZVOJEM</w:t>
      </w:r>
      <w:bookmarkEnd w:id="142"/>
    </w:p>
    <w:p w14:paraId="58EAEF6D"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Grad Zagreb je kulturno, znanstveno, gospodarsko, političko i administrativno središte Republike Hrvatske u kojem se nalazi sjedište Hrvatskog Sabora, Predsjednika i Vlade Republike Hrvatske. Grad Zagreb je glavni grad Republike Hrvatske i ima posebnim zakonom utvrđen položaj županije, uslijed čega u okviru svog samoupravnog djelokruga obavlja poslove iz djelokruga grada i djelokruga županije. Grad Zagreb nadležan je i za poslove državne uprave iz djelokruga ureda državne uprave i druge povjerene poslove državne uprave utvrđene posebnim zakonima.</w:t>
      </w:r>
    </w:p>
    <w:p w14:paraId="47F00D00" w14:textId="77777777" w:rsidR="00072476" w:rsidRPr="00191F9C" w:rsidRDefault="00072476" w:rsidP="00072476">
      <w:pPr>
        <w:tabs>
          <w:tab w:val="left" w:pos="-1701"/>
        </w:tabs>
        <w:spacing w:after="200" w:line="276" w:lineRule="auto"/>
        <w:rPr>
          <w:rFonts w:cs="Calibri"/>
          <w:b/>
          <w:bCs/>
        </w:rPr>
      </w:pPr>
    </w:p>
    <w:p w14:paraId="5F2FA21F" w14:textId="06FF1C0E" w:rsidR="00072476" w:rsidRPr="00191F9C" w:rsidRDefault="00072476" w:rsidP="00B8319D">
      <w:pPr>
        <w:pStyle w:val="Stil2"/>
      </w:pPr>
      <w:bookmarkStart w:id="143" w:name="_Toc97123857"/>
      <w:r w:rsidRPr="00191F9C">
        <w:t>6.1.1. Tijela Grada Zagreba</w:t>
      </w:r>
      <w:bookmarkEnd w:id="143"/>
    </w:p>
    <w:p w14:paraId="416B7965"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Tijela Grada Zagreba su: Gradska skupština kao predstavničko tijelo i Gradonačelnik kao izvršno tijelo. Gradske zastupnike u Gradskoj skupštini, njih </w:t>
      </w:r>
      <w:r>
        <w:rPr>
          <w:rFonts w:eastAsia="Times New Roman" w:cs="Calibri"/>
          <w:bCs/>
          <w:lang w:eastAsia="hr-HR"/>
        </w:rPr>
        <w:t>47</w:t>
      </w:r>
      <w:r w:rsidRPr="00191F9C">
        <w:rPr>
          <w:rFonts w:eastAsia="Times New Roman" w:cs="Calibri"/>
          <w:bCs/>
          <w:lang w:eastAsia="hr-HR"/>
        </w:rPr>
        <w:t>, te Gradonačelnika i njegova dva zamjenika biraju građani na neposrednim izborima.</w:t>
      </w:r>
    </w:p>
    <w:p w14:paraId="531CF460" w14:textId="4E961A0E" w:rsidR="00072476" w:rsidRDefault="00072476" w:rsidP="00072476">
      <w:pPr>
        <w:tabs>
          <w:tab w:val="left" w:pos="-720"/>
        </w:tabs>
        <w:suppressAutoHyphens/>
        <w:spacing w:after="0" w:line="240" w:lineRule="auto"/>
        <w:ind w:right="-2"/>
        <w:jc w:val="both"/>
        <w:rPr>
          <w:rFonts w:eastAsia="Times New Roman" w:cs="Calibri"/>
          <w:sz w:val="16"/>
          <w:szCs w:val="16"/>
          <w:lang w:eastAsia="hr-HR"/>
        </w:rPr>
      </w:pPr>
      <w:r w:rsidRPr="00191F9C">
        <w:rPr>
          <w:rFonts w:eastAsia="Times New Roman" w:cs="Calibri"/>
          <w:bCs/>
          <w:lang w:eastAsia="hr-HR"/>
        </w:rPr>
        <w:t>Oblici mjesne samouprave u Gradu Zagrebu su gradske četvrti i mjesni odbori. Prvu, gornju razinu mjesne samouprave u Gradu Zagrebu čini 17 gradskih četvrti, koje djeluju putem svojih tijela – vijeća gradsk</w:t>
      </w:r>
      <w:r>
        <w:rPr>
          <w:rFonts w:eastAsia="Times New Roman" w:cs="Calibri"/>
          <w:bCs/>
          <w:lang w:eastAsia="hr-HR"/>
        </w:rPr>
        <w:t>ih</w:t>
      </w:r>
      <w:r w:rsidRPr="00191F9C">
        <w:rPr>
          <w:rFonts w:eastAsia="Times New Roman" w:cs="Calibri"/>
          <w:bCs/>
          <w:lang w:eastAsia="hr-HR"/>
        </w:rPr>
        <w:t xml:space="preserve"> četvrti i predsjednika vijeća. Građani s područja gradske četvrti biraju vijeće, a članovi vijeća, iz svojih redova, predsjednika vijeća. Na drugoj razini, u gradskim četvrtima, osnovano je 218 mjesnih odbora. Tijela mjesnog odbora su vijeće mjesnog odbora članove kojega biraju svi građani s pravom glasa koji imaju prebivalište na području mjesnog odbora i predsjednik vijeća mjesnog odbora kojega biraju članovi vijeća iz svojih redova. Gradske četvrti i mjesni odbori su pravne osobe. U ostvarivanju svoje uloge gradske četvrti i mjesni odbori moraju uvažavati interese Grada kao cjeline. Poslove vezane uz rad mjesne samouprave koordinira Gradski ured za mjesnu samoupravu</w:t>
      </w:r>
      <w:r w:rsidR="008E2425">
        <w:rPr>
          <w:rFonts w:eastAsia="Times New Roman" w:cs="Calibri"/>
          <w:sz w:val="16"/>
          <w:szCs w:val="16"/>
          <w:lang w:eastAsia="hr-HR"/>
        </w:rPr>
        <w:t xml:space="preserve">, </w:t>
      </w:r>
      <w:r w:rsidR="008E2425">
        <w:rPr>
          <w:rFonts w:eastAsia="Times New Roman" w:cs="Calibri"/>
          <w:lang w:eastAsia="hr-HR"/>
        </w:rPr>
        <w:t>civilnu zaštitu u sigurnost</w:t>
      </w:r>
    </w:p>
    <w:p w14:paraId="18D7FB2B" w14:textId="4AA390B4" w:rsidR="00072476" w:rsidRDefault="00072476" w:rsidP="00072476">
      <w:pPr>
        <w:tabs>
          <w:tab w:val="left" w:pos="-720"/>
        </w:tabs>
        <w:suppressAutoHyphens/>
        <w:spacing w:after="0" w:line="240" w:lineRule="auto"/>
        <w:ind w:right="-2"/>
        <w:jc w:val="both"/>
        <w:rPr>
          <w:rFonts w:eastAsia="Times New Roman" w:cs="Calibri"/>
          <w:bCs/>
          <w:lang w:eastAsia="hr-HR"/>
        </w:rPr>
      </w:pPr>
      <w:r>
        <w:rPr>
          <w:rFonts w:eastAsia="Times New Roman" w:cs="Calibri"/>
          <w:bCs/>
          <w:lang w:eastAsia="hr-HR"/>
        </w:rPr>
        <w:t xml:space="preserve">Pored tijela Grada Zagreba bitnu ulogu u razvoju Grada Zagreba ima </w:t>
      </w:r>
      <w:r w:rsidRPr="00C15028">
        <w:rPr>
          <w:rFonts w:eastAsia="Times New Roman" w:cs="Calibri"/>
          <w:bCs/>
          <w:lang w:eastAsia="hr-HR"/>
        </w:rPr>
        <w:t>Zagrebački holding d.o.o.</w:t>
      </w:r>
      <w:r>
        <w:rPr>
          <w:rFonts w:eastAsia="Times New Roman" w:cs="Calibri"/>
          <w:bCs/>
          <w:lang w:eastAsia="hr-HR"/>
        </w:rPr>
        <w:t xml:space="preserve">, </w:t>
      </w:r>
      <w:r w:rsidRPr="00C15028">
        <w:rPr>
          <w:rFonts w:eastAsia="Times New Roman" w:cs="Calibri"/>
          <w:bCs/>
          <w:lang w:eastAsia="hr-HR"/>
        </w:rPr>
        <w:t>trgovačko društvo u 100-postotnom vlasništvu Grada Zagreba.</w:t>
      </w:r>
      <w:r w:rsidR="00D67AEA">
        <w:rPr>
          <w:rFonts w:eastAsia="Times New Roman" w:cs="Calibri"/>
          <w:bCs/>
          <w:lang w:eastAsia="hr-HR"/>
        </w:rPr>
        <w:t xml:space="preserve"> Sastoji se od 12 podružnica</w:t>
      </w:r>
      <w:r w:rsidRPr="00C15028">
        <w:rPr>
          <w:rFonts w:eastAsia="Times New Roman" w:cs="Calibri"/>
          <w:bCs/>
          <w:lang w:eastAsia="hr-HR"/>
        </w:rPr>
        <w:t xml:space="preserve"> a vlasnik je i </w:t>
      </w:r>
      <w:r w:rsidR="00D67AEA">
        <w:rPr>
          <w:rFonts w:eastAsia="Times New Roman" w:cs="Calibri"/>
          <w:bCs/>
          <w:lang w:eastAsia="hr-HR"/>
        </w:rPr>
        <w:t>5</w:t>
      </w:r>
      <w:r w:rsidRPr="00C15028">
        <w:rPr>
          <w:rFonts w:eastAsia="Times New Roman" w:cs="Calibri"/>
          <w:bCs/>
          <w:lang w:eastAsia="hr-HR"/>
        </w:rPr>
        <w:t xml:space="preserve"> trgovačkih društava </w:t>
      </w:r>
      <w:r w:rsidR="00D67AEA">
        <w:rPr>
          <w:rFonts w:eastAsia="Times New Roman" w:cs="Calibri"/>
          <w:bCs/>
          <w:lang w:eastAsia="hr-HR"/>
        </w:rPr>
        <w:t>te</w:t>
      </w:r>
      <w:r w:rsidRPr="00C15028">
        <w:rPr>
          <w:rFonts w:eastAsia="Times New Roman" w:cs="Calibri"/>
          <w:bCs/>
          <w:lang w:eastAsia="hr-HR"/>
        </w:rPr>
        <w:t xml:space="preserve"> jedne ustanove. </w:t>
      </w:r>
    </w:p>
    <w:p w14:paraId="30CB5080" w14:textId="4A2D92D7" w:rsidR="00072476" w:rsidRPr="00C15028" w:rsidRDefault="00D67AEA" w:rsidP="00072476">
      <w:pPr>
        <w:tabs>
          <w:tab w:val="left" w:pos="-720"/>
        </w:tabs>
        <w:suppressAutoHyphens/>
        <w:spacing w:after="0" w:line="240" w:lineRule="auto"/>
        <w:ind w:right="-2"/>
        <w:jc w:val="both"/>
        <w:rPr>
          <w:rFonts w:eastAsia="Times New Roman" w:cs="Calibri"/>
          <w:bCs/>
          <w:lang w:eastAsia="hr-HR"/>
        </w:rPr>
      </w:pPr>
      <w:r w:rsidRPr="00D67AEA">
        <w:rPr>
          <w:rFonts w:eastAsia="Times New Roman" w:cs="Calibri"/>
          <w:bCs/>
          <w:lang w:eastAsia="hr-HR"/>
        </w:rPr>
        <w:t>Zagrebački holding danas je zajednica povezanih društava i ustanove koji čine Grupu Zagrebački holding (dalje u tekstu: Grupa)</w:t>
      </w:r>
      <w:r>
        <w:rPr>
          <w:rFonts w:eastAsia="Times New Roman" w:cs="Calibri"/>
          <w:bCs/>
          <w:lang w:eastAsia="hr-HR"/>
        </w:rPr>
        <w:t>,</w:t>
      </w:r>
      <w:r w:rsidR="00072476" w:rsidRPr="00C15028">
        <w:rPr>
          <w:rFonts w:eastAsia="Times New Roman" w:cs="Calibri"/>
          <w:bCs/>
          <w:lang w:eastAsia="hr-HR"/>
        </w:rPr>
        <w:t>čije je vodeće društvo u kreiranju poslovnih politika</w:t>
      </w:r>
      <w:r>
        <w:rPr>
          <w:rFonts w:eastAsia="Times New Roman" w:cs="Calibri"/>
          <w:bCs/>
          <w:lang w:eastAsia="hr-HR"/>
        </w:rPr>
        <w:t xml:space="preserve"> </w:t>
      </w:r>
      <w:r w:rsidRPr="00D67AEA">
        <w:rPr>
          <w:rFonts w:eastAsia="Times New Roman" w:cs="Calibri"/>
          <w:bCs/>
          <w:lang w:eastAsia="hr-HR"/>
        </w:rPr>
        <w:t xml:space="preserve">Zagrebački holding d.o.o. </w:t>
      </w:r>
      <w:r w:rsidR="00072476" w:rsidRPr="00C15028">
        <w:rPr>
          <w:rFonts w:eastAsia="Times New Roman" w:cs="Calibri"/>
          <w:bCs/>
          <w:lang w:eastAsia="hr-HR"/>
        </w:rPr>
        <w:t xml:space="preserve"> Temeljna zadaća Grupe je učinkovito i trajno obavljanje usluga od javnog interesa u gradu Zagrebu uz maksimalnu zaštitu okoliša i zaštitu interesa lokalne zajednice u kojoj djeluje.</w:t>
      </w:r>
      <w:r>
        <w:rPr>
          <w:rFonts w:eastAsia="Times New Roman" w:cs="Calibri"/>
          <w:bCs/>
          <w:lang w:eastAsia="hr-HR"/>
        </w:rPr>
        <w:t xml:space="preserve"> </w:t>
      </w:r>
      <w:r w:rsidRPr="00D67AEA">
        <w:rPr>
          <w:rFonts w:eastAsia="Times New Roman" w:cs="Calibri"/>
          <w:bCs/>
          <w:lang w:eastAsia="hr-HR"/>
        </w:rPr>
        <w:t>Na dan 31. prosinca 2020.g. grupa je zapošljavala 7 782 radnika.</w:t>
      </w:r>
      <w:r w:rsidR="00072476" w:rsidRPr="00C15028">
        <w:rPr>
          <w:rFonts w:eastAsia="Times New Roman" w:cs="Calibri"/>
          <w:bCs/>
          <w:lang w:eastAsia="hr-HR"/>
        </w:rPr>
        <w:t xml:space="preserve"> </w:t>
      </w:r>
    </w:p>
    <w:p w14:paraId="02DC1AF7" w14:textId="77777777" w:rsidR="00072476" w:rsidRPr="00191F9C" w:rsidRDefault="00072476" w:rsidP="00072476">
      <w:pPr>
        <w:tabs>
          <w:tab w:val="left" w:pos="-720"/>
        </w:tabs>
        <w:suppressAutoHyphens/>
        <w:spacing w:after="0" w:line="240" w:lineRule="auto"/>
        <w:ind w:right="-2"/>
        <w:jc w:val="both"/>
        <w:rPr>
          <w:rFonts w:eastAsia="Times New Roman" w:cs="Calibri"/>
          <w:b/>
          <w:bCs/>
          <w:sz w:val="20"/>
          <w:szCs w:val="20"/>
          <w:lang w:eastAsia="hr-HR"/>
        </w:rPr>
      </w:pPr>
    </w:p>
    <w:p w14:paraId="51032EC0" w14:textId="40614E29" w:rsidR="00072476" w:rsidRPr="00191F9C" w:rsidRDefault="00072476" w:rsidP="00B8319D">
      <w:pPr>
        <w:pStyle w:val="Stil2"/>
      </w:pPr>
      <w:bookmarkStart w:id="144" w:name="_Toc97123858"/>
      <w:r w:rsidRPr="00191F9C">
        <w:t>6.1.2. Gradska uprava</w:t>
      </w:r>
      <w:bookmarkEnd w:id="144"/>
    </w:p>
    <w:p w14:paraId="02255E5D" w14:textId="7CCFF743"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U skladu s Odlukom o ustrojstvu i djelokrugu gradskih upravnih tijela (SGGZ </w:t>
      </w:r>
      <w:r w:rsidR="00C05CE2" w:rsidRPr="00C05CE2">
        <w:rPr>
          <w:rFonts w:eastAsia="Times New Roman" w:cs="Calibri"/>
          <w:bCs/>
          <w:lang w:eastAsia="hr-HR"/>
        </w:rPr>
        <w:t>17/21, 24/21</w:t>
      </w:r>
      <w:r w:rsidRPr="00191F9C">
        <w:rPr>
          <w:rFonts w:eastAsia="Times New Roman" w:cs="Calibri"/>
          <w:bCs/>
          <w:lang w:eastAsia="hr-HR"/>
        </w:rPr>
        <w:t>)</w:t>
      </w:r>
      <w:r w:rsidRPr="00191F9C">
        <w:rPr>
          <w:rFonts w:ascii="Futura Hv AT" w:eastAsia="Times New Roman" w:hAnsi="Futura Hv AT" w:cs="Calibri"/>
          <w:b/>
          <w:bCs/>
          <w:lang w:eastAsia="hr-HR"/>
        </w:rPr>
        <w:t xml:space="preserve"> </w:t>
      </w:r>
      <w:r w:rsidRPr="00191F9C">
        <w:rPr>
          <w:rFonts w:eastAsia="Times New Roman" w:cs="Calibri"/>
          <w:bCs/>
          <w:lang w:eastAsia="hr-HR"/>
        </w:rPr>
        <w:t>u Gradu</w:t>
      </w:r>
      <w:r w:rsidRPr="00191F9C">
        <w:rPr>
          <w:rFonts w:ascii="Futura Hv AT" w:eastAsia="Times New Roman" w:hAnsi="Futura Hv AT" w:cs="Calibri"/>
          <w:b/>
          <w:bCs/>
          <w:lang w:eastAsia="hr-HR"/>
        </w:rPr>
        <w:t xml:space="preserve"> </w:t>
      </w:r>
      <w:r w:rsidRPr="00191F9C">
        <w:rPr>
          <w:rFonts w:eastAsia="Times New Roman" w:cs="Calibri"/>
          <w:bCs/>
          <w:lang w:eastAsia="hr-HR"/>
        </w:rPr>
        <w:t>Zagrebu je u 2020. godini</w:t>
      </w:r>
      <w:r w:rsidRPr="00191F9C">
        <w:rPr>
          <w:rFonts w:ascii="Futura Hv AT" w:eastAsia="Times New Roman" w:hAnsi="Futura Hv AT" w:cs="Calibri"/>
          <w:b/>
          <w:bCs/>
          <w:lang w:eastAsia="hr-HR"/>
        </w:rPr>
        <w:t xml:space="preserve"> </w:t>
      </w:r>
      <w:r w:rsidRPr="00191F9C">
        <w:rPr>
          <w:rFonts w:eastAsia="Times New Roman" w:cs="Calibri"/>
          <w:bCs/>
          <w:lang w:eastAsia="hr-HR"/>
        </w:rPr>
        <w:t xml:space="preserve">ustrojeno </w:t>
      </w:r>
      <w:r w:rsidR="00C05CE2">
        <w:rPr>
          <w:rFonts w:eastAsia="Times New Roman" w:cs="Calibri"/>
          <w:bCs/>
          <w:lang w:eastAsia="hr-HR"/>
        </w:rPr>
        <w:t>16</w:t>
      </w:r>
      <w:r w:rsidRPr="00191F9C">
        <w:rPr>
          <w:rFonts w:eastAsia="Times New Roman" w:cs="Calibri"/>
          <w:bCs/>
          <w:lang w:eastAsia="hr-HR"/>
        </w:rPr>
        <w:t xml:space="preserve"> gradskih upravnih tijela, a Odlukom je utvrđen njihov djelokrug, nadležnost i druga pitanja važna za njihov rad. Gradska upravna tijela, koja čine gradsku upravu u užem smislu, ustrojena kao uredi, službe i zavodi, obavljaju poslove iz samoupravnog djelokruga Grada Zagreba i poslove državne uprave što su utvrđeni posebnim zakonima. Odlukom o Stručnoj službi Gradske skupštine Grada Zagreba (SGGZ 19/00 i 25/09) posebno je ustrojena Stručna služba Gradske skupštine za obavljanje stručnih, administrativnih i drugih poslova u vezi s radom Gradske skupštine.</w:t>
      </w:r>
    </w:p>
    <w:p w14:paraId="6EA1BB66"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bookmarkStart w:id="145" w:name="_Hlk45717615"/>
      <w:r w:rsidRPr="00191F9C">
        <w:rPr>
          <w:rFonts w:eastAsia="Times New Roman" w:cs="Calibri"/>
          <w:bCs/>
          <w:lang w:eastAsia="hr-HR"/>
        </w:rPr>
        <w:t xml:space="preserve">U okviru samoupravnog djelokruga, obavljanje komunalnih i gospodarskih djelatnosti povjereno je trgovačkim društvima, a obavljanje društvenih i/ili drugih djelatnosti javnim (gradskim) ustanovama, koji čine gradsku upravu u širem smislu. </w:t>
      </w:r>
    </w:p>
    <w:bookmarkEnd w:id="145"/>
    <w:p w14:paraId="4D9F18F0" w14:textId="77777777" w:rsidR="00072476"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Gradska uprava u svojem je radu prvenstveno orijentirana postići profesionalno, pouzdano, transparentno i učinkovito postupanje, utemeljeno na najboljoj nacionalnoj, europskoj i međunarodnoj praksi i naprednim standardima kvalitete pružanja usluga korisnicima. U svojem radu i postupanju gradska uprava ostvarila je određenu razinu napretka u pojedinim aspektima poslovanja, a daljnje unaprjeđenje će se, među ostalim postići i provedbom </w:t>
      </w:r>
      <w:r>
        <w:rPr>
          <w:rFonts w:eastAsia="Times New Roman" w:cs="Calibri"/>
          <w:bCs/>
          <w:lang w:eastAsia="hr-HR"/>
        </w:rPr>
        <w:t>Plana razvoja Grada Zagreba</w:t>
      </w:r>
      <w:r w:rsidRPr="00191F9C">
        <w:rPr>
          <w:rFonts w:eastAsia="Times New Roman" w:cs="Calibri"/>
          <w:bCs/>
          <w:lang w:eastAsia="hr-HR"/>
        </w:rPr>
        <w:t xml:space="preserve">. </w:t>
      </w:r>
    </w:p>
    <w:p w14:paraId="6B8C9AB5" w14:textId="77777777" w:rsidR="00072476" w:rsidRDefault="00072476" w:rsidP="00072476">
      <w:pPr>
        <w:tabs>
          <w:tab w:val="left" w:pos="-720"/>
        </w:tabs>
        <w:suppressAutoHyphens/>
        <w:spacing w:after="0" w:line="240" w:lineRule="auto"/>
        <w:ind w:right="-2"/>
        <w:jc w:val="both"/>
        <w:rPr>
          <w:rFonts w:eastAsia="Times New Roman" w:cs="Calibri"/>
          <w:bCs/>
          <w:lang w:eastAsia="hr-HR"/>
        </w:rPr>
      </w:pPr>
    </w:p>
    <w:p w14:paraId="0C1804B3" w14:textId="63B72446" w:rsidR="00072476" w:rsidRPr="00191F9C" w:rsidRDefault="00072476" w:rsidP="00072476">
      <w:pPr>
        <w:tabs>
          <w:tab w:val="left" w:pos="-1701"/>
        </w:tabs>
        <w:spacing w:after="200" w:line="240" w:lineRule="auto"/>
        <w:jc w:val="both"/>
        <w:rPr>
          <w:rFonts w:eastAsia="Times New Roman" w:cs="Calibri"/>
          <w:bCs/>
          <w:lang w:eastAsia="hr-HR"/>
        </w:rPr>
      </w:pPr>
      <w:r w:rsidRPr="00191F9C">
        <w:rPr>
          <w:rFonts w:cs="Calibri"/>
          <w:b/>
          <w:bCs/>
        </w:rPr>
        <w:t>Struktura ljudskih potencijala upravnih tijela i službe</w:t>
      </w:r>
      <w:r>
        <w:rPr>
          <w:rFonts w:cs="Calibri"/>
          <w:b/>
          <w:bCs/>
        </w:rPr>
        <w:t xml:space="preserve">. </w:t>
      </w:r>
      <w:r w:rsidRPr="00191F9C">
        <w:rPr>
          <w:rFonts w:eastAsia="Times New Roman" w:cs="Calibri"/>
          <w:bCs/>
          <w:lang w:eastAsia="hr-HR"/>
        </w:rPr>
        <w:t>U upravnim tijelima (podaci 31</w:t>
      </w:r>
      <w:r w:rsidR="00F001C8">
        <w:rPr>
          <w:rFonts w:eastAsia="Times New Roman" w:cs="Calibri"/>
          <w:bCs/>
          <w:lang w:eastAsia="hr-HR"/>
        </w:rPr>
        <w:t>prosinca</w:t>
      </w:r>
      <w:r w:rsidRPr="00191F9C">
        <w:rPr>
          <w:rFonts w:eastAsia="Times New Roman" w:cs="Calibri"/>
          <w:bCs/>
          <w:lang w:eastAsia="hr-HR"/>
        </w:rPr>
        <w:t xml:space="preserve"> 2020.) Grada Zagreba zaposleno je </w:t>
      </w:r>
      <w:r w:rsidR="00F001C8">
        <w:rPr>
          <w:rFonts w:eastAsia="Times New Roman" w:cs="Calibri"/>
          <w:bCs/>
          <w:lang w:eastAsia="hr-HR"/>
        </w:rPr>
        <w:t>3.231</w:t>
      </w:r>
      <w:r w:rsidRPr="00191F9C">
        <w:rPr>
          <w:rFonts w:eastAsia="Times New Roman" w:cs="Calibri"/>
          <w:bCs/>
          <w:lang w:eastAsia="hr-HR"/>
        </w:rPr>
        <w:t xml:space="preserve"> djelatnika, </w:t>
      </w:r>
      <w:r w:rsidR="003B227E">
        <w:rPr>
          <w:rFonts w:eastAsia="Times New Roman" w:cs="Calibri"/>
          <w:bCs/>
          <w:lang w:eastAsia="hr-HR"/>
        </w:rPr>
        <w:t xml:space="preserve">od 1.1.2022. </w:t>
      </w:r>
      <w:r w:rsidRPr="00191F9C">
        <w:rPr>
          <w:rFonts w:eastAsia="Times New Roman" w:cs="Calibri"/>
          <w:bCs/>
          <w:lang w:eastAsia="hr-HR"/>
        </w:rPr>
        <w:t xml:space="preserve">raspoređenih u </w:t>
      </w:r>
      <w:r w:rsidR="00F001C8">
        <w:rPr>
          <w:rFonts w:eastAsia="Times New Roman" w:cs="Calibri"/>
          <w:bCs/>
          <w:lang w:eastAsia="hr-HR"/>
        </w:rPr>
        <w:t>16</w:t>
      </w:r>
      <w:r w:rsidRPr="00191F9C">
        <w:rPr>
          <w:rFonts w:eastAsia="Times New Roman" w:cs="Calibri"/>
          <w:bCs/>
          <w:lang w:eastAsia="hr-HR"/>
        </w:rPr>
        <w:t xml:space="preserve"> ureda, zavoda i službi. Prema dobnoj strukturi službenika, službenici od 20 – 30 g. čine 7,28%, od 31-40 g. 23,99%, od 41-50 g. 31,30%, od 51-60 g. 27,22% te više od 60 g. 10,20%. Najveći udio službenika (52,94%) ima visoku stručnu spremu, dok nešto manji udio ima srednju stručnu spremu (35,51%). 94,83% službenika je informatički pismeno.</w:t>
      </w:r>
    </w:p>
    <w:p w14:paraId="1078ECB8" w14:textId="66081961" w:rsidR="00072476" w:rsidRPr="00191F9C" w:rsidRDefault="00072476" w:rsidP="00B8319D">
      <w:pPr>
        <w:pStyle w:val="Stil2"/>
      </w:pPr>
      <w:r w:rsidRPr="00191F9C">
        <w:br/>
      </w:r>
      <w:bookmarkStart w:id="146" w:name="_Toc97123859"/>
      <w:r w:rsidRPr="00191F9C">
        <w:t>6.1.</w:t>
      </w:r>
      <w:r>
        <w:t>3</w:t>
      </w:r>
      <w:r w:rsidRPr="00191F9C">
        <w:t>. Upravljanje i koordinacija upravnih tijela</w:t>
      </w:r>
      <w:bookmarkEnd w:id="146"/>
    </w:p>
    <w:p w14:paraId="0A1E1056"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Upravljanje i koordinacija radom gradskih upravnih tijela u provedbi poslova što su u djelokrugu Grada općenito, te razmatranje najznačajnijih pitanja od značaja za Grad na najvišoj razini, između ostalog i pitanja što se odnose na strateško planiranje razvoja Grada, strateške programe i projekte, obavlja Kolegij kojega čine gradonačelnik, zamjenici gradonačelnika i svi pročelnici. </w:t>
      </w:r>
    </w:p>
    <w:p w14:paraId="3E655D47" w14:textId="77777777" w:rsidR="00072476" w:rsidRPr="00191F9C" w:rsidRDefault="00072476" w:rsidP="00072476">
      <w:pPr>
        <w:autoSpaceDE w:val="0"/>
        <w:autoSpaceDN w:val="0"/>
        <w:adjustRightInd w:val="0"/>
        <w:spacing w:after="200" w:line="240" w:lineRule="auto"/>
        <w:jc w:val="both"/>
        <w:rPr>
          <w:rFonts w:eastAsia="Times New Roman" w:cs="Calibri"/>
          <w:bCs/>
          <w:lang w:eastAsia="hr-HR"/>
        </w:rPr>
      </w:pPr>
      <w:r w:rsidRPr="00191F9C">
        <w:rPr>
          <w:rFonts w:cs="Calibri"/>
        </w:rPr>
        <w:t xml:space="preserve">Gradonačelnik, predsjednik Gradske skupštine i predsjednici vijeća gradskih četvrti čine koordinaciju. Koordinacija raspravlja o zajedničkim pitanjima važnim za gradske četvrti i Grad Zagreb, u pravilu </w:t>
      </w:r>
      <w:r w:rsidRPr="00191F9C">
        <w:rPr>
          <w:rFonts w:eastAsia="Times New Roman" w:cs="Calibri"/>
          <w:bCs/>
          <w:lang w:eastAsia="hr-HR"/>
        </w:rPr>
        <w:t>nakon sjednica Gradske skupštine.</w:t>
      </w:r>
    </w:p>
    <w:p w14:paraId="51B842CF" w14:textId="77777777" w:rsidR="00072476" w:rsidRPr="00191F9C" w:rsidRDefault="00072476" w:rsidP="00072476">
      <w:pPr>
        <w:autoSpaceDE w:val="0"/>
        <w:autoSpaceDN w:val="0"/>
        <w:adjustRightInd w:val="0"/>
        <w:spacing w:after="200" w:line="240" w:lineRule="auto"/>
        <w:jc w:val="both"/>
        <w:rPr>
          <w:rFonts w:eastAsia="Times New Roman" w:cs="Calibri"/>
          <w:bCs/>
          <w:lang w:eastAsia="hr-HR"/>
        </w:rPr>
      </w:pPr>
      <w:r w:rsidRPr="00191F9C">
        <w:rPr>
          <w:rFonts w:eastAsia="Times New Roman" w:cs="Calibri"/>
          <w:bCs/>
          <w:lang w:eastAsia="hr-HR"/>
        </w:rPr>
        <w:t>Priprema, predlaganje, izrada i provedba razvojnih inicijativa, odnosno projekata te strateških dokumenata i programa podrazumijeva uključenost i djelovanje svih mjerodavnih gradskih upravnih tijela, putem radnih tijela i/ili predstavnika. U odnosu na oba oblika zamjećuje se nedostatna razina i kvaliteta zajedničke interakcije i suradnje.</w:t>
      </w:r>
    </w:p>
    <w:tbl>
      <w:tblPr>
        <w:tblW w:w="5000" w:type="pct"/>
        <w:shd w:val="clear" w:color="auto" w:fill="CCCCCC"/>
        <w:tblLook w:val="01E0" w:firstRow="1" w:lastRow="1" w:firstColumn="1" w:lastColumn="1" w:noHBand="0" w:noVBand="0"/>
      </w:tblPr>
      <w:tblGrid>
        <w:gridCol w:w="4536"/>
        <w:gridCol w:w="4536"/>
      </w:tblGrid>
      <w:tr w:rsidR="00072476" w:rsidRPr="00191F9C" w14:paraId="0D47326D" w14:textId="77777777" w:rsidTr="00072476">
        <w:tc>
          <w:tcPr>
            <w:tcW w:w="2500" w:type="pct"/>
            <w:shd w:val="clear" w:color="auto" w:fill="CCCCCC"/>
          </w:tcPr>
          <w:p w14:paraId="24E7ED1F"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RAZVOJNI PROBLEMI</w:t>
            </w:r>
          </w:p>
        </w:tc>
        <w:tc>
          <w:tcPr>
            <w:tcW w:w="2500" w:type="pct"/>
            <w:shd w:val="clear" w:color="auto" w:fill="99CCFF"/>
          </w:tcPr>
          <w:p w14:paraId="708083A5"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364E0E20" w14:textId="77777777" w:rsidTr="00072476">
        <w:tc>
          <w:tcPr>
            <w:tcW w:w="2500" w:type="pct"/>
            <w:shd w:val="clear" w:color="auto" w:fill="CCCCCC"/>
          </w:tcPr>
          <w:p w14:paraId="7F663F35"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Nedovoljno provođenje plana upravljanja ljudskim resursima </w:t>
            </w:r>
          </w:p>
          <w:p w14:paraId="1093DCA0"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Nedovoljno razvijeni mehanizmi za komunikaciju i koordinaciju rada unutar i između upravnih tijela</w:t>
            </w:r>
          </w:p>
          <w:p w14:paraId="1383B015" w14:textId="77777777" w:rsidR="00072476" w:rsidRPr="00191F9C" w:rsidRDefault="00072476" w:rsidP="00072476">
            <w:pPr>
              <w:spacing w:before="60" w:after="60" w:line="240" w:lineRule="auto"/>
              <w:ind w:right="-2"/>
              <w:rPr>
                <w:rFonts w:eastAsia="Times New Roman" w:cs="Calibri"/>
                <w:sz w:val="18"/>
                <w:szCs w:val="18"/>
                <w:lang w:eastAsia="hr-HR"/>
              </w:rPr>
            </w:pPr>
          </w:p>
        </w:tc>
        <w:tc>
          <w:tcPr>
            <w:tcW w:w="2500" w:type="pct"/>
            <w:shd w:val="clear" w:color="auto" w:fill="99CCFF"/>
          </w:tcPr>
          <w:p w14:paraId="3E06D3D2"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Razviti mehanizme za unapređivanje komunikacije i protoka informacija između i unutar upravnih tijela</w:t>
            </w:r>
          </w:p>
          <w:p w14:paraId="26F8EFFD"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Razvijati sustav pokazatelja za mjerenje rezultata rada upravnih tijela i stupanj dostizanja postavljenih ciljeva na pojedinim tematskim područjima</w:t>
            </w:r>
          </w:p>
          <w:p w14:paraId="371B8870"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Uvesti u praksu sustav nagrađivanja djelatnika ovisno o postignutim rezultatima </w:t>
            </w:r>
          </w:p>
        </w:tc>
      </w:tr>
    </w:tbl>
    <w:p w14:paraId="6B80A881" w14:textId="77777777" w:rsidR="00072476" w:rsidRDefault="00072476" w:rsidP="00072476">
      <w:pPr>
        <w:tabs>
          <w:tab w:val="left" w:pos="-1701"/>
        </w:tabs>
        <w:spacing w:after="200" w:line="276" w:lineRule="auto"/>
        <w:rPr>
          <w:rFonts w:cs="Calibri"/>
          <w:b/>
          <w:bCs/>
        </w:rPr>
      </w:pPr>
    </w:p>
    <w:p w14:paraId="41CD569F" w14:textId="444AC7E5" w:rsidR="00072476" w:rsidRPr="00191F9C" w:rsidRDefault="00072476" w:rsidP="00B8319D">
      <w:pPr>
        <w:pStyle w:val="Stil2"/>
      </w:pPr>
      <w:bookmarkStart w:id="147" w:name="_Toc97123860"/>
      <w:r w:rsidRPr="00191F9C">
        <w:t>6.1.</w:t>
      </w:r>
      <w:r>
        <w:t>4</w:t>
      </w:r>
      <w:r w:rsidRPr="00191F9C">
        <w:t>. Strateško planiranje razvoja Grada</w:t>
      </w:r>
      <w:bookmarkEnd w:id="147"/>
    </w:p>
    <w:p w14:paraId="7D80F20B" w14:textId="47ACB2CA" w:rsidR="00072476" w:rsidRDefault="00072476" w:rsidP="00072476">
      <w:pPr>
        <w:spacing w:after="0" w:line="240" w:lineRule="auto"/>
        <w:contextualSpacing/>
        <w:jc w:val="both"/>
        <w:textAlignment w:val="baseline"/>
        <w:rPr>
          <w:rFonts w:cs="Calibri"/>
          <w:bCs/>
          <w:lang w:eastAsia="x-none"/>
        </w:rPr>
      </w:pPr>
      <w:r w:rsidRPr="00191F9C">
        <w:rPr>
          <w:rFonts w:cs="Calibri"/>
          <w:bCs/>
          <w:lang w:eastAsia="x-none"/>
        </w:rPr>
        <w:t>Politika regionalnog razvoja te sustavni proces strateškog planiranja razvoja u Republici Hrvatskoj na razini županija svoju osnovu nalazi u propisima o regionalnom razvoju</w:t>
      </w:r>
      <w:r w:rsidR="00BD34B2">
        <w:rPr>
          <w:rFonts w:cs="Calibri"/>
          <w:bCs/>
          <w:lang w:eastAsia="x-none"/>
        </w:rPr>
        <w:t xml:space="preserve"> </w:t>
      </w:r>
      <w:r w:rsidR="00BD34B2" w:rsidRPr="00BD34B2">
        <w:rPr>
          <w:rFonts w:cs="Calibri"/>
          <w:bCs/>
          <w:lang w:eastAsia="x-none"/>
        </w:rPr>
        <w:t>i sustavu strateškog planiranja i upravljanja razvojem kao</w:t>
      </w:r>
      <w:r w:rsidRPr="00191F9C">
        <w:rPr>
          <w:rFonts w:cs="Calibri"/>
          <w:bCs/>
          <w:lang w:eastAsia="x-none"/>
        </w:rPr>
        <w:t xml:space="preserve"> i</w:t>
      </w:r>
      <w:r w:rsidR="00BD34B2">
        <w:rPr>
          <w:rFonts w:cs="Calibri"/>
          <w:bCs/>
          <w:lang w:eastAsia="x-none"/>
        </w:rPr>
        <w:t xml:space="preserve"> u</w:t>
      </w:r>
      <w:r w:rsidRPr="00191F9C">
        <w:rPr>
          <w:rFonts w:cs="Calibri"/>
          <w:bCs/>
          <w:lang w:eastAsia="x-none"/>
        </w:rPr>
        <w:t xml:space="preserve"> </w:t>
      </w:r>
      <w:r w:rsidR="00BD34B2">
        <w:rPr>
          <w:rFonts w:cs="Calibri"/>
          <w:bCs/>
          <w:lang w:eastAsia="x-none"/>
        </w:rPr>
        <w:t>N</w:t>
      </w:r>
      <w:r w:rsidRPr="00191F9C">
        <w:rPr>
          <w:rFonts w:cs="Calibri"/>
          <w:bCs/>
          <w:lang w:eastAsia="x-none"/>
        </w:rPr>
        <w:t>acionalnoj</w:t>
      </w:r>
      <w:r w:rsidR="00BD34B2">
        <w:rPr>
          <w:rFonts w:cs="Calibri"/>
          <w:bCs/>
          <w:lang w:eastAsia="x-none"/>
        </w:rPr>
        <w:t xml:space="preserve"> razvojnoj strategiji Republike Hrvatske do 2030. godine</w:t>
      </w:r>
      <w:r w:rsidRPr="00191F9C">
        <w:rPr>
          <w:rFonts w:cs="Calibri"/>
          <w:bCs/>
          <w:lang w:eastAsia="x-none"/>
        </w:rPr>
        <w:t xml:space="preserve">. Strateško planiranje je sastavni dio proračunskih procesa, čime i dio sveukupnog sustava proračunskog planiranja, te, u kontekstu proračunske politike, jedna od sastavnica financijskog upravljanja i kontrola odnosno osiguranja financijske odgovornosti. </w:t>
      </w:r>
    </w:p>
    <w:p w14:paraId="56D2797E" w14:textId="1E63EECF" w:rsidR="00072476" w:rsidRPr="00191F9C" w:rsidRDefault="00072476" w:rsidP="00072476">
      <w:pPr>
        <w:spacing w:after="0" w:line="240" w:lineRule="auto"/>
        <w:contextualSpacing/>
        <w:jc w:val="both"/>
        <w:textAlignment w:val="baseline"/>
        <w:rPr>
          <w:rFonts w:cs="Calibri"/>
        </w:rPr>
      </w:pPr>
      <w:r>
        <w:rPr>
          <w:rFonts w:eastAsia="Times New Roman" w:cs="Calibri"/>
          <w:bCs/>
          <w:lang w:eastAsia="hr-HR"/>
        </w:rPr>
        <w:t>Nadležno</w:t>
      </w:r>
      <w:r w:rsidRPr="00191F9C">
        <w:rPr>
          <w:rFonts w:eastAsia="Times New Roman" w:cs="Calibri"/>
          <w:bCs/>
          <w:lang w:eastAsia="hr-HR"/>
        </w:rPr>
        <w:t xml:space="preserve"> tijelo za strateško planiranje razvoja Grada jest Razvojna agencija</w:t>
      </w:r>
      <w:r>
        <w:rPr>
          <w:rFonts w:eastAsia="Times New Roman" w:cs="Calibri"/>
          <w:bCs/>
          <w:lang w:eastAsia="hr-HR"/>
        </w:rPr>
        <w:t xml:space="preserve"> Zagreb</w:t>
      </w:r>
      <w:r w:rsidRPr="00191F9C">
        <w:rPr>
          <w:rFonts w:eastAsia="Times New Roman" w:cs="Calibri"/>
          <w:bCs/>
          <w:lang w:eastAsia="hr-HR"/>
        </w:rPr>
        <w:t xml:space="preserve"> za koordinaciju i poticanje regionalnog razvoja (u daljnjem tekstu: Razvojna agencija Zagreb) koja, u skladu s politikom regionalnog razvoja jedinica područne (regionalne) samouprave, obavlja poslove </w:t>
      </w:r>
      <w:r>
        <w:rPr>
          <w:rFonts w:eastAsia="Times New Roman" w:cs="Calibri"/>
          <w:bCs/>
          <w:lang w:eastAsia="hr-HR"/>
        </w:rPr>
        <w:t>koji</w:t>
      </w:r>
      <w:r w:rsidRPr="00191F9C">
        <w:rPr>
          <w:rFonts w:eastAsia="Times New Roman" w:cs="Calibri"/>
          <w:bCs/>
          <w:lang w:eastAsia="hr-HR"/>
        </w:rPr>
        <w:t xml:space="preserve"> se odnose na koordinaciju i poticanje regionalnog razvoja. Razvojna agencija Zagreb osnovana je Odlukom o osnivanju javne ustanove "Razvojna agencija Zagreb za koordinaciju i poticanje regionalnog razvoja" </w:t>
      </w:r>
      <w:r w:rsidR="00BD34B2">
        <w:rPr>
          <w:rFonts w:eastAsia="Times New Roman" w:cs="Calibri"/>
          <w:bCs/>
          <w:lang w:eastAsia="hr-HR"/>
        </w:rPr>
        <w:t xml:space="preserve">koju je </w:t>
      </w:r>
      <w:r w:rsidRPr="00191F9C">
        <w:rPr>
          <w:rFonts w:eastAsia="Times New Roman" w:cs="Calibri"/>
          <w:bCs/>
          <w:lang w:eastAsia="hr-HR"/>
        </w:rPr>
        <w:t xml:space="preserve"> Gradsk</w:t>
      </w:r>
      <w:r w:rsidR="00BD34B2">
        <w:rPr>
          <w:rFonts w:eastAsia="Times New Roman" w:cs="Calibri"/>
          <w:bCs/>
          <w:lang w:eastAsia="hr-HR"/>
        </w:rPr>
        <w:t>a</w:t>
      </w:r>
      <w:r w:rsidRPr="00191F9C">
        <w:rPr>
          <w:rFonts w:eastAsia="Times New Roman" w:cs="Calibri"/>
          <w:bCs/>
          <w:lang w:eastAsia="hr-HR"/>
        </w:rPr>
        <w:t xml:space="preserve"> skupštin</w:t>
      </w:r>
      <w:r w:rsidR="00BD34B2">
        <w:rPr>
          <w:rFonts w:eastAsia="Times New Roman" w:cs="Calibri"/>
          <w:bCs/>
          <w:lang w:eastAsia="hr-HR"/>
        </w:rPr>
        <w:t>a</w:t>
      </w:r>
      <w:r w:rsidRPr="00191F9C">
        <w:rPr>
          <w:rFonts w:eastAsia="Times New Roman" w:cs="Calibri"/>
          <w:bCs/>
          <w:lang w:eastAsia="hr-HR"/>
        </w:rPr>
        <w:t xml:space="preserve"> Grada Zagreba </w:t>
      </w:r>
      <w:r w:rsidR="00BD34B2">
        <w:rPr>
          <w:rFonts w:eastAsia="Times New Roman" w:cs="Calibri"/>
          <w:bCs/>
          <w:lang w:eastAsia="hr-HR"/>
        </w:rPr>
        <w:t xml:space="preserve">donijela </w:t>
      </w:r>
      <w:r w:rsidRPr="00191F9C">
        <w:rPr>
          <w:rFonts w:eastAsia="Times New Roman" w:cs="Calibri"/>
          <w:bCs/>
          <w:lang w:eastAsia="hr-HR"/>
        </w:rPr>
        <w:t xml:space="preserve">24. svibnja 2018. godine. </w:t>
      </w:r>
    </w:p>
    <w:p w14:paraId="638BCD62" w14:textId="72CD5F09" w:rsidR="00072476" w:rsidRPr="00191F9C" w:rsidRDefault="00072476" w:rsidP="00072476">
      <w:pPr>
        <w:spacing w:after="0" w:line="240" w:lineRule="auto"/>
        <w:contextualSpacing/>
        <w:jc w:val="both"/>
        <w:textAlignment w:val="baseline"/>
        <w:rPr>
          <w:rFonts w:cs="Calibri"/>
          <w:bCs/>
          <w:color w:val="000000"/>
          <w:kern w:val="24"/>
          <w:lang w:eastAsia="x-none"/>
        </w:rPr>
      </w:pPr>
      <w:r w:rsidRPr="00191F9C">
        <w:rPr>
          <w:rFonts w:cs="Calibri"/>
          <w:bCs/>
          <w:color w:val="000000"/>
          <w:kern w:val="24"/>
          <w:lang w:eastAsia="x-none"/>
        </w:rPr>
        <w:t xml:space="preserve">Na 31. sjednici Gradske skupštine Grada Zagreba održanoj 06. veljače 2020. godine prihvaćen je prijedlog zaključka o pokretanju postupka izrade Plana razvoja Grada Zagreba za razdoblje 2021. – 2027., čiji </w:t>
      </w:r>
      <w:r w:rsidR="00B04D86">
        <w:rPr>
          <w:rFonts w:cs="Calibri"/>
          <w:bCs/>
          <w:color w:val="000000"/>
          <w:kern w:val="24"/>
          <w:lang w:eastAsia="x-none"/>
        </w:rPr>
        <w:t xml:space="preserve">je </w:t>
      </w:r>
      <w:r w:rsidRPr="00191F9C">
        <w:rPr>
          <w:rFonts w:cs="Calibri"/>
          <w:bCs/>
          <w:color w:val="000000"/>
          <w:kern w:val="24"/>
          <w:lang w:eastAsia="x-none"/>
        </w:rPr>
        <w:t xml:space="preserve"> nositelj i koordinator aktivnosti Razvojna agencija Zagreb. </w:t>
      </w:r>
    </w:p>
    <w:p w14:paraId="0553170D" w14:textId="77777777" w:rsidR="00072476" w:rsidRPr="00191F9C" w:rsidRDefault="00072476" w:rsidP="00072476">
      <w:pPr>
        <w:spacing w:after="0" w:line="240" w:lineRule="auto"/>
        <w:contextualSpacing/>
        <w:jc w:val="both"/>
        <w:textAlignment w:val="baseline"/>
        <w:rPr>
          <w:rFonts w:cs="Calibri"/>
          <w:strike/>
          <w:color w:val="000000"/>
          <w:kern w:val="24"/>
          <w:lang w:eastAsia="x-none"/>
        </w:rPr>
      </w:pPr>
    </w:p>
    <w:tbl>
      <w:tblPr>
        <w:tblW w:w="5000" w:type="pct"/>
        <w:shd w:val="clear" w:color="auto" w:fill="CCCCCC"/>
        <w:tblLook w:val="01E0" w:firstRow="1" w:lastRow="1" w:firstColumn="1" w:lastColumn="1" w:noHBand="0" w:noVBand="0"/>
      </w:tblPr>
      <w:tblGrid>
        <w:gridCol w:w="4536"/>
        <w:gridCol w:w="4536"/>
      </w:tblGrid>
      <w:tr w:rsidR="00072476" w:rsidRPr="00191F9C" w14:paraId="24D1B792" w14:textId="77777777" w:rsidTr="00072476">
        <w:tc>
          <w:tcPr>
            <w:tcW w:w="2500" w:type="pct"/>
            <w:shd w:val="clear" w:color="auto" w:fill="CCCCCC"/>
          </w:tcPr>
          <w:p w14:paraId="5FA7F728" w14:textId="77777777" w:rsidR="00072476" w:rsidRPr="00191F9C" w:rsidRDefault="00072476" w:rsidP="00072476">
            <w:pPr>
              <w:spacing w:after="0" w:line="240" w:lineRule="auto"/>
              <w:ind w:right="-2"/>
              <w:rPr>
                <w:rFonts w:eastAsia="Times New Roman" w:cs="Calibri"/>
                <w:b/>
                <w:sz w:val="18"/>
                <w:szCs w:val="18"/>
                <w:lang w:eastAsia="hr-HR"/>
              </w:rPr>
            </w:pPr>
            <w:r w:rsidRPr="00191F9C">
              <w:rPr>
                <w:rFonts w:eastAsia="Times New Roman" w:cs="Calibri"/>
                <w:b/>
                <w:sz w:val="18"/>
                <w:szCs w:val="18"/>
                <w:lang w:eastAsia="hr-HR"/>
              </w:rPr>
              <w:t>RAZVOJNI PROBLEMI</w:t>
            </w:r>
          </w:p>
        </w:tc>
        <w:tc>
          <w:tcPr>
            <w:tcW w:w="2500" w:type="pct"/>
            <w:shd w:val="clear" w:color="auto" w:fill="AFD7FF"/>
          </w:tcPr>
          <w:p w14:paraId="49C1A487" w14:textId="77777777" w:rsidR="00072476" w:rsidRPr="00191F9C" w:rsidRDefault="00072476" w:rsidP="00072476">
            <w:pPr>
              <w:spacing w:after="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38169AEF" w14:textId="77777777" w:rsidTr="00072476">
        <w:tc>
          <w:tcPr>
            <w:tcW w:w="2500" w:type="pct"/>
            <w:shd w:val="clear" w:color="auto" w:fill="CCCCCC"/>
          </w:tcPr>
          <w:p w14:paraId="1C7C1E6E" w14:textId="3363E5EA"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poznavanje procesa strateškog planiranja, kao i sam</w:t>
            </w:r>
            <w:r w:rsidR="00797CC0">
              <w:rPr>
                <w:rFonts w:eastAsia="Times New Roman" w:cs="Calibri"/>
                <w:sz w:val="18"/>
                <w:szCs w:val="18"/>
                <w:lang w:eastAsia="hr-HR"/>
              </w:rPr>
              <w:t>ih</w:t>
            </w:r>
            <w:r w:rsidRPr="00191F9C">
              <w:rPr>
                <w:rFonts w:eastAsia="Times New Roman" w:cs="Calibri"/>
                <w:sz w:val="18"/>
                <w:szCs w:val="18"/>
                <w:lang w:eastAsia="hr-HR"/>
              </w:rPr>
              <w:t xml:space="preserve"> </w:t>
            </w:r>
            <w:r w:rsidR="00797CC0">
              <w:rPr>
                <w:rFonts w:eastAsia="Times New Roman" w:cs="Calibri"/>
                <w:sz w:val="18"/>
                <w:szCs w:val="18"/>
                <w:lang w:eastAsia="hr-HR"/>
              </w:rPr>
              <w:t xml:space="preserve">akata strateškog planiranja </w:t>
            </w:r>
            <w:r w:rsidRPr="00191F9C">
              <w:rPr>
                <w:rFonts w:eastAsia="Times New Roman" w:cs="Calibri"/>
                <w:sz w:val="18"/>
                <w:szCs w:val="18"/>
                <w:lang w:eastAsia="hr-HR"/>
              </w:rPr>
              <w:t>još uvijek nije dostiglo zadovoljavajuću razinu</w:t>
            </w:r>
          </w:p>
          <w:p w14:paraId="60A812E3" w14:textId="08F17220"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 xml:space="preserve">ključni dionici svoje godišnje planove rada još nisu u potpunosti uskladili s </w:t>
            </w:r>
            <w:r w:rsidR="00797CC0">
              <w:rPr>
                <w:rFonts w:eastAsia="Times New Roman" w:cs="Calibri"/>
                <w:sz w:val="18"/>
                <w:szCs w:val="18"/>
                <w:lang w:eastAsia="hr-HR"/>
              </w:rPr>
              <w:t xml:space="preserve"> aktima strateškog planiranja</w:t>
            </w:r>
          </w:p>
          <w:p w14:paraId="2AE97FC2" w14:textId="5E4A38E2"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 xml:space="preserve">nedovoljno razvijeni mehanizmi za prikupljanje povratnih informacija o provedbi aktivnosti i mjera </w:t>
            </w:r>
            <w:r w:rsidR="00797CC0">
              <w:rPr>
                <w:rFonts w:eastAsia="Times New Roman" w:cs="Calibri"/>
                <w:sz w:val="18"/>
                <w:szCs w:val="18"/>
                <w:lang w:eastAsia="hr-HR"/>
              </w:rPr>
              <w:t xml:space="preserve"> akata strateškog planiranja</w:t>
            </w:r>
            <w:r w:rsidRPr="00191F9C">
              <w:rPr>
                <w:rFonts w:eastAsia="Times New Roman" w:cs="Calibri"/>
                <w:sz w:val="18"/>
                <w:szCs w:val="18"/>
                <w:lang w:eastAsia="hr-HR"/>
              </w:rPr>
              <w:t>od ključnih dionika</w:t>
            </w:r>
          </w:p>
        </w:tc>
        <w:tc>
          <w:tcPr>
            <w:tcW w:w="2500" w:type="pct"/>
            <w:shd w:val="clear" w:color="auto" w:fill="AFD7FF"/>
          </w:tcPr>
          <w:p w14:paraId="5AD70187" w14:textId="60751B8E"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 xml:space="preserve">povećati razumijevanje procesa strateškog planiranja i značaja </w:t>
            </w:r>
            <w:r w:rsidR="00F437F3">
              <w:rPr>
                <w:rFonts w:eastAsia="Times New Roman" w:cs="Calibri"/>
                <w:sz w:val="18"/>
                <w:szCs w:val="18"/>
                <w:lang w:eastAsia="hr-HR"/>
              </w:rPr>
              <w:t xml:space="preserve">akata strateškog planiranja </w:t>
            </w:r>
          </w:p>
          <w:p w14:paraId="05627FE6" w14:textId="07AEEE2E" w:rsidR="00072476"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 xml:space="preserve">uskladiti godišnje planove rada ključnih dionika s </w:t>
            </w:r>
            <w:r w:rsidR="00F437F3">
              <w:rPr>
                <w:rFonts w:eastAsia="Times New Roman" w:cs="Calibri"/>
                <w:sz w:val="18"/>
                <w:szCs w:val="18"/>
                <w:lang w:eastAsia="hr-HR"/>
              </w:rPr>
              <w:t xml:space="preserve">aktima strateškog planiranja </w:t>
            </w:r>
          </w:p>
          <w:p w14:paraId="2ED14497" w14:textId="0B52AFA6" w:rsidR="00072476" w:rsidRPr="009E0BBF"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9E0BBF">
              <w:rPr>
                <w:rFonts w:eastAsia="Times New Roman" w:cs="Calibri"/>
                <w:sz w:val="18"/>
                <w:szCs w:val="18"/>
                <w:lang w:eastAsia="hr-HR"/>
              </w:rPr>
              <w:t>razvijati sustav prikupljanja povratnih informacija o provedbi aktivnosti i mjera</w:t>
            </w:r>
            <w:r w:rsidR="00F437F3">
              <w:rPr>
                <w:rFonts w:eastAsia="Times New Roman" w:cs="Calibri"/>
                <w:sz w:val="18"/>
                <w:szCs w:val="18"/>
                <w:lang w:eastAsia="hr-HR"/>
              </w:rPr>
              <w:t xml:space="preserve"> Plana razvoja</w:t>
            </w:r>
          </w:p>
          <w:p w14:paraId="2D412AE0" w14:textId="77777777" w:rsidR="00072476" w:rsidRPr="00191F9C" w:rsidRDefault="00072476" w:rsidP="00072476">
            <w:pPr>
              <w:spacing w:after="0" w:line="240" w:lineRule="auto"/>
              <w:ind w:left="284" w:right="-2"/>
              <w:rPr>
                <w:rFonts w:eastAsia="Times New Roman" w:cs="Calibri"/>
                <w:sz w:val="18"/>
                <w:szCs w:val="18"/>
                <w:lang w:eastAsia="hr-HR"/>
              </w:rPr>
            </w:pPr>
          </w:p>
        </w:tc>
      </w:tr>
    </w:tbl>
    <w:p w14:paraId="56428835" w14:textId="787362D6" w:rsidR="00072476" w:rsidRPr="00191F9C" w:rsidRDefault="00072476" w:rsidP="00B8319D">
      <w:pPr>
        <w:pStyle w:val="Stil2"/>
      </w:pPr>
      <w:r w:rsidRPr="00191F9C">
        <w:br/>
      </w:r>
      <w:bookmarkStart w:id="148" w:name="_Toc97123861"/>
      <w:r w:rsidRPr="00191F9C">
        <w:t>6.1.5. Instrumenti u funkciji unapr</w:t>
      </w:r>
      <w:r w:rsidR="00C34688">
        <w:t>j</w:t>
      </w:r>
      <w:r w:rsidRPr="00191F9C">
        <w:t>eđenja gradske uprave</w:t>
      </w:r>
      <w:bookmarkEnd w:id="148"/>
    </w:p>
    <w:p w14:paraId="51703ABC" w14:textId="77777777" w:rsidR="00072476" w:rsidRPr="008E5232" w:rsidRDefault="00072476" w:rsidP="00072476">
      <w:pPr>
        <w:spacing w:after="200" w:line="240" w:lineRule="auto"/>
        <w:jc w:val="both"/>
        <w:rPr>
          <w:rFonts w:cs="Calibri"/>
          <w:iCs/>
        </w:rPr>
      </w:pPr>
      <w:r w:rsidRPr="008E5232">
        <w:rPr>
          <w:rFonts w:cs="Calibri"/>
          <w:iCs/>
        </w:rPr>
        <w:t>Javna uprava širom svijeta suoč</w:t>
      </w:r>
      <w:r>
        <w:rPr>
          <w:rFonts w:cs="Calibri"/>
          <w:iCs/>
        </w:rPr>
        <w:t xml:space="preserve">ava se s dinamičnim </w:t>
      </w:r>
      <w:r w:rsidRPr="008E5232">
        <w:rPr>
          <w:rFonts w:cs="Calibri"/>
          <w:iCs/>
        </w:rPr>
        <w:t xml:space="preserve"> izazovima političkih, ekonomskih i društvenih promjena, stoga je potrebno brže odgovoriti prilagođavanjem promjenama te kontinuirano uspostavljati transformacijsku kulturu.</w:t>
      </w:r>
    </w:p>
    <w:p w14:paraId="598A2433" w14:textId="77777777" w:rsidR="00072476" w:rsidRPr="008E5232" w:rsidRDefault="00072476" w:rsidP="00072476">
      <w:pPr>
        <w:spacing w:after="200" w:line="240" w:lineRule="auto"/>
        <w:jc w:val="both"/>
        <w:rPr>
          <w:rFonts w:cs="Calibri"/>
          <w:bCs/>
        </w:rPr>
      </w:pPr>
      <w:r w:rsidRPr="00EF6DEB">
        <w:rPr>
          <w:rFonts w:cs="Calibri"/>
          <w:iCs/>
        </w:rPr>
        <w:t>Grad Zagreb</w:t>
      </w:r>
      <w:r w:rsidRPr="008E5232">
        <w:rPr>
          <w:rFonts w:cs="Calibri"/>
          <w:bCs/>
          <w:iCs/>
        </w:rPr>
        <w:t xml:space="preserve"> kontinuirano radi na dizajnu i implementaciji novih poslovnih modela i procesa</w:t>
      </w:r>
      <w:r>
        <w:rPr>
          <w:rFonts w:cs="Calibri"/>
          <w:bCs/>
          <w:iCs/>
        </w:rPr>
        <w:t>,</w:t>
      </w:r>
      <w:r w:rsidRPr="008E5232">
        <w:rPr>
          <w:rFonts w:cs="Calibri"/>
          <w:bCs/>
          <w:iCs/>
        </w:rPr>
        <w:t xml:space="preserve"> na razvoju novih usluga radi povećanja učinkovitosti, dostupnosti i održivosti javnog servisa i povećanja sigurnosti i odgovornosti Grada</w:t>
      </w:r>
      <w:r>
        <w:rPr>
          <w:rFonts w:cs="Calibri"/>
          <w:bCs/>
          <w:iCs/>
        </w:rPr>
        <w:t xml:space="preserve"> te na t</w:t>
      </w:r>
      <w:r w:rsidRPr="008022CC">
        <w:rPr>
          <w:rFonts w:cs="Calibri"/>
          <w:bCs/>
          <w:iCs/>
        </w:rPr>
        <w:t>ransformacij</w:t>
      </w:r>
      <w:r>
        <w:rPr>
          <w:rFonts w:cs="Calibri"/>
          <w:bCs/>
          <w:iCs/>
        </w:rPr>
        <w:t>i</w:t>
      </w:r>
      <w:r w:rsidRPr="008022CC">
        <w:rPr>
          <w:rFonts w:cs="Calibri"/>
          <w:bCs/>
          <w:iCs/>
        </w:rPr>
        <w:t xml:space="preserve"> strategije u konkretne inovativne projekte za održiv urbani razvoj radi poboljšanja kvalitete života građana</w:t>
      </w:r>
      <w:r>
        <w:rPr>
          <w:rFonts w:cs="Calibri"/>
          <w:bCs/>
          <w:iCs/>
        </w:rPr>
        <w:t>.</w:t>
      </w:r>
    </w:p>
    <w:p w14:paraId="239B9391" w14:textId="77777777" w:rsidR="00072476" w:rsidRPr="008E5232" w:rsidRDefault="00072476" w:rsidP="00072476">
      <w:pPr>
        <w:spacing w:after="200" w:line="240" w:lineRule="auto"/>
        <w:jc w:val="both"/>
        <w:rPr>
          <w:rFonts w:cs="Calibri"/>
          <w:bCs/>
        </w:rPr>
      </w:pPr>
      <w:r w:rsidRPr="008E5232">
        <w:rPr>
          <w:rFonts w:cs="Calibri"/>
          <w:bCs/>
        </w:rPr>
        <w:t xml:space="preserve">U Gradu Zagrebu uspostavljen je sustav za upravljanje poslovnim procesima i sustav upravljanja promjenama, radi obavljanja poslova na pravilan, etičan, ekonomičan, učinkovit i djelotvoran način, u funkciji postizanja izvrsnosti poslovanja Gradske uprave i pružanja boljih usluga građanima, poduzetnicima i institucijama. </w:t>
      </w:r>
      <w:r w:rsidRPr="008022CC">
        <w:rPr>
          <w:rFonts w:cs="Calibri"/>
          <w:bCs/>
        </w:rPr>
        <w:t xml:space="preserve">Cilj uspostave sustava je unapređenje gradske uprave kako bi postala učinkovitija te kako bi se prevladale silosne strukture u gradskoj upravi, čime Grad Zagreb postaje </w:t>
      </w:r>
      <w:r w:rsidRPr="006E1CE8">
        <w:rPr>
          <w:rFonts w:cs="Calibri"/>
          <w:bCs/>
        </w:rPr>
        <w:t>pametan grad</w:t>
      </w:r>
      <w:r w:rsidRPr="008022CC">
        <w:rPr>
          <w:rFonts w:cs="Calibri"/>
          <w:bCs/>
        </w:rPr>
        <w:t xml:space="preserve"> implementacijom pametnih poslovnih modela.</w:t>
      </w:r>
      <w:r>
        <w:rPr>
          <w:rFonts w:cs="Calibri"/>
          <w:bCs/>
        </w:rPr>
        <w:t xml:space="preserve"> </w:t>
      </w:r>
      <w:r w:rsidRPr="008E5232">
        <w:rPr>
          <w:rFonts w:cs="Calibri"/>
          <w:bCs/>
        </w:rPr>
        <w:t xml:space="preserve">Izgrađena je učinkovita organizacijska struktura utemeljena na upravljanju poslovnim procesima, koristeći najbolju svjetsku praksu, znanja, metodologije i alate, koja kontinuirano </w:t>
      </w:r>
      <w:r w:rsidRPr="008E5232">
        <w:rPr>
          <w:rFonts w:cs="Calibri"/>
          <w:bCs/>
          <w:iCs/>
        </w:rPr>
        <w:t xml:space="preserve">dizajnira i implementira nove poslovne modele i procese, radi transformacije u održiv i budućnosti orijentiran grad te koja </w:t>
      </w:r>
      <w:r w:rsidRPr="008E5232">
        <w:rPr>
          <w:rFonts w:cs="Calibri"/>
          <w:bCs/>
        </w:rPr>
        <w:t>osigurava da su zadaci, radne aktivnosti i ljudi organizirani na način da se operativni i strateški ciljevi što učinkovitije postignu. Učinkovito upravljanje poslovnim procesima pridonosi podizanju ukupne konkurentnosti grada Zagreba, podiže kvalitetu življenja i povećava zadovoljstvo građana</w:t>
      </w:r>
      <w:r>
        <w:rPr>
          <w:rFonts w:cs="Calibri"/>
          <w:bCs/>
        </w:rPr>
        <w:t>.</w:t>
      </w:r>
    </w:p>
    <w:p w14:paraId="2278EFC1" w14:textId="77777777" w:rsidR="00072476" w:rsidRDefault="00072476" w:rsidP="00072476">
      <w:pPr>
        <w:spacing w:after="200" w:line="240" w:lineRule="auto"/>
        <w:jc w:val="both"/>
        <w:rPr>
          <w:rFonts w:cs="Calibri"/>
          <w:bCs/>
          <w:iCs/>
        </w:rPr>
      </w:pPr>
      <w:r>
        <w:rPr>
          <w:rFonts w:cs="Calibri"/>
          <w:bCs/>
          <w:iCs/>
        </w:rPr>
        <w:t>Od</w:t>
      </w:r>
      <w:r w:rsidRPr="00863DBB">
        <w:rPr>
          <w:rFonts w:cs="Calibri"/>
          <w:bCs/>
          <w:iCs/>
        </w:rPr>
        <w:t xml:space="preserve"> 2012. godine </w:t>
      </w:r>
      <w:r>
        <w:rPr>
          <w:rFonts w:cs="Calibri"/>
          <w:bCs/>
          <w:iCs/>
        </w:rPr>
        <w:t xml:space="preserve">Grad Zagreb </w:t>
      </w:r>
      <w:r w:rsidRPr="00863DBB">
        <w:rPr>
          <w:rFonts w:cs="Calibri"/>
          <w:bCs/>
          <w:iCs/>
        </w:rPr>
        <w:t xml:space="preserve">proveo </w:t>
      </w:r>
      <w:r>
        <w:rPr>
          <w:rFonts w:cs="Calibri"/>
          <w:bCs/>
          <w:iCs/>
        </w:rPr>
        <w:t xml:space="preserve">je </w:t>
      </w:r>
      <w:r w:rsidRPr="00863DBB">
        <w:rPr>
          <w:rFonts w:cs="Calibri"/>
          <w:bCs/>
          <w:iCs/>
        </w:rPr>
        <w:t xml:space="preserve">niz projekata </w:t>
      </w:r>
      <w:r>
        <w:rPr>
          <w:rFonts w:cs="Calibri"/>
          <w:bCs/>
          <w:iCs/>
        </w:rPr>
        <w:t>s ciljem</w:t>
      </w:r>
      <w:r w:rsidRPr="00863DBB">
        <w:rPr>
          <w:rFonts w:cs="Calibri"/>
          <w:bCs/>
          <w:iCs/>
        </w:rPr>
        <w:t xml:space="preserve"> uspostave sustava za upravljanje poslovnim procesima koji predstavlja temelj za digitalizaciju usluga Grada Zagreba.</w:t>
      </w:r>
      <w:r>
        <w:rPr>
          <w:rFonts w:cs="Calibri"/>
          <w:bCs/>
          <w:iCs/>
        </w:rPr>
        <w:t xml:space="preserve">  I</w:t>
      </w:r>
      <w:r w:rsidRPr="008E5232">
        <w:rPr>
          <w:rFonts w:cs="Calibri"/>
          <w:iCs/>
        </w:rPr>
        <w:t>zgrađen je Repozitorij poslovnih procesa Grada Zagreba koji sadrži bazu znanja o poslovnoj teh</w:t>
      </w:r>
      <w:r w:rsidRPr="008E5232">
        <w:rPr>
          <w:rFonts w:cs="Calibri"/>
          <w:bCs/>
          <w:iCs/>
        </w:rPr>
        <w:t xml:space="preserve">nologiji Grada te koji je temelj za učinkovitu implementaciju informacijskih tehnologija i softverskih rješenja s ciljem uspostave jedinstvenog informacijskog sustava usklađenog s potrebama korisnika. </w:t>
      </w:r>
      <w:r w:rsidRPr="005567C5">
        <w:rPr>
          <w:rFonts w:cs="Calibri"/>
          <w:bCs/>
          <w:iCs/>
        </w:rPr>
        <w:t>Definirani su svi poslovni modeli u vezi sa strategijom poslovnih procesa</w:t>
      </w:r>
      <w:r w:rsidRPr="00A276EF">
        <w:rPr>
          <w:rFonts w:cs="Calibri"/>
          <w:bCs/>
          <w:iCs/>
        </w:rPr>
        <w:t>,</w:t>
      </w:r>
      <w:r>
        <w:rPr>
          <w:rFonts w:cs="Calibri"/>
          <w:bCs/>
          <w:iCs/>
        </w:rPr>
        <w:t xml:space="preserve"> p</w:t>
      </w:r>
      <w:r w:rsidRPr="00863DBB">
        <w:rPr>
          <w:rFonts w:cs="Calibri"/>
          <w:bCs/>
          <w:iCs/>
        </w:rPr>
        <w:t>roved</w:t>
      </w:r>
      <w:r>
        <w:rPr>
          <w:rFonts w:cs="Calibri"/>
          <w:bCs/>
          <w:iCs/>
        </w:rPr>
        <w:t xml:space="preserve">ena je </w:t>
      </w:r>
      <w:r w:rsidRPr="00863DBB">
        <w:rPr>
          <w:rFonts w:cs="Calibri"/>
          <w:bCs/>
          <w:iCs/>
        </w:rPr>
        <w:t>stratešk</w:t>
      </w:r>
      <w:r>
        <w:rPr>
          <w:rFonts w:cs="Calibri"/>
          <w:bCs/>
          <w:iCs/>
        </w:rPr>
        <w:t>a</w:t>
      </w:r>
      <w:r w:rsidRPr="00863DBB">
        <w:rPr>
          <w:rFonts w:cs="Calibri"/>
          <w:bCs/>
          <w:iCs/>
        </w:rPr>
        <w:t xml:space="preserve"> analiz</w:t>
      </w:r>
      <w:r>
        <w:rPr>
          <w:rFonts w:cs="Calibri"/>
          <w:bCs/>
          <w:iCs/>
        </w:rPr>
        <w:t>a i određena je p</w:t>
      </w:r>
      <w:r w:rsidRPr="00863DBB">
        <w:rPr>
          <w:rFonts w:cs="Calibri"/>
          <w:bCs/>
          <w:iCs/>
        </w:rPr>
        <w:t>ozicij</w:t>
      </w:r>
      <w:r>
        <w:rPr>
          <w:rFonts w:cs="Calibri"/>
          <w:bCs/>
          <w:iCs/>
        </w:rPr>
        <w:t>a G</w:t>
      </w:r>
      <w:r w:rsidRPr="00863DBB">
        <w:rPr>
          <w:rFonts w:cs="Calibri"/>
          <w:bCs/>
          <w:iCs/>
        </w:rPr>
        <w:t>rada</w:t>
      </w:r>
      <w:r>
        <w:rPr>
          <w:rFonts w:cs="Calibri"/>
          <w:bCs/>
          <w:iCs/>
        </w:rPr>
        <w:t xml:space="preserve"> kroz</w:t>
      </w:r>
      <w:r w:rsidRPr="00863DBB">
        <w:rPr>
          <w:rFonts w:cs="Calibri"/>
          <w:bCs/>
          <w:iCs/>
        </w:rPr>
        <w:t xml:space="preserve"> definiranje ključnih usluga Grada (poslovnih područja) i korisnika za koje su namijenjeni</w:t>
      </w:r>
      <w:r>
        <w:rPr>
          <w:rFonts w:cs="Calibri"/>
          <w:bCs/>
          <w:iCs/>
        </w:rPr>
        <w:t xml:space="preserve"> te su </w:t>
      </w:r>
      <w:r w:rsidRPr="00863DBB">
        <w:rPr>
          <w:rFonts w:cs="Calibri"/>
          <w:bCs/>
          <w:iCs/>
        </w:rPr>
        <w:t>definiran</w:t>
      </w:r>
      <w:r>
        <w:rPr>
          <w:rFonts w:cs="Calibri"/>
          <w:bCs/>
          <w:iCs/>
        </w:rPr>
        <w:t>i</w:t>
      </w:r>
      <w:r w:rsidRPr="00863DBB">
        <w:rPr>
          <w:rFonts w:cs="Calibri"/>
          <w:bCs/>
          <w:iCs/>
        </w:rPr>
        <w:t xml:space="preserve"> ključni faktor</w:t>
      </w:r>
      <w:r>
        <w:rPr>
          <w:rFonts w:cs="Calibri"/>
          <w:bCs/>
          <w:iCs/>
        </w:rPr>
        <w:t xml:space="preserve">i </w:t>
      </w:r>
      <w:r w:rsidRPr="00863DBB">
        <w:rPr>
          <w:rFonts w:cs="Calibri"/>
          <w:bCs/>
          <w:iCs/>
        </w:rPr>
        <w:t>uspjeha (KSF) i ključni pokazatelj</w:t>
      </w:r>
      <w:r>
        <w:rPr>
          <w:rFonts w:cs="Calibri"/>
          <w:bCs/>
          <w:iCs/>
        </w:rPr>
        <w:t>i</w:t>
      </w:r>
      <w:r w:rsidRPr="00863DBB">
        <w:rPr>
          <w:rFonts w:cs="Calibri"/>
          <w:bCs/>
          <w:iCs/>
        </w:rPr>
        <w:t xml:space="preserve"> uspješnosti za ključne procese (KPI)</w:t>
      </w:r>
      <w:r>
        <w:rPr>
          <w:rFonts w:cs="Calibri"/>
          <w:bCs/>
          <w:iCs/>
        </w:rPr>
        <w:t xml:space="preserve">. </w:t>
      </w:r>
      <w:r w:rsidRPr="008E5232">
        <w:rPr>
          <w:rFonts w:cs="Calibri"/>
          <w:bCs/>
          <w:iCs/>
        </w:rPr>
        <w:t>Uspostavlj</w:t>
      </w:r>
      <w:r>
        <w:rPr>
          <w:rFonts w:cs="Calibri"/>
          <w:bCs/>
          <w:iCs/>
        </w:rPr>
        <w:t>en</w:t>
      </w:r>
      <w:r w:rsidRPr="008E5232">
        <w:rPr>
          <w:rFonts w:cs="Calibri"/>
          <w:bCs/>
          <w:iCs/>
        </w:rPr>
        <w:t xml:space="preserve"> </w:t>
      </w:r>
      <w:r>
        <w:rPr>
          <w:rFonts w:cs="Calibri"/>
          <w:bCs/>
          <w:iCs/>
        </w:rPr>
        <w:t>je</w:t>
      </w:r>
      <w:r w:rsidRPr="008E5232">
        <w:rPr>
          <w:rFonts w:cs="Calibri"/>
          <w:bCs/>
          <w:iCs/>
        </w:rPr>
        <w:t xml:space="preserve"> i sustav kontrole odvijanja procesa u realnom vremenu </w:t>
      </w:r>
      <w:r w:rsidRPr="00863DBB">
        <w:rPr>
          <w:rFonts w:cs="Calibri"/>
          <w:bCs/>
          <w:iCs/>
        </w:rPr>
        <w:t>sa svrhom praćenja internih i eksternih podataka o izvršavanju poslovnih procesa kojima se realiziraju usluge Grada.</w:t>
      </w:r>
      <w:r>
        <w:rPr>
          <w:rFonts w:cs="Calibri"/>
          <w:bCs/>
          <w:iCs/>
        </w:rPr>
        <w:t xml:space="preserve"> </w:t>
      </w:r>
      <w:r w:rsidRPr="006F4B34">
        <w:rPr>
          <w:rFonts w:cs="Calibri"/>
          <w:bCs/>
          <w:iCs/>
        </w:rPr>
        <w:t>Digitalizacija usluga Grada Zagreba provodi se kroz projekt e</w:t>
      </w:r>
      <w:r>
        <w:rPr>
          <w:rFonts w:cs="Calibri"/>
          <w:bCs/>
          <w:iCs/>
        </w:rPr>
        <w:t>-</w:t>
      </w:r>
      <w:r w:rsidRPr="006F4B34">
        <w:rPr>
          <w:rFonts w:cs="Calibri"/>
          <w:bCs/>
          <w:iCs/>
        </w:rPr>
        <w:t>Zagreb s ciljem osiguranja preduvjeta za implementaciju servisa za pružanje e-usluga građanima, odnosno svim pravnim i fizičkim osobama korisnici</w:t>
      </w:r>
      <w:r>
        <w:rPr>
          <w:rFonts w:cs="Calibri"/>
          <w:bCs/>
          <w:iCs/>
        </w:rPr>
        <w:t>ma</w:t>
      </w:r>
      <w:r w:rsidRPr="006F4B34">
        <w:rPr>
          <w:rFonts w:cs="Calibri"/>
          <w:bCs/>
          <w:iCs/>
        </w:rPr>
        <w:t xml:space="preserve"> usluga</w:t>
      </w:r>
      <w:r>
        <w:rPr>
          <w:rFonts w:cs="Calibri"/>
          <w:bCs/>
          <w:iCs/>
        </w:rPr>
        <w:t>.</w:t>
      </w:r>
      <w:r w:rsidRPr="006F4B34">
        <w:rPr>
          <w:rFonts w:cs="Calibri"/>
          <w:bCs/>
          <w:iCs/>
        </w:rPr>
        <w:t xml:space="preserve"> Fokus projekta je na digitalizaciji i automatizaciji poslovnih procesa.</w:t>
      </w:r>
    </w:p>
    <w:p w14:paraId="14927CEF" w14:textId="77777777" w:rsidR="00072476" w:rsidRDefault="00072476" w:rsidP="00072476">
      <w:pPr>
        <w:spacing w:after="200" w:line="240" w:lineRule="auto"/>
        <w:jc w:val="both"/>
        <w:rPr>
          <w:rFonts w:cs="Calibri"/>
          <w:iCs/>
        </w:rPr>
      </w:pPr>
      <w:r w:rsidRPr="008E5232">
        <w:rPr>
          <w:rFonts w:cs="Calibri"/>
          <w:bCs/>
          <w:iCs/>
        </w:rPr>
        <w:t xml:space="preserve">Kako bi osigurao transformaciju strategije u konkretne inovativne projekte za održiv urbani razvoj radi poboljšanja kvalitete života građana, </w:t>
      </w:r>
      <w:r w:rsidRPr="008E5232">
        <w:rPr>
          <w:rFonts w:cs="Calibri"/>
          <w:iCs/>
        </w:rPr>
        <w:t>Grad Zagreb je implementirao sustav za upravljanje projektnim ciklusom</w:t>
      </w:r>
      <w:r>
        <w:rPr>
          <w:rFonts w:cs="Calibri"/>
          <w:iCs/>
        </w:rPr>
        <w:t xml:space="preserve">, </w:t>
      </w:r>
      <w:r w:rsidRPr="003E450F">
        <w:rPr>
          <w:rFonts w:cs="Calibri"/>
          <w:iCs/>
        </w:rPr>
        <w:t xml:space="preserve">donesen </w:t>
      </w:r>
      <w:r>
        <w:rPr>
          <w:rFonts w:cs="Calibri"/>
          <w:iCs/>
        </w:rPr>
        <w:t xml:space="preserve">je </w:t>
      </w:r>
      <w:r w:rsidRPr="003E450F">
        <w:rPr>
          <w:rFonts w:cs="Calibri"/>
          <w:iCs/>
        </w:rPr>
        <w:t>Pravilnik o zaprimanju i vrednovanju inicijativa, odobrenju i uspostavi te provedbi i zatvaranju projekata u Gradu Zagrebu radi uspostave i aktivnog promicanja svjetskih standarda i najbolje prakse u područjima izrade strateških inicijativa, pripremi i provedbi projekata</w:t>
      </w:r>
      <w:r>
        <w:rPr>
          <w:rFonts w:cs="Calibri"/>
          <w:iCs/>
        </w:rPr>
        <w:t>,</w:t>
      </w:r>
      <w:r w:rsidRPr="003E450F">
        <w:rPr>
          <w:rFonts w:cs="Calibri"/>
          <w:iCs/>
        </w:rPr>
        <w:t xml:space="preserve"> usklađivanja projekata sa strateškim okvirom, operativnim ciljevima i proračunom Grada Zagreba te osiguravanja većeg stupnja uključivanja građana i poslovne zajednice u razvoj kvalitetnih, troškovno prihvatljivih i održivih usluga.</w:t>
      </w:r>
      <w:r>
        <w:rPr>
          <w:rFonts w:cs="Calibri"/>
          <w:iCs/>
        </w:rPr>
        <w:t xml:space="preserve"> U tijeku je standardizacija i digitalizacija poslovnog procesa Upravljanje projektnim ciklusom za projekte financirane iz Proračuna Grada Zagreba i p</w:t>
      </w:r>
      <w:r w:rsidRPr="00DE2B4D">
        <w:rPr>
          <w:rFonts w:cs="Calibri"/>
          <w:iCs/>
        </w:rPr>
        <w:t>rojekt</w:t>
      </w:r>
      <w:r>
        <w:rPr>
          <w:rFonts w:cs="Calibri"/>
          <w:iCs/>
        </w:rPr>
        <w:t>e (</w:t>
      </w:r>
      <w:r w:rsidRPr="00DE2B4D">
        <w:rPr>
          <w:rFonts w:cs="Calibri"/>
          <w:iCs/>
        </w:rPr>
        <w:t>su</w:t>
      </w:r>
      <w:r>
        <w:rPr>
          <w:rFonts w:cs="Calibri"/>
          <w:iCs/>
        </w:rPr>
        <w:t>)</w:t>
      </w:r>
      <w:r w:rsidRPr="00DE2B4D">
        <w:rPr>
          <w:rFonts w:cs="Calibri"/>
          <w:iCs/>
        </w:rPr>
        <w:t>financiran</w:t>
      </w:r>
      <w:r>
        <w:rPr>
          <w:rFonts w:cs="Calibri"/>
          <w:iCs/>
        </w:rPr>
        <w:t>e</w:t>
      </w:r>
      <w:r w:rsidRPr="00DE2B4D">
        <w:rPr>
          <w:rFonts w:cs="Calibri"/>
          <w:iCs/>
        </w:rPr>
        <w:t xml:space="preserve"> od strane EU.</w:t>
      </w:r>
    </w:p>
    <w:p w14:paraId="52CF8AAE" w14:textId="77777777" w:rsidR="00072476" w:rsidRDefault="00072476" w:rsidP="00072476">
      <w:pPr>
        <w:spacing w:after="200" w:line="240" w:lineRule="auto"/>
        <w:jc w:val="both"/>
        <w:rPr>
          <w:rFonts w:cs="Calibri"/>
          <w:iCs/>
        </w:rPr>
      </w:pPr>
      <w:r w:rsidRPr="008E5232">
        <w:rPr>
          <w:rFonts w:cs="Calibri"/>
          <w:iCs/>
        </w:rPr>
        <w:t>Grad Zagreb kontinuirano radi na otvaranju gradske uprave putem razmjene inicijativa i sustava komunikativnog pristupa planiranju, koji se temelji na boljem razumijevanju potreba građana (akcije na zahtjev/inovacije potaknute potražnjom).</w:t>
      </w:r>
      <w:r w:rsidRPr="00C976E8">
        <w:t xml:space="preserve"> </w:t>
      </w:r>
      <w:r w:rsidRPr="00C976E8">
        <w:rPr>
          <w:rFonts w:cs="Calibri"/>
          <w:iCs/>
        </w:rPr>
        <w:t>Uvođenjem sustava za upravljanje korisničkim iskustvom nadograđuju se procesno-organizacijski kapaciteti i metodologija za dizajn i analizu unutarnjih, ali i vanjskih procesa, odnosno osigurava se interakcija s korisnicima u razvoju e-usluga</w:t>
      </w:r>
      <w:r>
        <w:rPr>
          <w:rFonts w:cs="Calibri"/>
          <w:iCs/>
        </w:rPr>
        <w:t xml:space="preserve"> </w:t>
      </w:r>
      <w:r w:rsidRPr="00C976E8">
        <w:rPr>
          <w:rFonts w:cs="Calibri"/>
          <w:iCs/>
        </w:rPr>
        <w:t>od početne ideje do njezine isporuke (zajednički pristup razvoju), a time se povećava korištenje digitalnih tehnologija, ubrzavaju i unaprjeđ</w:t>
      </w:r>
      <w:r>
        <w:rPr>
          <w:rFonts w:cs="Calibri"/>
          <w:iCs/>
        </w:rPr>
        <w:t>uju</w:t>
      </w:r>
      <w:r w:rsidRPr="00C976E8">
        <w:rPr>
          <w:rFonts w:cs="Calibri"/>
          <w:iCs/>
        </w:rPr>
        <w:t xml:space="preserve"> poslovni procesi, potiče inovativnost i suradnja</w:t>
      </w:r>
      <w:r>
        <w:rPr>
          <w:rFonts w:cs="Calibri"/>
          <w:iCs/>
        </w:rPr>
        <w:t>,</w:t>
      </w:r>
      <w:r w:rsidRPr="00C976E8">
        <w:rPr>
          <w:rFonts w:cs="Calibri"/>
          <w:iCs/>
        </w:rPr>
        <w:t xml:space="preserve"> donos</w:t>
      </w:r>
      <w:r>
        <w:rPr>
          <w:rFonts w:cs="Calibri"/>
          <w:iCs/>
        </w:rPr>
        <w:t>e</w:t>
      </w:r>
      <w:r w:rsidRPr="00C976E8">
        <w:rPr>
          <w:rFonts w:cs="Calibri"/>
          <w:iCs/>
        </w:rPr>
        <w:t xml:space="preserve"> bolje i prilagodljivije odluke, pruža</w:t>
      </w:r>
      <w:r>
        <w:rPr>
          <w:rFonts w:cs="Calibri"/>
          <w:iCs/>
        </w:rPr>
        <w:t>ju</w:t>
      </w:r>
      <w:r w:rsidRPr="00C976E8">
        <w:rPr>
          <w:rFonts w:cs="Calibri"/>
          <w:iCs/>
        </w:rPr>
        <w:t xml:space="preserve"> usluge s dodanom vrijednošću, uključuj</w:t>
      </w:r>
      <w:r>
        <w:rPr>
          <w:rFonts w:cs="Calibri"/>
          <w:iCs/>
        </w:rPr>
        <w:t>u</w:t>
      </w:r>
      <w:r w:rsidRPr="00C976E8">
        <w:rPr>
          <w:rFonts w:cs="Calibri"/>
          <w:iCs/>
        </w:rPr>
        <w:t xml:space="preserve"> nov</w:t>
      </w:r>
      <w:r>
        <w:rPr>
          <w:rFonts w:cs="Calibri"/>
          <w:iCs/>
        </w:rPr>
        <w:t>i</w:t>
      </w:r>
      <w:r w:rsidRPr="00C976E8">
        <w:rPr>
          <w:rFonts w:cs="Calibri"/>
          <w:iCs/>
        </w:rPr>
        <w:t xml:space="preserve"> resurs</w:t>
      </w:r>
      <w:r>
        <w:rPr>
          <w:rFonts w:cs="Calibri"/>
          <w:iCs/>
        </w:rPr>
        <w:t>i te</w:t>
      </w:r>
      <w:r w:rsidRPr="00C976E8">
        <w:rPr>
          <w:rFonts w:cs="Calibri"/>
          <w:iCs/>
        </w:rPr>
        <w:t xml:space="preserve"> poboljšava sigurnost i poveća</w:t>
      </w:r>
      <w:r>
        <w:rPr>
          <w:rFonts w:cs="Calibri"/>
          <w:iCs/>
        </w:rPr>
        <w:t>va</w:t>
      </w:r>
      <w:r w:rsidRPr="00C976E8">
        <w:rPr>
          <w:rFonts w:cs="Calibri"/>
          <w:iCs/>
        </w:rPr>
        <w:t xml:space="preserve"> učinkovitost.</w:t>
      </w:r>
      <w:r>
        <w:rPr>
          <w:rFonts w:cs="Calibri"/>
          <w:iCs/>
        </w:rPr>
        <w:t xml:space="preserve"> </w:t>
      </w:r>
      <w:r w:rsidRPr="00C976E8">
        <w:rPr>
          <w:rFonts w:cs="Calibri"/>
          <w:iCs/>
        </w:rPr>
        <w:t xml:space="preserve">Željeni učinci usmjereni su na jačanje procesa </w:t>
      </w:r>
      <w:r>
        <w:rPr>
          <w:rFonts w:cs="Calibri"/>
          <w:iCs/>
        </w:rPr>
        <w:t xml:space="preserve">izravne demokracije </w:t>
      </w:r>
      <w:r w:rsidRPr="00C976E8">
        <w:rPr>
          <w:rFonts w:cs="Calibri"/>
          <w:iCs/>
        </w:rPr>
        <w:t xml:space="preserve">uvođenjem društvene integracije i uklanjanjem prepreka, kao i omogućavanje veće transparentnosti i </w:t>
      </w:r>
      <w:r>
        <w:rPr>
          <w:rFonts w:cs="Calibri"/>
          <w:iCs/>
        </w:rPr>
        <w:t>odgovornosti donositelja odluka s ciljem optimiz</w:t>
      </w:r>
      <w:r w:rsidRPr="00C976E8">
        <w:rPr>
          <w:rFonts w:cs="Calibri"/>
          <w:iCs/>
        </w:rPr>
        <w:t>a</w:t>
      </w:r>
      <w:r>
        <w:rPr>
          <w:rFonts w:cs="Calibri"/>
          <w:iCs/>
        </w:rPr>
        <w:t>cije</w:t>
      </w:r>
      <w:r w:rsidRPr="00C976E8">
        <w:rPr>
          <w:rFonts w:cs="Calibri"/>
          <w:iCs/>
        </w:rPr>
        <w:t xml:space="preserve"> zadovoljstv</w:t>
      </w:r>
      <w:r>
        <w:rPr>
          <w:rFonts w:cs="Calibri"/>
          <w:iCs/>
        </w:rPr>
        <w:t>a</w:t>
      </w:r>
      <w:r w:rsidRPr="00C976E8">
        <w:rPr>
          <w:rFonts w:cs="Calibri"/>
          <w:iCs/>
        </w:rPr>
        <w:t xml:space="preserve"> krajnjeg korisnika pruženom uslugom tako da se analiziraju dodirne točke koje korisnik ostvaruje s uslugom i pružatelj</w:t>
      </w:r>
      <w:r>
        <w:rPr>
          <w:rFonts w:cs="Calibri"/>
          <w:iCs/>
        </w:rPr>
        <w:t>e</w:t>
      </w:r>
      <w:r w:rsidRPr="00C976E8">
        <w:rPr>
          <w:rFonts w:cs="Calibri"/>
          <w:iCs/>
        </w:rPr>
        <w:t>m usluge te tako potaknuti razvoj korisnički orijentiranih usluga.</w:t>
      </w:r>
    </w:p>
    <w:p w14:paraId="7F081557" w14:textId="77777777" w:rsidR="00072476" w:rsidRPr="00191F9C" w:rsidRDefault="00072476" w:rsidP="00072476">
      <w:pPr>
        <w:spacing w:after="200" w:line="240" w:lineRule="auto"/>
        <w:jc w:val="both"/>
        <w:rPr>
          <w:rFonts w:cs="Calibri"/>
          <w:bCs/>
        </w:rPr>
      </w:pPr>
      <w:r w:rsidRPr="00191F9C">
        <w:rPr>
          <w:rFonts w:cs="Calibri"/>
          <w:b/>
          <w:bCs/>
        </w:rPr>
        <w:t xml:space="preserve">Rizici i upravljanje rizicima. </w:t>
      </w:r>
      <w:r w:rsidRPr="00200829">
        <w:rPr>
          <w:rFonts w:cs="Calibri"/>
        </w:rPr>
        <w:t>Gradska skupština donijela je 21.3.</w:t>
      </w:r>
      <w:r>
        <w:rPr>
          <w:rFonts w:cs="Calibri"/>
        </w:rPr>
        <w:t>2</w:t>
      </w:r>
      <w:r w:rsidRPr="00200829">
        <w:rPr>
          <w:rFonts w:cs="Calibri"/>
        </w:rPr>
        <w:t>019. Procjenu rizika od velikih nesreća Grada Zagreba na prijedlog Grada Zagreba. Izrađena je sukladno Zakonu o sustavu civilne zaštite, Pravilniku o smjernicama za izradu procjena rizika od katastrofa i velikih nesreća za područje RH i JLRS, Procjeni rizika od katastrofa za RH i Smjernicama za izradu Procjene rizika od velikih nesreć</w:t>
      </w:r>
      <w:r>
        <w:rPr>
          <w:rFonts w:cs="Calibri"/>
        </w:rPr>
        <w:t>a</w:t>
      </w:r>
      <w:r w:rsidRPr="00200829">
        <w:rPr>
          <w:rFonts w:cs="Calibri"/>
        </w:rPr>
        <w:t xml:space="preserve"> na području Grada Zagreba.</w:t>
      </w:r>
      <w:r>
        <w:rPr>
          <w:rFonts w:cs="Calibri"/>
        </w:rPr>
        <w:t xml:space="preserve"> </w:t>
      </w:r>
      <w:r w:rsidRPr="00191F9C">
        <w:rPr>
          <w:rFonts w:cs="Calibri"/>
          <w:bCs/>
        </w:rPr>
        <w:t>Sustavno upravljanje rizicima omogućava donošenje kvalitetnijih odluka, bolje predviđanje potrebnih i optimiziranje raspoloživih sredstava, usredotočenost na prioritete te izbjegavanje mogućih rizika koji se mogu pojaviti prilikom realizacije postavljenih ciljeva. Prema Strategiji upravljanja rizicima Grada Zagreba, ciljevi sadržani u strateškim, operativnim ili financijskim planskim dokumentima polazna su osnova za utvrđivanje rizika na razini gradskih upravnih tijela i njihovih unutarnjih ustrojstvenih jedinica. Proces uspostave upravljanja rizicima u gradskim upravnim tijelima započeo je definiranjem ciljeva koji se žele ostvariti, na temelju kojih utvrđuju i procjenjuju rizike te ustrojavaju registre rizika. U njima se, na temelju procjene rizika, planira provedba dodatnih mjera za ublažavanje rizika te se sustavno prati provedba i učinkovitost planiranih mjera ublažavanja rizika utvrđenih u registru kako bi se pročelnicima osigurale potpune i pravovremene informacije potrebne za donošenje odluka o načinu upravljanja najznačajnijim rizicima koji ugrožavaju ostvarenje ključnih ciljeva gradskih upravnih tijela. Registri rizika se ažuriraju najmanje jednom godišnje, nakon podnošenja izvješća o provedenim mjerama za ublažavanja rizika u prethodnoj godini. O upravljanju rizicima izvješćuje se Ministarstvo financija u sklopu godišnjeg izvješća o sustavu unutarnjih financijskih kontrola.</w:t>
      </w:r>
    </w:p>
    <w:p w14:paraId="7427AC87" w14:textId="269DCEF4" w:rsidR="00072476" w:rsidRPr="00191F9C" w:rsidRDefault="00072476" w:rsidP="00072476">
      <w:pPr>
        <w:tabs>
          <w:tab w:val="left" w:pos="-1701"/>
        </w:tabs>
        <w:spacing w:after="200" w:line="240" w:lineRule="auto"/>
        <w:jc w:val="both"/>
        <w:rPr>
          <w:rFonts w:cs="Calibri"/>
          <w:bCs/>
        </w:rPr>
      </w:pPr>
      <w:r w:rsidRPr="00191F9C">
        <w:rPr>
          <w:rFonts w:cs="Calibri"/>
          <w:b/>
        </w:rPr>
        <w:t>Unutarnja revizija i kontrola.</w:t>
      </w:r>
      <w:r w:rsidRPr="00191F9C">
        <w:rPr>
          <w:rFonts w:cs="Calibri"/>
          <w:bCs/>
        </w:rPr>
        <w:t xml:space="preserve"> Cilj Sektora za unutarnju reviziju Gradskog kontrolnog ureda</w:t>
      </w:r>
      <w:r w:rsidR="00A31476">
        <w:rPr>
          <w:rFonts w:cs="Calibri"/>
          <w:bCs/>
        </w:rPr>
        <w:t xml:space="preserve"> </w:t>
      </w:r>
      <w:r w:rsidR="00A31476" w:rsidRPr="00A31476">
        <w:rPr>
          <w:rFonts w:cs="Calibri"/>
          <w:bCs/>
        </w:rPr>
        <w:t xml:space="preserve">(od 1.1.2022. Gradski ured za unutarnju reviziju i kontrolu)  </w:t>
      </w:r>
      <w:r w:rsidRPr="00191F9C">
        <w:rPr>
          <w:rFonts w:cs="Calibri"/>
          <w:bCs/>
        </w:rPr>
        <w:t xml:space="preserve"> je pružanje razumne razine sigurnosti čelnicima korisnika proračuna da je provedba upravljačkih i kontrolnih mehanizama odgovarajuća, ekonomična i dosljedna u odnosu na općepriznate standarde i nacionalno zakonodavstvo. Sektor za unutarnju reviziju Gradskog kontrolnog ureda</w:t>
      </w:r>
      <w:r w:rsidR="00A31476">
        <w:rPr>
          <w:rFonts w:cs="Calibri"/>
          <w:bCs/>
        </w:rPr>
        <w:t xml:space="preserve"> </w:t>
      </w:r>
      <w:r w:rsidR="00A31476" w:rsidRPr="00A31476">
        <w:rPr>
          <w:rFonts w:cs="Calibri"/>
          <w:bCs/>
        </w:rPr>
        <w:t xml:space="preserve">(od 1.1.2022. Gradski ured za unutarnju reviziju i kontrolu)  </w:t>
      </w:r>
      <w:r w:rsidRPr="00191F9C">
        <w:rPr>
          <w:rFonts w:cs="Calibri"/>
          <w:bCs/>
        </w:rPr>
        <w:t xml:space="preserve"> obavlja poslove unutarnje revizije u gradskim upravnim tijelima, tijelima mjesne samouprave, vijećima i predstavnicima nacionalnih manjina i ustanovama kojih je Grad osnivač, trgovačkim društvima u vlasništvu Grada, odnosno većinskom vlasništvu Grada i drugim pravnim osobama kojima je osnivač Grad, utvrđenih u Registru trgovačkih društava i drugih pravnih osoba, obveznika davanja izjave o fiskalnoj odgovornosti, osim u onim trgovačkim društvima koja su, sukladno propisima, obvezna uspostaviti unutarnju reviziju, te surađuje s Državnim uredom za reviziju, Središnjom harmonizacijskom jedinicom Ministarstva financija i drugim nadležnim tijelima. Sektor za kontrolu Gradskog kontrolnog ureda provodi kontrolne aktivnosti temeljem naloga gradonačelnika, predstavki građana, upita gradskih zastupnika i Odbora Gradske skupštine, na zamolbu gradskih upravnih tijela te na temelju zahtjeva državnih institucija pri provedbi aktivnosti iz njihova djelokruga. U Sektoru za kontrolu obavljaju se poslovi koji se odnose na provođenje kontrola usmjerenih na osiguranje zakonitog, svrhovitog i pravodobnog prikupljanja i korištenja proračunskih sredstava i sredstava iz drugih izvora, ostvarivanje očekivanih rezultata, te otkrivanje mogućih pogrešaka, odstupanja i nepravilnosti u gradskim upravnim tijelima, trgovačkim društvima u vlasništvu Grada, ustanovama kojima je Grad osnivač, tijelima mjesne samouprave, vijećima i predstavnicima nacionalnih manjina i drugim korisnicima proračunskih  sredstava.   </w:t>
      </w:r>
    </w:p>
    <w:p w14:paraId="3112B60C" w14:textId="5FC36FB8" w:rsidR="00072476" w:rsidRDefault="00072476" w:rsidP="00B8319D">
      <w:pPr>
        <w:pStyle w:val="Stil2"/>
      </w:pPr>
      <w:bookmarkStart w:id="149" w:name="_Toc97123862"/>
      <w:r w:rsidRPr="00B8319D">
        <w:t>6.2</w:t>
      </w:r>
      <w:r w:rsidR="00777BE5">
        <w:t>.</w:t>
      </w:r>
      <w:r w:rsidRPr="00B8319D">
        <w:t xml:space="preserve"> </w:t>
      </w:r>
      <w:r w:rsidR="00B8319D" w:rsidRPr="00B8319D">
        <w:t>URBANA SIGURNOST / SIGURNOSNI POKAZATELJI</w:t>
      </w:r>
      <w:bookmarkEnd w:id="149"/>
    </w:p>
    <w:p w14:paraId="35DEBFB4" w14:textId="77777777" w:rsidR="00072476"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Zagreb je grad koji se dinamično i snažno razvija te iz godine u godinu poprima obilježja suvremenih europskih metropola,</w:t>
      </w:r>
      <w:r>
        <w:rPr>
          <w:rFonts w:eastAsia="Times New Roman" w:cs="Calibri"/>
          <w:bCs/>
          <w:lang w:eastAsia="hr-HR"/>
        </w:rPr>
        <w:t xml:space="preserve"> kako pozitivna tako i negativna, a</w:t>
      </w:r>
      <w:r w:rsidRPr="00191F9C">
        <w:rPr>
          <w:rFonts w:eastAsia="Times New Roman" w:cs="Calibri"/>
          <w:bCs/>
          <w:lang w:eastAsia="hr-HR"/>
        </w:rPr>
        <w:t xml:space="preserve"> što podrazumijeva i pojavu različitih oblika kriminala. Tijekom 201</w:t>
      </w:r>
      <w:r>
        <w:rPr>
          <w:rFonts w:eastAsia="Times New Roman" w:cs="Calibri"/>
          <w:bCs/>
          <w:lang w:eastAsia="hr-HR"/>
        </w:rPr>
        <w:t>6</w:t>
      </w:r>
      <w:r w:rsidRPr="00191F9C">
        <w:rPr>
          <w:rFonts w:eastAsia="Times New Roman" w:cs="Calibri"/>
          <w:bCs/>
          <w:lang w:eastAsia="hr-HR"/>
        </w:rPr>
        <w:t xml:space="preserve">. godine sigurnost je bila ugrožena sa </w:t>
      </w:r>
      <w:r>
        <w:rPr>
          <w:rFonts w:eastAsia="Times New Roman" w:cs="Calibri"/>
          <w:bCs/>
          <w:lang w:eastAsia="hr-HR"/>
        </w:rPr>
        <w:t>13 475</w:t>
      </w:r>
      <w:r w:rsidRPr="00191F9C">
        <w:rPr>
          <w:rFonts w:eastAsia="Times New Roman" w:cs="Calibri"/>
          <w:bCs/>
          <w:lang w:eastAsia="hr-HR"/>
        </w:rPr>
        <w:t xml:space="preserve"> kazneni</w:t>
      </w:r>
      <w:r>
        <w:rPr>
          <w:rFonts w:eastAsia="Times New Roman" w:cs="Calibri"/>
          <w:bCs/>
          <w:lang w:eastAsia="hr-HR"/>
        </w:rPr>
        <w:t>h</w:t>
      </w:r>
      <w:r w:rsidRPr="00191F9C">
        <w:rPr>
          <w:rFonts w:eastAsia="Times New Roman" w:cs="Calibri"/>
          <w:bCs/>
          <w:lang w:eastAsia="hr-HR"/>
        </w:rPr>
        <w:t xml:space="preserve"> dje</w:t>
      </w:r>
      <w:r>
        <w:rPr>
          <w:rFonts w:eastAsia="Times New Roman" w:cs="Calibri"/>
          <w:bCs/>
          <w:lang w:eastAsia="hr-HR"/>
        </w:rPr>
        <w:t>la</w:t>
      </w:r>
      <w:r w:rsidRPr="00191F9C">
        <w:rPr>
          <w:rFonts w:eastAsia="Times New Roman" w:cs="Calibri"/>
          <w:bCs/>
          <w:lang w:eastAsia="hr-HR"/>
        </w:rPr>
        <w:t xml:space="preserve"> </w:t>
      </w:r>
      <w:r>
        <w:rPr>
          <w:rFonts w:eastAsia="Times New Roman" w:cs="Calibri"/>
          <w:bCs/>
          <w:lang w:eastAsia="hr-HR"/>
        </w:rPr>
        <w:t xml:space="preserve"> i 5 882</w:t>
      </w:r>
      <w:r w:rsidRPr="00191F9C">
        <w:rPr>
          <w:rFonts w:eastAsia="Times New Roman" w:cs="Calibri"/>
          <w:bCs/>
          <w:lang w:eastAsia="hr-HR"/>
        </w:rPr>
        <w:t xml:space="preserve"> prometne nesreće</w:t>
      </w:r>
      <w:r>
        <w:rPr>
          <w:rFonts w:eastAsia="Times New Roman" w:cs="Calibri"/>
          <w:bCs/>
          <w:lang w:eastAsia="hr-HR"/>
        </w:rPr>
        <w:t>;</w:t>
      </w:r>
      <w:r w:rsidRPr="00191F9C">
        <w:rPr>
          <w:rFonts w:eastAsia="Times New Roman" w:cs="Calibri"/>
          <w:bCs/>
          <w:lang w:eastAsia="hr-HR"/>
        </w:rPr>
        <w:t xml:space="preserve"> </w:t>
      </w:r>
      <w:r>
        <w:rPr>
          <w:rFonts w:eastAsia="Times New Roman" w:cs="Calibri"/>
          <w:bCs/>
          <w:lang w:eastAsia="hr-HR"/>
        </w:rPr>
        <w:t xml:space="preserve">u 2017. i 2018. godini </w:t>
      </w:r>
      <w:r w:rsidRPr="00191F9C">
        <w:rPr>
          <w:rFonts w:eastAsia="Times New Roman" w:cs="Calibri"/>
          <w:bCs/>
          <w:lang w:eastAsia="hr-HR"/>
        </w:rPr>
        <w:t xml:space="preserve">broj kaznenih djela bilježio je blagi </w:t>
      </w:r>
      <w:r>
        <w:rPr>
          <w:rFonts w:eastAsia="Times New Roman" w:cs="Calibri"/>
          <w:bCs/>
          <w:lang w:eastAsia="hr-HR"/>
        </w:rPr>
        <w:t>pad</w:t>
      </w:r>
      <w:r w:rsidRPr="00191F9C">
        <w:rPr>
          <w:rFonts w:eastAsia="Times New Roman" w:cs="Calibri"/>
          <w:bCs/>
          <w:lang w:eastAsia="hr-HR"/>
        </w:rPr>
        <w:t xml:space="preserve"> u odnosu na 201</w:t>
      </w:r>
      <w:r>
        <w:rPr>
          <w:rFonts w:eastAsia="Times New Roman" w:cs="Calibri"/>
          <w:bCs/>
          <w:lang w:eastAsia="hr-HR"/>
        </w:rPr>
        <w:t>6</w:t>
      </w:r>
      <w:r w:rsidRPr="00191F9C">
        <w:rPr>
          <w:rFonts w:eastAsia="Times New Roman" w:cs="Calibri"/>
          <w:bCs/>
          <w:lang w:eastAsia="hr-HR"/>
        </w:rPr>
        <w:t>.</w:t>
      </w:r>
      <w:r>
        <w:rPr>
          <w:rFonts w:eastAsia="Times New Roman" w:cs="Calibri"/>
          <w:bCs/>
          <w:lang w:eastAsia="hr-HR"/>
        </w:rPr>
        <w:t>, dok je u 2019. zabilježen blagi porast u odnosu na 2017. i 2018. godinu, a zatim u 2020. ponovno blagi pad.</w:t>
      </w:r>
    </w:p>
    <w:p w14:paraId="3D6D31F6"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 </w:t>
      </w:r>
    </w:p>
    <w:p w14:paraId="21226E7B"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U promatranom razdoblju bilježi se </w:t>
      </w:r>
      <w:r>
        <w:rPr>
          <w:rFonts w:eastAsia="Times New Roman" w:cs="Calibri"/>
          <w:bCs/>
          <w:lang w:eastAsia="hr-HR"/>
        </w:rPr>
        <w:t>podjednak</w:t>
      </w:r>
      <w:r w:rsidRPr="00191F9C">
        <w:rPr>
          <w:rFonts w:eastAsia="Times New Roman" w:cs="Calibri"/>
          <w:bCs/>
          <w:lang w:eastAsia="hr-HR"/>
        </w:rPr>
        <w:t xml:space="preserve"> broj prometnih nesreća, </w:t>
      </w:r>
      <w:r>
        <w:rPr>
          <w:rFonts w:eastAsia="Times New Roman" w:cs="Calibri"/>
          <w:bCs/>
          <w:lang w:eastAsia="hr-HR"/>
        </w:rPr>
        <w:t>ali</w:t>
      </w:r>
      <w:r w:rsidRPr="00191F9C">
        <w:rPr>
          <w:rFonts w:eastAsia="Times New Roman" w:cs="Calibri"/>
          <w:bCs/>
          <w:lang w:eastAsia="hr-HR"/>
        </w:rPr>
        <w:t xml:space="preserve"> i pad broja ozlijeđenih osoba u prometnim nesrećama.</w:t>
      </w:r>
    </w:p>
    <w:p w14:paraId="40F51C6E"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p>
    <w:p w14:paraId="16508733" w14:textId="75AF589A" w:rsidR="00072476" w:rsidRPr="00191F9C" w:rsidRDefault="000A7DCF" w:rsidP="00E2286C">
      <w:pPr>
        <w:pStyle w:val="Opisslike"/>
        <w:rPr>
          <w:rFonts w:cs="Calibri"/>
          <w:bCs/>
          <w:lang w:eastAsia="hr-HR"/>
        </w:rPr>
      </w:pPr>
      <w:r>
        <w:t xml:space="preserve">Tablica </w:t>
      </w:r>
      <w:r w:rsidR="00751C19">
        <w:fldChar w:fldCharType="begin"/>
      </w:r>
      <w:r w:rsidR="00751C19">
        <w:instrText xml:space="preserve"> SEQ Tablica \* ARABIC </w:instrText>
      </w:r>
      <w:r w:rsidR="00751C19">
        <w:fldChar w:fldCharType="separate"/>
      </w:r>
      <w:r w:rsidR="00803E25">
        <w:rPr>
          <w:noProof/>
        </w:rPr>
        <w:t>35</w:t>
      </w:r>
      <w:r w:rsidR="00751C19">
        <w:rPr>
          <w:noProof/>
        </w:rPr>
        <w:fldChar w:fldCharType="end"/>
      </w:r>
      <w:r>
        <w:t>. S</w:t>
      </w:r>
      <w:r w:rsidRPr="004D27D2">
        <w:t>igurnosni pokazatelji u Gradu Zagrebu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07"/>
        <w:gridCol w:w="1506"/>
        <w:gridCol w:w="1506"/>
        <w:gridCol w:w="1506"/>
        <w:gridCol w:w="1359"/>
      </w:tblGrid>
      <w:tr w:rsidR="00072476" w:rsidRPr="00191F9C" w14:paraId="5E87786D" w14:textId="77777777" w:rsidTr="00072476">
        <w:tc>
          <w:tcPr>
            <w:tcW w:w="1699" w:type="dxa"/>
          </w:tcPr>
          <w:p w14:paraId="2A5F5DD6"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191F9C">
              <w:rPr>
                <w:rFonts w:eastAsia="Times New Roman" w:cs="Calibri"/>
                <w:bCs/>
                <w:sz w:val="20"/>
                <w:szCs w:val="20"/>
                <w:lang w:eastAsia="hr-HR"/>
              </w:rPr>
              <w:t>godina</w:t>
            </w:r>
          </w:p>
        </w:tc>
        <w:tc>
          <w:tcPr>
            <w:tcW w:w="1549" w:type="dxa"/>
          </w:tcPr>
          <w:p w14:paraId="279F97F6"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2016.</w:t>
            </w:r>
          </w:p>
        </w:tc>
        <w:tc>
          <w:tcPr>
            <w:tcW w:w="1549" w:type="dxa"/>
          </w:tcPr>
          <w:p w14:paraId="30957B34"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2017.</w:t>
            </w:r>
          </w:p>
        </w:tc>
        <w:tc>
          <w:tcPr>
            <w:tcW w:w="1549" w:type="dxa"/>
          </w:tcPr>
          <w:p w14:paraId="71A454A0"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2018.</w:t>
            </w:r>
          </w:p>
        </w:tc>
        <w:tc>
          <w:tcPr>
            <w:tcW w:w="1549" w:type="dxa"/>
          </w:tcPr>
          <w:p w14:paraId="484F7D0E"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2019.</w:t>
            </w:r>
          </w:p>
        </w:tc>
        <w:tc>
          <w:tcPr>
            <w:tcW w:w="1393" w:type="dxa"/>
          </w:tcPr>
          <w:p w14:paraId="2C7D508A" w14:textId="77777777" w:rsidR="00072476"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2020.</w:t>
            </w:r>
          </w:p>
        </w:tc>
      </w:tr>
      <w:tr w:rsidR="00072476" w:rsidRPr="00191F9C" w14:paraId="5FAE1B34" w14:textId="77777777" w:rsidTr="00072476">
        <w:tc>
          <w:tcPr>
            <w:tcW w:w="1699" w:type="dxa"/>
          </w:tcPr>
          <w:p w14:paraId="0E23D394"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191F9C">
              <w:rPr>
                <w:rFonts w:eastAsia="Times New Roman" w:cs="Calibri"/>
                <w:bCs/>
                <w:sz w:val="20"/>
                <w:szCs w:val="20"/>
                <w:lang w:eastAsia="hr-HR"/>
              </w:rPr>
              <w:t>Broj kaznenih djela</w:t>
            </w:r>
          </w:p>
        </w:tc>
        <w:tc>
          <w:tcPr>
            <w:tcW w:w="1549" w:type="dxa"/>
          </w:tcPr>
          <w:p w14:paraId="0F789069"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13.475</w:t>
            </w:r>
          </w:p>
        </w:tc>
        <w:tc>
          <w:tcPr>
            <w:tcW w:w="1549" w:type="dxa"/>
          </w:tcPr>
          <w:p w14:paraId="1F48D61A"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12.788</w:t>
            </w:r>
          </w:p>
        </w:tc>
        <w:tc>
          <w:tcPr>
            <w:tcW w:w="1549" w:type="dxa"/>
          </w:tcPr>
          <w:p w14:paraId="484A61A3"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12.378</w:t>
            </w:r>
          </w:p>
        </w:tc>
        <w:tc>
          <w:tcPr>
            <w:tcW w:w="1549" w:type="dxa"/>
          </w:tcPr>
          <w:p w14:paraId="68907AE9"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13.259</w:t>
            </w:r>
          </w:p>
        </w:tc>
        <w:tc>
          <w:tcPr>
            <w:tcW w:w="1393" w:type="dxa"/>
          </w:tcPr>
          <w:p w14:paraId="09C82E8A" w14:textId="77777777" w:rsidR="00072476" w:rsidRPr="003C5EAD"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3C5EAD">
              <w:rPr>
                <w:sz w:val="20"/>
                <w:szCs w:val="20"/>
              </w:rPr>
              <w:t>11.544</w:t>
            </w:r>
          </w:p>
        </w:tc>
      </w:tr>
      <w:tr w:rsidR="00072476" w:rsidRPr="00191F9C" w14:paraId="4971AD83" w14:textId="77777777" w:rsidTr="00072476">
        <w:tc>
          <w:tcPr>
            <w:tcW w:w="1699" w:type="dxa"/>
          </w:tcPr>
          <w:p w14:paraId="35568723"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191F9C">
              <w:rPr>
                <w:rFonts w:eastAsia="Times New Roman" w:cs="Calibri"/>
                <w:bCs/>
                <w:sz w:val="20"/>
                <w:szCs w:val="20"/>
                <w:lang w:eastAsia="hr-HR"/>
              </w:rPr>
              <w:t>Stopa razriješenosti kaznenih djela</w:t>
            </w:r>
          </w:p>
        </w:tc>
        <w:tc>
          <w:tcPr>
            <w:tcW w:w="1549" w:type="dxa"/>
          </w:tcPr>
          <w:p w14:paraId="538B1D1C"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51,8%</w:t>
            </w:r>
          </w:p>
        </w:tc>
        <w:tc>
          <w:tcPr>
            <w:tcW w:w="1549" w:type="dxa"/>
          </w:tcPr>
          <w:p w14:paraId="1AE89B62"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52,6%</w:t>
            </w:r>
          </w:p>
        </w:tc>
        <w:tc>
          <w:tcPr>
            <w:tcW w:w="1549" w:type="dxa"/>
          </w:tcPr>
          <w:p w14:paraId="689DBAC4"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53,0%</w:t>
            </w:r>
          </w:p>
        </w:tc>
        <w:tc>
          <w:tcPr>
            <w:tcW w:w="1549" w:type="dxa"/>
          </w:tcPr>
          <w:p w14:paraId="0612EBF1"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59,9%</w:t>
            </w:r>
          </w:p>
        </w:tc>
        <w:tc>
          <w:tcPr>
            <w:tcW w:w="1393" w:type="dxa"/>
          </w:tcPr>
          <w:p w14:paraId="1EF21DE5" w14:textId="77777777" w:rsidR="00072476" w:rsidRPr="003C5EAD"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3C5EAD">
              <w:rPr>
                <w:rFonts w:eastAsia="Times New Roman" w:cs="Calibri"/>
                <w:bCs/>
                <w:sz w:val="20"/>
                <w:szCs w:val="20"/>
                <w:lang w:eastAsia="hr-HR"/>
              </w:rPr>
              <w:t>55,2%</w:t>
            </w:r>
          </w:p>
        </w:tc>
      </w:tr>
      <w:tr w:rsidR="00072476" w:rsidRPr="00191F9C" w14:paraId="43CAF5F4" w14:textId="77777777" w:rsidTr="00072476">
        <w:tc>
          <w:tcPr>
            <w:tcW w:w="1699" w:type="dxa"/>
          </w:tcPr>
          <w:p w14:paraId="291A53D5"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191F9C">
              <w:rPr>
                <w:rFonts w:eastAsia="Times New Roman" w:cs="Calibri"/>
                <w:bCs/>
                <w:sz w:val="20"/>
                <w:szCs w:val="20"/>
                <w:lang w:eastAsia="hr-HR"/>
              </w:rPr>
              <w:t>Broj prometnih nesreća</w:t>
            </w:r>
          </w:p>
        </w:tc>
        <w:tc>
          <w:tcPr>
            <w:tcW w:w="1549" w:type="dxa"/>
          </w:tcPr>
          <w:p w14:paraId="720ED2AA"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5.882</w:t>
            </w:r>
          </w:p>
        </w:tc>
        <w:tc>
          <w:tcPr>
            <w:tcW w:w="1549" w:type="dxa"/>
          </w:tcPr>
          <w:p w14:paraId="3DB4BE1E"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6.255</w:t>
            </w:r>
          </w:p>
        </w:tc>
        <w:tc>
          <w:tcPr>
            <w:tcW w:w="1549" w:type="dxa"/>
          </w:tcPr>
          <w:p w14:paraId="59EE5033"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5.712</w:t>
            </w:r>
          </w:p>
        </w:tc>
        <w:tc>
          <w:tcPr>
            <w:tcW w:w="1549" w:type="dxa"/>
          </w:tcPr>
          <w:p w14:paraId="2687A36C"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5.783</w:t>
            </w:r>
          </w:p>
        </w:tc>
        <w:tc>
          <w:tcPr>
            <w:tcW w:w="1393" w:type="dxa"/>
          </w:tcPr>
          <w:p w14:paraId="3C95397B" w14:textId="77777777" w:rsidR="00072476" w:rsidRPr="003C5EAD"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3C5EAD">
              <w:rPr>
                <w:sz w:val="20"/>
                <w:szCs w:val="20"/>
              </w:rPr>
              <w:t>4.929</w:t>
            </w:r>
          </w:p>
        </w:tc>
      </w:tr>
      <w:tr w:rsidR="00072476" w:rsidRPr="00191F9C" w14:paraId="29A41A2B" w14:textId="77777777" w:rsidTr="00072476">
        <w:tc>
          <w:tcPr>
            <w:tcW w:w="1699" w:type="dxa"/>
          </w:tcPr>
          <w:p w14:paraId="5C4A7C69"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191F9C">
              <w:rPr>
                <w:rFonts w:eastAsia="Times New Roman" w:cs="Calibri"/>
                <w:bCs/>
                <w:sz w:val="20"/>
                <w:szCs w:val="20"/>
                <w:lang w:eastAsia="hr-HR"/>
              </w:rPr>
              <w:t>Broj ozlijeđenih u prometnim nesrećama</w:t>
            </w:r>
          </w:p>
        </w:tc>
        <w:tc>
          <w:tcPr>
            <w:tcW w:w="1549" w:type="dxa"/>
          </w:tcPr>
          <w:p w14:paraId="3093C221"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2.166</w:t>
            </w:r>
          </w:p>
        </w:tc>
        <w:tc>
          <w:tcPr>
            <w:tcW w:w="1549" w:type="dxa"/>
          </w:tcPr>
          <w:p w14:paraId="2F8B3ABD"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2.193</w:t>
            </w:r>
          </w:p>
        </w:tc>
        <w:tc>
          <w:tcPr>
            <w:tcW w:w="1549" w:type="dxa"/>
          </w:tcPr>
          <w:p w14:paraId="0B593AD5"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2.050</w:t>
            </w:r>
          </w:p>
        </w:tc>
        <w:tc>
          <w:tcPr>
            <w:tcW w:w="1549" w:type="dxa"/>
          </w:tcPr>
          <w:p w14:paraId="7932AC81" w14:textId="77777777" w:rsidR="00072476" w:rsidRPr="00191F9C" w:rsidRDefault="00072476" w:rsidP="00072476">
            <w:pPr>
              <w:tabs>
                <w:tab w:val="left" w:pos="-720"/>
              </w:tabs>
              <w:suppressAutoHyphens/>
              <w:spacing w:after="0" w:line="240" w:lineRule="auto"/>
              <w:ind w:right="-2"/>
              <w:jc w:val="both"/>
              <w:rPr>
                <w:rFonts w:eastAsia="Times New Roman" w:cs="Calibri"/>
                <w:bCs/>
                <w:sz w:val="20"/>
                <w:szCs w:val="20"/>
                <w:lang w:eastAsia="hr-HR"/>
              </w:rPr>
            </w:pPr>
            <w:r>
              <w:rPr>
                <w:rFonts w:eastAsia="Times New Roman" w:cs="Calibri"/>
                <w:bCs/>
                <w:sz w:val="20"/>
                <w:szCs w:val="20"/>
                <w:lang w:eastAsia="hr-HR"/>
              </w:rPr>
              <w:t>2.051</w:t>
            </w:r>
          </w:p>
        </w:tc>
        <w:tc>
          <w:tcPr>
            <w:tcW w:w="1393" w:type="dxa"/>
          </w:tcPr>
          <w:p w14:paraId="2810DABC" w14:textId="77777777" w:rsidR="00072476" w:rsidRPr="003C5EAD" w:rsidRDefault="00072476" w:rsidP="00072476">
            <w:pPr>
              <w:tabs>
                <w:tab w:val="left" w:pos="-720"/>
              </w:tabs>
              <w:suppressAutoHyphens/>
              <w:spacing w:after="0" w:line="240" w:lineRule="auto"/>
              <w:ind w:right="-2"/>
              <w:jc w:val="both"/>
              <w:rPr>
                <w:rFonts w:eastAsia="Times New Roman" w:cs="Calibri"/>
                <w:bCs/>
                <w:sz w:val="20"/>
                <w:szCs w:val="20"/>
                <w:lang w:eastAsia="hr-HR"/>
              </w:rPr>
            </w:pPr>
            <w:r w:rsidRPr="003C5EAD">
              <w:rPr>
                <w:sz w:val="20"/>
                <w:szCs w:val="20"/>
              </w:rPr>
              <w:t>1.646</w:t>
            </w:r>
          </w:p>
        </w:tc>
      </w:tr>
    </w:tbl>
    <w:p w14:paraId="178C9C1F" w14:textId="77777777" w:rsidR="00072476" w:rsidRPr="00EF6DEB" w:rsidRDefault="00072476" w:rsidP="00072476">
      <w:pPr>
        <w:tabs>
          <w:tab w:val="left" w:pos="-720"/>
        </w:tabs>
        <w:suppressAutoHyphens/>
        <w:spacing w:after="0" w:line="240" w:lineRule="auto"/>
        <w:ind w:right="-2"/>
        <w:jc w:val="both"/>
        <w:rPr>
          <w:rFonts w:eastAsia="Times New Roman" w:cs="Calibri"/>
          <w:bCs/>
          <w:sz w:val="18"/>
          <w:szCs w:val="18"/>
          <w:lang w:eastAsia="hr-HR"/>
        </w:rPr>
      </w:pPr>
      <w:r w:rsidRPr="00EF6DEB">
        <w:rPr>
          <w:rFonts w:eastAsia="Times New Roman" w:cs="Calibri"/>
          <w:bCs/>
          <w:sz w:val="18"/>
          <w:szCs w:val="18"/>
          <w:lang w:eastAsia="hr-HR"/>
        </w:rPr>
        <w:t>Izvor: Statistički ljetopis Grada Zagreba za 2019. godinu (str. 245) i Web stranica PU Zagrebačke (https://zagrebacka-policija.gov.hr/statistika/90)</w:t>
      </w:r>
    </w:p>
    <w:p w14:paraId="084E0318"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p>
    <w:p w14:paraId="33D95B2E"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Trenutna razriješenost kaznenih djela </w:t>
      </w:r>
      <w:r>
        <w:rPr>
          <w:rFonts w:eastAsia="Times New Roman" w:cs="Calibri"/>
          <w:bCs/>
          <w:lang w:eastAsia="hr-HR"/>
        </w:rPr>
        <w:t xml:space="preserve">dosegnula je razinu </w:t>
      </w:r>
      <w:r w:rsidRPr="00191F9C">
        <w:rPr>
          <w:rFonts w:eastAsia="Times New Roman" w:cs="Calibri"/>
          <w:bCs/>
          <w:lang w:eastAsia="hr-HR"/>
        </w:rPr>
        <w:t xml:space="preserve">od </w:t>
      </w:r>
      <w:r>
        <w:rPr>
          <w:rFonts w:eastAsia="Times New Roman" w:cs="Calibri"/>
          <w:bCs/>
          <w:lang w:eastAsia="hr-HR"/>
        </w:rPr>
        <w:t>55,2</w:t>
      </w:r>
      <w:r w:rsidRPr="00191F9C">
        <w:rPr>
          <w:rFonts w:eastAsia="Times New Roman" w:cs="Calibri"/>
          <w:bCs/>
          <w:lang w:eastAsia="hr-HR"/>
        </w:rPr>
        <w:t xml:space="preserve"> posto, što govori o tome da se policija dodatno aktivirala te se stručno usavršila u kontekstu promjene zakonodavstva tj. sve je kvalitetniji rad s obzirom na promjene u strukturi kriminaliteta, načinu i sofisticiranosti izvršenja kaznenih djela </w:t>
      </w:r>
      <w:bookmarkStart w:id="150" w:name="_Toc64777583"/>
      <w:bookmarkStart w:id="151" w:name="_Toc64783414"/>
      <w:bookmarkStart w:id="152" w:name="_Toc64958855"/>
      <w:bookmarkStart w:id="153" w:name="_Toc96838440"/>
      <w:bookmarkStart w:id="154" w:name="_Toc96839044"/>
      <w:bookmarkStart w:id="155" w:name="_Toc128801615"/>
    </w:p>
    <w:p w14:paraId="348BB4AD"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p>
    <w:tbl>
      <w:tblPr>
        <w:tblW w:w="5000" w:type="pct"/>
        <w:tblLook w:val="01E0" w:firstRow="1" w:lastRow="1" w:firstColumn="1" w:lastColumn="1" w:noHBand="0" w:noVBand="0"/>
      </w:tblPr>
      <w:tblGrid>
        <w:gridCol w:w="4467"/>
        <w:gridCol w:w="4605"/>
      </w:tblGrid>
      <w:tr w:rsidR="00072476" w:rsidRPr="00191F9C" w14:paraId="55BD641C" w14:textId="77777777" w:rsidTr="00072476">
        <w:tc>
          <w:tcPr>
            <w:tcW w:w="2462" w:type="pct"/>
            <w:shd w:val="clear" w:color="auto" w:fill="CCCCCC"/>
          </w:tcPr>
          <w:p w14:paraId="6E9F16D4"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RAZVOJNI PROBLEMI</w:t>
            </w:r>
          </w:p>
        </w:tc>
        <w:tc>
          <w:tcPr>
            <w:tcW w:w="2538" w:type="pct"/>
            <w:shd w:val="clear" w:color="auto" w:fill="AFD7FF"/>
          </w:tcPr>
          <w:p w14:paraId="683BB5E1"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2DE243E3" w14:textId="77777777" w:rsidTr="00072476">
        <w:trPr>
          <w:trHeight w:val="435"/>
        </w:trPr>
        <w:tc>
          <w:tcPr>
            <w:tcW w:w="2462" w:type="pct"/>
            <w:shd w:val="clear" w:color="auto" w:fill="CCCCCC"/>
          </w:tcPr>
          <w:p w14:paraId="5DB66B2C" w14:textId="77777777"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nerazvijen sustav opće prevencije kažnjivih ponašanja (teške krađe provaljivanjem u domove, drske krađe na ulici, razbojništva, vandalizam) te nizak stupanj kulture samozaštitnog ponašanja</w:t>
            </w:r>
          </w:p>
          <w:p w14:paraId="3A3A717E" w14:textId="77777777"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 xml:space="preserve">narušavanje javnog reda i mira te predstavke i pritužbe građana uslijed prekomjerne razine buke na otvorenim i zatvorenim prostorima namijenjenim održavanju javnih okupljanja, zabavnih, sportskih i sličnih aktivnosti </w:t>
            </w:r>
          </w:p>
          <w:p w14:paraId="6F20C7F0" w14:textId="77777777" w:rsidR="00072476" w:rsidRPr="00191F9C" w:rsidRDefault="00072476" w:rsidP="00072476">
            <w:pPr>
              <w:spacing w:before="60" w:after="60" w:line="240" w:lineRule="auto"/>
              <w:ind w:left="284" w:right="-2"/>
              <w:jc w:val="both"/>
              <w:rPr>
                <w:rFonts w:eastAsia="Times New Roman" w:cs="Calibri"/>
                <w:sz w:val="18"/>
                <w:szCs w:val="18"/>
                <w:lang w:eastAsia="hr-HR"/>
              </w:rPr>
            </w:pPr>
          </w:p>
        </w:tc>
        <w:tc>
          <w:tcPr>
            <w:tcW w:w="2538" w:type="pct"/>
            <w:shd w:val="clear" w:color="auto" w:fill="AFD7FF"/>
          </w:tcPr>
          <w:p w14:paraId="57A321DF" w14:textId="77777777"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 xml:space="preserve">preuzeti socijalno – preventivnu ulogu koja se sve više temelji na suradnji policije i društvene zajednice, čime se jača ugled policije u javnosti i razina uspješnosti </w:t>
            </w:r>
          </w:p>
          <w:p w14:paraId="28574034" w14:textId="77777777"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poboljšavati ukupno stanje kriminala njegovim smanjivanjem, a istodobno poboljšavati djelotvornost otkrivanja</w:t>
            </w:r>
          </w:p>
          <w:p w14:paraId="3646DCB7" w14:textId="77777777"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poboljšavati odnos broja počinjenih kaznenih djela i broja stanovnika</w:t>
            </w:r>
          </w:p>
          <w:p w14:paraId="578E1971" w14:textId="77777777"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prevencija nepoželjnog i kažnjivog ponašanja mjestima javnog okupljanja sportskog karaktera</w:t>
            </w:r>
          </w:p>
          <w:p w14:paraId="0172F067" w14:textId="77777777"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uspostaviti sustav za pružanje pomoći i uklanjanje posljedica katastrofa u lokalnom/regionalnom okruženju</w:t>
            </w:r>
          </w:p>
          <w:p w14:paraId="317D458F" w14:textId="161B5400" w:rsidR="00072476" w:rsidRPr="00191F9C" w:rsidRDefault="00072476" w:rsidP="00165C16">
            <w:pPr>
              <w:numPr>
                <w:ilvl w:val="0"/>
                <w:numId w:val="1"/>
              </w:numPr>
              <w:tabs>
                <w:tab w:val="num" w:pos="284"/>
              </w:tabs>
              <w:spacing w:before="60" w:after="60" w:line="240" w:lineRule="auto"/>
              <w:ind w:left="284" w:right="-2" w:hanging="284"/>
              <w:jc w:val="both"/>
              <w:rPr>
                <w:rFonts w:eastAsia="Times New Roman" w:cs="Calibri"/>
                <w:sz w:val="18"/>
                <w:szCs w:val="18"/>
                <w:lang w:eastAsia="hr-HR"/>
              </w:rPr>
            </w:pPr>
            <w:r w:rsidRPr="00191F9C">
              <w:rPr>
                <w:rFonts w:eastAsia="Times New Roman" w:cs="Calibri"/>
                <w:sz w:val="18"/>
                <w:szCs w:val="18"/>
                <w:lang w:eastAsia="hr-HR"/>
              </w:rPr>
              <w:t>uspostav</w:t>
            </w:r>
            <w:r w:rsidR="004A50A9">
              <w:rPr>
                <w:rFonts w:eastAsia="Times New Roman" w:cs="Calibri"/>
                <w:sz w:val="18"/>
                <w:szCs w:val="18"/>
                <w:lang w:eastAsia="hr-HR"/>
              </w:rPr>
              <w:t>lj</w:t>
            </w:r>
            <w:r w:rsidRPr="00191F9C">
              <w:rPr>
                <w:rFonts w:eastAsia="Times New Roman" w:cs="Calibri"/>
                <w:sz w:val="18"/>
                <w:szCs w:val="18"/>
                <w:lang w:eastAsia="hr-HR"/>
              </w:rPr>
              <w:t>anje sustava informacijske sigurnosti</w:t>
            </w:r>
          </w:p>
        </w:tc>
      </w:tr>
    </w:tbl>
    <w:p w14:paraId="5C531EA3" w14:textId="77777777" w:rsidR="00072476" w:rsidRPr="00191F9C" w:rsidRDefault="00072476" w:rsidP="00072476">
      <w:pPr>
        <w:tabs>
          <w:tab w:val="left" w:pos="-720"/>
        </w:tabs>
        <w:suppressAutoHyphens/>
        <w:spacing w:after="0" w:line="240" w:lineRule="auto"/>
        <w:ind w:right="-2"/>
        <w:jc w:val="both"/>
        <w:rPr>
          <w:rFonts w:eastAsia="Times New Roman" w:cs="Calibri"/>
          <w:b/>
          <w:bCs/>
          <w:lang w:eastAsia="hr-HR"/>
        </w:rPr>
      </w:pPr>
    </w:p>
    <w:bookmarkEnd w:id="150"/>
    <w:bookmarkEnd w:id="151"/>
    <w:bookmarkEnd w:id="152"/>
    <w:bookmarkEnd w:id="153"/>
    <w:bookmarkEnd w:id="154"/>
    <w:bookmarkEnd w:id="155"/>
    <w:p w14:paraId="7BCB3A20" w14:textId="77777777" w:rsidR="00072476" w:rsidRPr="00085BB7" w:rsidRDefault="00072476" w:rsidP="00072476">
      <w:pPr>
        <w:spacing w:line="240" w:lineRule="auto"/>
        <w:jc w:val="both"/>
        <w:rPr>
          <w:rFonts w:eastAsia="Times New Roman" w:cs="Calibri"/>
          <w:bCs/>
          <w:lang w:eastAsia="hr-HR"/>
        </w:rPr>
      </w:pPr>
      <w:r w:rsidRPr="00085BB7">
        <w:rPr>
          <w:b/>
        </w:rPr>
        <w:t xml:space="preserve">Zaštita i spašavanje. </w:t>
      </w:r>
      <w:r w:rsidRPr="00085BB7">
        <w:rPr>
          <w:rFonts w:eastAsia="Times New Roman" w:cs="Calibri"/>
          <w:bCs/>
          <w:lang w:eastAsia="hr-HR"/>
        </w:rPr>
        <w:t>Grad Zagreb osnovao je 2008. godine Ured za upravljanje u hitnim situacijama koji se u svom djelokrugu rada bavi poslovima koji se odnose na: planiranje, razvoj, učinkovito funkcioniranje i financiranje sustava civilne zaštite, obrane, zaštite od požara, ublažavanja i uklanjanja posljedica prirodnih nepogoda i vatrogastva u izvršavanju prava, obveza i odgovornosti Gradske skupštine i gradonačelnika, izradu procjena, planova i drugih planskih akata, izradu općih, pojedinačnih i drugih akata u navedenim, odnosno pojedinim područjima, koordiniranje djelovanja operativnih snaga sustava civilne zaštite namijenjenih provođenju mjera civilne zaštite, tajnost podataka, informacijsku sigurnost i nadzor nad informacijskom sigurnošću, te na druge poslove koji su mu stavljeni u nadležnost.</w:t>
      </w:r>
    </w:p>
    <w:p w14:paraId="170E0101" w14:textId="77777777" w:rsidR="00072476" w:rsidRPr="00085BB7" w:rsidRDefault="00072476" w:rsidP="00072476">
      <w:pPr>
        <w:spacing w:line="240" w:lineRule="auto"/>
        <w:jc w:val="both"/>
      </w:pPr>
      <w:r w:rsidRPr="00085BB7">
        <w:t>U 2019. operativne snage civilne zaštite Grada Zagreba imale su ukupno </w:t>
      </w:r>
      <w:r w:rsidRPr="00085BB7">
        <w:rPr>
          <w:b/>
          <w:bCs/>
        </w:rPr>
        <w:t>17091</w:t>
      </w:r>
      <w:r w:rsidRPr="00085BB7">
        <w:t> intervenciju, dok je u prethodnoj 2018. godini bilo 14912 intervencija (</w:t>
      </w:r>
      <w:hyperlink r:id="rId56" w:history="1">
        <w:r w:rsidRPr="00085BB7">
          <w:rPr>
            <w:color w:val="0000FF"/>
            <w:u w:val="single"/>
          </w:rPr>
          <w:t>https://www.zagreb.hr/en/godisnji-podaci-o-intervencijama-snaga-civilne-zas/154618</w:t>
        </w:r>
      </w:hyperlink>
      <w:r w:rsidRPr="00085BB7">
        <w:t>).</w:t>
      </w:r>
      <w:r w:rsidRPr="00085BB7">
        <w:br/>
      </w:r>
      <w:r w:rsidRPr="00085BB7">
        <w:rPr>
          <w:rFonts w:eastAsia="Times New Roman" w:cs="Calibri"/>
          <w:bCs/>
          <w:lang w:eastAsia="hr-HR"/>
        </w:rPr>
        <w:t>Od ukupnog broja intervencija,  </w:t>
      </w:r>
      <w:r w:rsidRPr="00085BB7">
        <w:rPr>
          <w:rFonts w:eastAsia="Times New Roman" w:cs="Calibri"/>
          <w:b/>
          <w:bCs/>
          <w:lang w:eastAsia="hr-HR"/>
        </w:rPr>
        <w:t>3971</w:t>
      </w:r>
      <w:r w:rsidRPr="00085BB7">
        <w:rPr>
          <w:rFonts w:eastAsia="Times New Roman" w:cs="Calibri"/>
          <w:bCs/>
          <w:lang w:eastAsia="hr-HR"/>
        </w:rPr>
        <w:t> bila je vatrogasna intervencija. Javna vatrogasna postrojba Grada Zagreba obavila je 3092 intervencije što je 548 intervencija više u odnosu na 2018. godinu.</w:t>
      </w:r>
      <w:r w:rsidRPr="00085BB7">
        <w:rPr>
          <w:rFonts w:eastAsia="Times New Roman" w:cs="Calibri"/>
          <w:bCs/>
          <w:lang w:eastAsia="hr-HR"/>
        </w:rPr>
        <w:br/>
        <w:t>Intervencije su se razlikovale po strukturi, te je prošle godine bilo najviše tehničkih intervencija (1510), zatim 1163 intervencije gašenja požara, te 419 ostalih intervencija. Dobrovoljna vatrogasna</w:t>
      </w:r>
      <w:r w:rsidRPr="00085BB7">
        <w:t xml:space="preserve"> društva imala su </w:t>
      </w:r>
      <w:r w:rsidRPr="00085BB7">
        <w:rPr>
          <w:b/>
          <w:bCs/>
        </w:rPr>
        <w:t>1022 </w:t>
      </w:r>
      <w:r w:rsidRPr="00085BB7">
        <w:t>intervencije</w:t>
      </w:r>
      <w:r w:rsidRPr="00085BB7">
        <w:rPr>
          <w:b/>
          <w:bCs/>
        </w:rPr>
        <w:t>, </w:t>
      </w:r>
      <w:r w:rsidRPr="00085BB7">
        <w:t>od čega su samostalno odradili 879 intervencija dok se ostatak intervencija odnosi na ispomoć profesionalnim vatrogascima. Nastavni zavod za hitnu medicinu Grada Zagreba prošle godine je imao </w:t>
      </w:r>
      <w:r w:rsidRPr="00085BB7">
        <w:rPr>
          <w:b/>
          <w:bCs/>
        </w:rPr>
        <w:t>13018 </w:t>
      </w:r>
      <w:r w:rsidRPr="00085BB7">
        <w:t>intervencija hitne medicinske pomoći</w:t>
      </w:r>
      <w:r w:rsidRPr="00085BB7">
        <w:rPr>
          <w:b/>
          <w:bCs/>
        </w:rPr>
        <w:t>, </w:t>
      </w:r>
      <w:r w:rsidRPr="00085BB7">
        <w:t>dok je u 2018. bilo 12041 intervencije. Hrvatska gorska služba spašavanja – stanica Zagreb u ovom periodu imala je </w:t>
      </w:r>
      <w:r w:rsidRPr="00085BB7">
        <w:rPr>
          <w:b/>
          <w:bCs/>
        </w:rPr>
        <w:t>102 </w:t>
      </w:r>
      <w:r w:rsidRPr="00085BB7">
        <w:t>intervencije na području Medvednice i Grada Zagreba</w:t>
      </w:r>
      <w:r w:rsidRPr="00085BB7">
        <w:rPr>
          <w:rFonts w:ascii="Helvetica" w:hAnsi="Helvetica"/>
          <w:color w:val="666666"/>
          <w:sz w:val="23"/>
          <w:szCs w:val="23"/>
          <w:shd w:val="clear" w:color="auto" w:fill="FFFFFF"/>
        </w:rPr>
        <w:t xml:space="preserve">, </w:t>
      </w:r>
      <w:r w:rsidRPr="00085BB7">
        <w:t>što je nešto manje nego prethodne godine kada su imali 129 intervencija.</w:t>
      </w:r>
    </w:p>
    <w:p w14:paraId="0F49430E" w14:textId="13FDAC17" w:rsidR="00072476" w:rsidRPr="002D4821" w:rsidRDefault="00072476" w:rsidP="00072476">
      <w:pPr>
        <w:spacing w:line="240" w:lineRule="auto"/>
        <w:jc w:val="both"/>
      </w:pPr>
      <w:r w:rsidRPr="00085BB7">
        <w:t>Ured za upravljanje u hitnim situacijama</w:t>
      </w:r>
      <w:r w:rsidR="00D67234">
        <w:t xml:space="preserve"> </w:t>
      </w:r>
      <w:r w:rsidR="00D67234" w:rsidRPr="00D67234">
        <w:t>(od 1.1.2022.g. Gradski ured za mjesnu samoupravu, civilnu zaštitu i sigurnost)</w:t>
      </w:r>
      <w:r w:rsidRPr="00085BB7">
        <w:t xml:space="preserve"> izradio je skup dokumenta poput  Procjena rizika od velikih nesreća za područje Grada Zagreba (6/19), Procjena ugroženosti od požara i tehnološke eksplozije za područje Grada Zagreba (9/19), Analiza stanja sustava civilne zaštite Grada Zagreba za 2019. (24/19), Plan djelovanja civilne zaštite Grada Zagreba (16/19), Plan razvoja sustava civilne zaštite Grada Zagreba za 2020. (24/19) te ostale zakonom propisane dokumente.</w:t>
      </w:r>
      <w:r>
        <w:t xml:space="preserve"> Ured kontinuirano provodi edukaciju najmlađih građana i učenika, te sustavno informira građane o događajima koji su utjecali na sigurnost građana, izrađuje i distribuira edukativne letke o načinu odgovora na identificirane rizike, izrađuje i distribuira plakate s prikazom zona za evakuaciju, zbrinjavanje i prihvat stanovništva u slučaju razornog potresa, a koji se postavljaju na javnim mjestima.</w:t>
      </w:r>
    </w:p>
    <w:p w14:paraId="089E32B3" w14:textId="77777777" w:rsidR="00072476" w:rsidRPr="002D4821" w:rsidRDefault="00072476" w:rsidP="00072476"/>
    <w:tbl>
      <w:tblPr>
        <w:tblW w:w="5000" w:type="pct"/>
        <w:tblLook w:val="01E0" w:firstRow="1" w:lastRow="1" w:firstColumn="1" w:lastColumn="1" w:noHBand="0" w:noVBand="0"/>
      </w:tblPr>
      <w:tblGrid>
        <w:gridCol w:w="4467"/>
        <w:gridCol w:w="4605"/>
      </w:tblGrid>
      <w:tr w:rsidR="00072476" w:rsidRPr="00BA2AC6" w14:paraId="36F3B65F" w14:textId="77777777" w:rsidTr="00072476">
        <w:tc>
          <w:tcPr>
            <w:tcW w:w="2462" w:type="pct"/>
            <w:shd w:val="clear" w:color="auto" w:fill="CCCCCC"/>
          </w:tcPr>
          <w:p w14:paraId="380BC2DC" w14:textId="77777777" w:rsidR="00072476" w:rsidRPr="00085BB7" w:rsidRDefault="00072476" w:rsidP="00072476">
            <w:pPr>
              <w:spacing w:before="60" w:after="60" w:line="240" w:lineRule="auto"/>
              <w:ind w:right="-2"/>
              <w:rPr>
                <w:rFonts w:eastAsia="Times New Roman" w:cs="Calibri"/>
                <w:b/>
                <w:sz w:val="18"/>
                <w:szCs w:val="18"/>
                <w:lang w:eastAsia="hr-HR"/>
              </w:rPr>
            </w:pPr>
            <w:r w:rsidRPr="00085BB7">
              <w:rPr>
                <w:rFonts w:eastAsia="Times New Roman" w:cs="Calibri"/>
                <w:b/>
                <w:sz w:val="18"/>
                <w:szCs w:val="18"/>
                <w:lang w:eastAsia="hr-HR"/>
              </w:rPr>
              <w:t>RAZVOJNI PROBLEMI</w:t>
            </w:r>
          </w:p>
        </w:tc>
        <w:tc>
          <w:tcPr>
            <w:tcW w:w="2538" w:type="pct"/>
            <w:shd w:val="clear" w:color="auto" w:fill="AFD7FF"/>
          </w:tcPr>
          <w:p w14:paraId="363F56DA" w14:textId="77777777" w:rsidR="00072476" w:rsidRPr="00085BB7" w:rsidRDefault="00072476" w:rsidP="00072476">
            <w:pPr>
              <w:spacing w:before="60" w:after="60" w:line="240" w:lineRule="auto"/>
              <w:ind w:right="-2"/>
              <w:rPr>
                <w:rFonts w:eastAsia="Times New Roman" w:cs="Calibri"/>
                <w:b/>
                <w:sz w:val="18"/>
                <w:szCs w:val="18"/>
                <w:lang w:eastAsia="hr-HR"/>
              </w:rPr>
            </w:pPr>
            <w:r w:rsidRPr="00085BB7">
              <w:rPr>
                <w:rFonts w:eastAsia="Times New Roman" w:cs="Calibri"/>
                <w:b/>
                <w:sz w:val="18"/>
                <w:szCs w:val="18"/>
                <w:lang w:eastAsia="hr-HR"/>
              </w:rPr>
              <w:t>RAZVOJNE POTREBE</w:t>
            </w:r>
          </w:p>
        </w:tc>
      </w:tr>
      <w:tr w:rsidR="00072476" w:rsidRPr="002D4821" w14:paraId="772C9F4F" w14:textId="77777777" w:rsidTr="00072476">
        <w:trPr>
          <w:trHeight w:val="290"/>
        </w:trPr>
        <w:tc>
          <w:tcPr>
            <w:tcW w:w="2462" w:type="pct"/>
            <w:shd w:val="clear" w:color="auto" w:fill="CCCCCC"/>
          </w:tcPr>
          <w:p w14:paraId="3EA837CC" w14:textId="77777777" w:rsidR="00072476" w:rsidRPr="00085BB7" w:rsidRDefault="00072476" w:rsidP="00165C16">
            <w:pPr>
              <w:numPr>
                <w:ilvl w:val="0"/>
                <w:numId w:val="1"/>
              </w:numPr>
              <w:tabs>
                <w:tab w:val="clear" w:pos="720"/>
                <w:tab w:val="num" w:pos="284"/>
              </w:tabs>
              <w:spacing w:before="60" w:after="60" w:line="240" w:lineRule="auto"/>
              <w:ind w:left="284" w:right="-2" w:hanging="284"/>
              <w:jc w:val="both"/>
              <w:rPr>
                <w:rFonts w:eastAsia="Times New Roman" w:cs="Calibri"/>
                <w:sz w:val="18"/>
                <w:szCs w:val="18"/>
                <w:lang w:eastAsia="hr-HR"/>
              </w:rPr>
            </w:pPr>
            <w:r w:rsidRPr="00085BB7">
              <w:rPr>
                <w:rFonts w:eastAsia="Times New Roman" w:cs="Calibri"/>
                <w:sz w:val="18"/>
                <w:szCs w:val="18"/>
                <w:lang w:eastAsia="hr-HR"/>
              </w:rPr>
              <w:t>rizici i opasnosti Grada Zagreba su prirodne, tehničko tehnološke, nuklearne i druge nesreće</w:t>
            </w:r>
          </w:p>
          <w:p w14:paraId="56716C6B" w14:textId="77777777" w:rsidR="00072476" w:rsidRPr="00085BB7" w:rsidRDefault="00072476" w:rsidP="00165C16">
            <w:pPr>
              <w:numPr>
                <w:ilvl w:val="0"/>
                <w:numId w:val="1"/>
              </w:numPr>
              <w:tabs>
                <w:tab w:val="clear" w:pos="720"/>
                <w:tab w:val="num" w:pos="284"/>
              </w:tabs>
              <w:spacing w:before="60" w:after="60" w:line="240" w:lineRule="auto"/>
              <w:ind w:left="284" w:right="-2" w:hanging="284"/>
              <w:jc w:val="both"/>
              <w:rPr>
                <w:rFonts w:eastAsia="Times New Roman" w:cs="Calibri"/>
                <w:sz w:val="18"/>
                <w:szCs w:val="18"/>
                <w:lang w:eastAsia="hr-HR"/>
              </w:rPr>
            </w:pPr>
            <w:r w:rsidRPr="00085BB7">
              <w:rPr>
                <w:rFonts w:eastAsia="Times New Roman" w:cs="Calibri"/>
                <w:sz w:val="18"/>
                <w:szCs w:val="18"/>
                <w:lang w:eastAsia="hr-HR"/>
              </w:rPr>
              <w:t xml:space="preserve">nedovoljno prepoznavanje važnosti i odgovornosti za preventivno djelovanje i adekvatno planiranje </w:t>
            </w:r>
          </w:p>
          <w:p w14:paraId="58592082" w14:textId="77777777" w:rsidR="00072476" w:rsidRPr="00085BB7" w:rsidRDefault="00072476" w:rsidP="00165C16">
            <w:pPr>
              <w:numPr>
                <w:ilvl w:val="0"/>
                <w:numId w:val="1"/>
              </w:numPr>
              <w:tabs>
                <w:tab w:val="clear" w:pos="720"/>
                <w:tab w:val="num" w:pos="284"/>
              </w:tabs>
              <w:spacing w:before="60" w:after="60" w:line="240" w:lineRule="auto"/>
              <w:ind w:left="284" w:right="-2" w:hanging="284"/>
              <w:jc w:val="both"/>
              <w:rPr>
                <w:rFonts w:eastAsia="Times New Roman" w:cs="Calibri"/>
                <w:sz w:val="18"/>
                <w:szCs w:val="18"/>
                <w:lang w:eastAsia="hr-HR"/>
              </w:rPr>
            </w:pPr>
            <w:r w:rsidRPr="00085BB7">
              <w:rPr>
                <w:rFonts w:eastAsia="Times New Roman" w:cs="Calibri"/>
                <w:sz w:val="18"/>
                <w:szCs w:val="18"/>
                <w:lang w:eastAsia="hr-HR"/>
              </w:rPr>
              <w:t>nedostatak ljudskih, financijskih i drugih resursa</w:t>
            </w:r>
          </w:p>
          <w:p w14:paraId="6E40FAAF" w14:textId="77777777" w:rsidR="00072476" w:rsidRPr="00085BB7" w:rsidRDefault="00072476" w:rsidP="00165C16">
            <w:pPr>
              <w:numPr>
                <w:ilvl w:val="0"/>
                <w:numId w:val="1"/>
              </w:numPr>
              <w:tabs>
                <w:tab w:val="clear" w:pos="720"/>
                <w:tab w:val="num" w:pos="284"/>
              </w:tabs>
              <w:spacing w:before="60" w:after="60" w:line="240" w:lineRule="auto"/>
              <w:ind w:left="284" w:right="-2" w:hanging="284"/>
              <w:jc w:val="both"/>
              <w:rPr>
                <w:rFonts w:eastAsia="Times New Roman" w:cs="Calibri"/>
                <w:sz w:val="18"/>
                <w:szCs w:val="18"/>
                <w:lang w:eastAsia="hr-HR"/>
              </w:rPr>
            </w:pPr>
            <w:r w:rsidRPr="00085BB7">
              <w:rPr>
                <w:rFonts w:eastAsia="Times New Roman" w:cs="Calibri"/>
                <w:sz w:val="18"/>
                <w:szCs w:val="18"/>
                <w:lang w:eastAsia="hr-HR"/>
              </w:rPr>
              <w:t>nedostatak informacija o novim pojavnim oblicima rizika.</w:t>
            </w:r>
          </w:p>
        </w:tc>
        <w:tc>
          <w:tcPr>
            <w:tcW w:w="2538" w:type="pct"/>
            <w:shd w:val="clear" w:color="auto" w:fill="AFD7FF"/>
          </w:tcPr>
          <w:p w14:paraId="4DDDF526" w14:textId="77777777" w:rsidR="00072476" w:rsidRPr="00085BB7" w:rsidRDefault="00072476" w:rsidP="00165C16">
            <w:pPr>
              <w:numPr>
                <w:ilvl w:val="0"/>
                <w:numId w:val="1"/>
              </w:numPr>
              <w:spacing w:before="60" w:after="60" w:line="240" w:lineRule="auto"/>
              <w:ind w:right="-2"/>
              <w:rPr>
                <w:rFonts w:eastAsia="Times New Roman" w:cs="Calibri"/>
                <w:sz w:val="18"/>
                <w:szCs w:val="18"/>
                <w:lang w:eastAsia="hr-HR"/>
              </w:rPr>
            </w:pPr>
            <w:r w:rsidRPr="00085BB7">
              <w:rPr>
                <w:rFonts w:eastAsia="Times New Roman" w:cs="Calibri"/>
                <w:sz w:val="18"/>
                <w:szCs w:val="18"/>
                <w:lang w:eastAsia="hr-HR"/>
              </w:rPr>
              <w:t>kontinuirano ulaganje u edukaciju građana</w:t>
            </w:r>
          </w:p>
          <w:p w14:paraId="57128A18" w14:textId="77777777" w:rsidR="00072476" w:rsidRPr="00085BB7" w:rsidRDefault="00072476" w:rsidP="00165C16">
            <w:pPr>
              <w:numPr>
                <w:ilvl w:val="0"/>
                <w:numId w:val="1"/>
              </w:numPr>
              <w:spacing w:before="60" w:after="60" w:line="240" w:lineRule="auto"/>
              <w:ind w:right="-2"/>
              <w:rPr>
                <w:rFonts w:eastAsia="Times New Roman" w:cs="Calibri"/>
                <w:sz w:val="18"/>
                <w:szCs w:val="18"/>
                <w:lang w:eastAsia="hr-HR"/>
              </w:rPr>
            </w:pPr>
            <w:r w:rsidRPr="00085BB7">
              <w:rPr>
                <w:rFonts w:eastAsia="Times New Roman" w:cs="Calibri"/>
                <w:sz w:val="18"/>
                <w:szCs w:val="18"/>
                <w:lang w:eastAsia="hr-HR"/>
              </w:rPr>
              <w:t>stručno usavršavanja operativnih snaga Grada Zagreba</w:t>
            </w:r>
          </w:p>
          <w:p w14:paraId="7D48AC02" w14:textId="77777777" w:rsidR="00072476" w:rsidRPr="00085BB7" w:rsidRDefault="00072476" w:rsidP="00165C16">
            <w:pPr>
              <w:numPr>
                <w:ilvl w:val="0"/>
                <w:numId w:val="1"/>
              </w:numPr>
              <w:spacing w:before="60" w:after="60" w:line="240" w:lineRule="auto"/>
              <w:ind w:right="-2"/>
              <w:rPr>
                <w:rFonts w:eastAsia="Times New Roman" w:cs="Calibri"/>
                <w:sz w:val="18"/>
                <w:szCs w:val="18"/>
                <w:lang w:eastAsia="hr-HR"/>
              </w:rPr>
            </w:pPr>
            <w:r w:rsidRPr="00085BB7">
              <w:rPr>
                <w:rFonts w:eastAsia="Times New Roman" w:cs="Calibri"/>
                <w:sz w:val="18"/>
                <w:szCs w:val="18"/>
                <w:lang w:eastAsia="hr-HR"/>
              </w:rPr>
              <w:t>ulaganja u sredstva i opremu</w:t>
            </w:r>
          </w:p>
          <w:p w14:paraId="67FBBB24" w14:textId="77777777" w:rsidR="00072476" w:rsidRPr="00085BB7" w:rsidRDefault="00072476" w:rsidP="00165C16">
            <w:pPr>
              <w:numPr>
                <w:ilvl w:val="0"/>
                <w:numId w:val="1"/>
              </w:numPr>
              <w:spacing w:before="60" w:after="60" w:line="240" w:lineRule="auto"/>
              <w:ind w:right="-2"/>
              <w:rPr>
                <w:rFonts w:eastAsia="Times New Roman" w:cs="Calibri"/>
                <w:sz w:val="18"/>
                <w:szCs w:val="18"/>
                <w:lang w:eastAsia="hr-HR"/>
              </w:rPr>
            </w:pPr>
            <w:r w:rsidRPr="00085BB7">
              <w:rPr>
                <w:rFonts w:eastAsia="Times New Roman" w:cs="Calibri"/>
                <w:sz w:val="18"/>
                <w:szCs w:val="18"/>
                <w:lang w:eastAsia="hr-HR"/>
              </w:rPr>
              <w:t>unapređenje koordinacije svih dionika sustava s naglaskom na rad u izvanrednim situacijama</w:t>
            </w:r>
          </w:p>
          <w:p w14:paraId="3F473C01" w14:textId="77777777" w:rsidR="00072476" w:rsidRPr="00085BB7" w:rsidRDefault="00072476" w:rsidP="00165C16">
            <w:pPr>
              <w:numPr>
                <w:ilvl w:val="0"/>
                <w:numId w:val="1"/>
              </w:numPr>
              <w:spacing w:before="60" w:after="60" w:line="240" w:lineRule="auto"/>
              <w:ind w:right="-2"/>
              <w:rPr>
                <w:rFonts w:eastAsia="Times New Roman" w:cs="Calibri"/>
                <w:sz w:val="18"/>
                <w:szCs w:val="18"/>
                <w:lang w:eastAsia="hr-HR"/>
              </w:rPr>
            </w:pPr>
            <w:r w:rsidRPr="00085BB7">
              <w:rPr>
                <w:rFonts w:eastAsia="Times New Roman" w:cs="Calibri"/>
                <w:sz w:val="18"/>
                <w:szCs w:val="18"/>
                <w:lang w:eastAsia="hr-HR"/>
              </w:rPr>
              <w:t xml:space="preserve">razvoj baza podataka potrebnih za pravovremenu identifikaciju rizika i planiranje </w:t>
            </w:r>
          </w:p>
          <w:p w14:paraId="2AD5C9BB" w14:textId="77777777" w:rsidR="00072476" w:rsidRPr="00085BB7" w:rsidRDefault="00072476" w:rsidP="00165C16">
            <w:pPr>
              <w:numPr>
                <w:ilvl w:val="0"/>
                <w:numId w:val="1"/>
              </w:numPr>
              <w:spacing w:before="60" w:after="60" w:line="240" w:lineRule="auto"/>
              <w:ind w:right="-2"/>
              <w:rPr>
                <w:rFonts w:eastAsia="Times New Roman" w:cs="Calibri"/>
                <w:sz w:val="18"/>
                <w:szCs w:val="18"/>
                <w:lang w:eastAsia="hr-HR"/>
              </w:rPr>
            </w:pPr>
            <w:r w:rsidRPr="00085BB7">
              <w:rPr>
                <w:rFonts w:eastAsia="Times New Roman" w:cs="Calibri"/>
                <w:sz w:val="18"/>
                <w:szCs w:val="18"/>
                <w:lang w:eastAsia="hr-HR"/>
              </w:rPr>
              <w:t>razvoj i održavanje alternativnih sustava komunikacija</w:t>
            </w:r>
          </w:p>
          <w:p w14:paraId="66A8DCD4" w14:textId="77777777" w:rsidR="00072476" w:rsidRPr="00BA2AC6" w:rsidRDefault="00072476" w:rsidP="00165C16">
            <w:pPr>
              <w:numPr>
                <w:ilvl w:val="0"/>
                <w:numId w:val="1"/>
              </w:numPr>
              <w:spacing w:before="60" w:after="60" w:line="240" w:lineRule="auto"/>
              <w:ind w:right="-2"/>
              <w:rPr>
                <w:rFonts w:eastAsia="Times New Roman" w:cs="Calibri"/>
                <w:sz w:val="18"/>
                <w:szCs w:val="18"/>
                <w:highlight w:val="yellow"/>
                <w:lang w:eastAsia="hr-HR"/>
              </w:rPr>
            </w:pPr>
            <w:r w:rsidRPr="0000743F">
              <w:rPr>
                <w:rFonts w:eastAsia="Times New Roman" w:cs="Calibri"/>
                <w:sz w:val="18"/>
                <w:szCs w:val="18"/>
                <w:lang w:eastAsia="hr-HR"/>
              </w:rPr>
              <w:t>povećanje</w:t>
            </w:r>
            <w:r w:rsidRPr="00085BB7">
              <w:rPr>
                <w:rFonts w:eastAsia="Times New Roman" w:cs="Calibri"/>
                <w:sz w:val="18"/>
                <w:szCs w:val="18"/>
                <w:lang w:eastAsia="hr-HR"/>
              </w:rPr>
              <w:t xml:space="preserve"> broja pripadnika općih postrojbi civilne zaštite</w:t>
            </w:r>
          </w:p>
        </w:tc>
      </w:tr>
    </w:tbl>
    <w:p w14:paraId="05E881EE"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p>
    <w:p w14:paraId="43CD2E0D" w14:textId="1289CD6A" w:rsidR="00072476" w:rsidRPr="00191F9C" w:rsidRDefault="00072476" w:rsidP="00B8319D">
      <w:pPr>
        <w:pStyle w:val="Stil2"/>
      </w:pPr>
      <w:bookmarkStart w:id="156" w:name="_Toc97123863"/>
      <w:r w:rsidRPr="00191F9C">
        <w:t xml:space="preserve">6.3. </w:t>
      </w:r>
      <w:r w:rsidR="00B8319D" w:rsidRPr="00191F9C">
        <w:t>FINANCIJSKI IZVORI ZA RAZVOJNE PROJEKTE I ZA FUNKCIONIRANJE GRADA</w:t>
      </w:r>
      <w:bookmarkEnd w:id="156"/>
    </w:p>
    <w:p w14:paraId="316C711B" w14:textId="6067D296" w:rsidR="00072476" w:rsidRPr="004A7A4E" w:rsidRDefault="00072476" w:rsidP="00072476">
      <w:pPr>
        <w:spacing w:after="0" w:line="240" w:lineRule="auto"/>
        <w:jc w:val="both"/>
        <w:rPr>
          <w:rFonts w:ascii="Times New Roman" w:hAnsi="Times New Roman" w:cs="Times New Roman"/>
          <w:color w:val="000000"/>
          <w:sz w:val="24"/>
          <w:szCs w:val="24"/>
        </w:rPr>
      </w:pPr>
      <w:r w:rsidRPr="00191F9C">
        <w:rPr>
          <w:rFonts w:eastAsia="Times New Roman" w:cs="Calibri"/>
          <w:bCs/>
          <w:lang w:eastAsia="hr-HR"/>
        </w:rPr>
        <w:t>U proračunu Grada Zagreba u</w:t>
      </w:r>
      <w:r>
        <w:rPr>
          <w:rFonts w:eastAsia="Times New Roman" w:cs="Calibri"/>
          <w:bCs/>
          <w:lang w:eastAsia="hr-HR"/>
        </w:rPr>
        <w:t xml:space="preserve"> 202</w:t>
      </w:r>
      <w:r w:rsidR="00972234">
        <w:rPr>
          <w:rFonts w:eastAsia="Times New Roman" w:cs="Calibri"/>
          <w:bCs/>
          <w:lang w:eastAsia="hr-HR"/>
        </w:rPr>
        <w:t>2</w:t>
      </w:r>
      <w:r>
        <w:rPr>
          <w:rFonts w:eastAsia="Times New Roman" w:cs="Calibri"/>
          <w:bCs/>
          <w:lang w:eastAsia="hr-HR"/>
        </w:rPr>
        <w:t xml:space="preserve">. planirano je </w:t>
      </w:r>
      <w:r w:rsidR="00972234">
        <w:rPr>
          <w:rFonts w:eastAsia="Times New Roman" w:cs="Calibri"/>
          <w:bCs/>
          <w:lang w:eastAsia="hr-HR"/>
        </w:rPr>
        <w:t>14,16</w:t>
      </w:r>
      <w:r>
        <w:rPr>
          <w:rFonts w:eastAsia="Times New Roman" w:cs="Calibri"/>
          <w:bCs/>
          <w:lang w:eastAsia="hr-HR"/>
        </w:rPr>
        <w:t xml:space="preserve">mlrd kuna prihoda i </w:t>
      </w:r>
      <w:r w:rsidR="00972234">
        <w:rPr>
          <w:rFonts w:eastAsia="Times New Roman" w:cs="Calibri"/>
          <w:bCs/>
          <w:lang w:eastAsia="hr-HR"/>
        </w:rPr>
        <w:t>13,31</w:t>
      </w:r>
      <w:r>
        <w:rPr>
          <w:rFonts w:eastAsia="Times New Roman" w:cs="Calibri"/>
          <w:bCs/>
          <w:lang w:eastAsia="hr-HR"/>
        </w:rPr>
        <w:t>mlrd.kn rashoda</w:t>
      </w:r>
      <w:r w:rsidRPr="00191F9C">
        <w:rPr>
          <w:rFonts w:eastAsia="Times New Roman" w:cs="Calibri"/>
          <w:bCs/>
          <w:vertAlign w:val="superscript"/>
          <w:lang w:eastAsia="hr-HR"/>
        </w:rPr>
        <w:footnoteReference w:id="64"/>
      </w:r>
      <w:r w:rsidRPr="00191F9C">
        <w:rPr>
          <w:rFonts w:eastAsia="Times New Roman" w:cs="Calibri"/>
          <w:bCs/>
          <w:lang w:eastAsia="hr-HR"/>
        </w:rPr>
        <w:t>. Istodobno s prijedlogom proračuna za</w:t>
      </w:r>
      <w:r>
        <w:rPr>
          <w:rFonts w:eastAsia="Times New Roman" w:cs="Calibri"/>
          <w:bCs/>
          <w:lang w:eastAsia="hr-HR"/>
        </w:rPr>
        <w:t xml:space="preserve"> 202</w:t>
      </w:r>
      <w:r w:rsidR="00972234">
        <w:rPr>
          <w:rFonts w:eastAsia="Times New Roman" w:cs="Calibri"/>
          <w:bCs/>
          <w:lang w:eastAsia="hr-HR"/>
        </w:rPr>
        <w:t>2</w:t>
      </w:r>
      <w:r w:rsidRPr="00191F9C">
        <w:rPr>
          <w:rFonts w:eastAsia="Times New Roman" w:cs="Calibri"/>
          <w:bCs/>
          <w:lang w:eastAsia="hr-HR"/>
        </w:rPr>
        <w:t>., usvojene su i projekcije za</w:t>
      </w:r>
      <w:r>
        <w:rPr>
          <w:rFonts w:eastAsia="Times New Roman" w:cs="Calibri"/>
          <w:bCs/>
          <w:lang w:eastAsia="hr-HR"/>
        </w:rPr>
        <w:t xml:space="preserve"> 202</w:t>
      </w:r>
      <w:r w:rsidR="00972234">
        <w:rPr>
          <w:rFonts w:eastAsia="Times New Roman" w:cs="Calibri"/>
          <w:bCs/>
          <w:lang w:eastAsia="hr-HR"/>
        </w:rPr>
        <w:t>3</w:t>
      </w:r>
      <w:r>
        <w:rPr>
          <w:rFonts w:eastAsia="Times New Roman" w:cs="Calibri"/>
          <w:bCs/>
          <w:lang w:eastAsia="hr-HR"/>
        </w:rPr>
        <w:t>. i 202</w:t>
      </w:r>
      <w:r w:rsidR="00972234">
        <w:rPr>
          <w:rFonts w:eastAsia="Times New Roman" w:cs="Calibri"/>
          <w:bCs/>
          <w:lang w:eastAsia="hr-HR"/>
        </w:rPr>
        <w:t>4</w:t>
      </w:r>
      <w:r>
        <w:rPr>
          <w:rFonts w:eastAsia="Times New Roman" w:cs="Calibri"/>
          <w:bCs/>
          <w:lang w:eastAsia="hr-HR"/>
        </w:rPr>
        <w:t>.</w:t>
      </w:r>
      <w:r w:rsidRPr="00191F9C">
        <w:rPr>
          <w:rFonts w:eastAsia="Times New Roman" w:cs="Calibri"/>
          <w:bCs/>
          <w:lang w:eastAsia="hr-HR"/>
        </w:rPr>
        <w:t xml:space="preserve"> </w:t>
      </w:r>
    </w:p>
    <w:p w14:paraId="283BDE1E" w14:textId="7BCAE215" w:rsidR="00072476" w:rsidRPr="00191F9C" w:rsidRDefault="00072476" w:rsidP="00072476">
      <w:pPr>
        <w:spacing w:after="200" w:line="240" w:lineRule="auto"/>
        <w:contextualSpacing/>
        <w:jc w:val="both"/>
        <w:rPr>
          <w:rFonts w:cs="Calibri"/>
          <w:bCs/>
          <w:lang w:eastAsia="x-none"/>
        </w:rPr>
      </w:pPr>
      <w:r w:rsidRPr="00191F9C">
        <w:rPr>
          <w:rFonts w:cs="Calibri"/>
          <w:bCs/>
          <w:lang w:eastAsia="x-none"/>
        </w:rPr>
        <w:t xml:space="preserve">Porezni prihodi (porez i prirez na dohodak) su najvažniji pojedinačni izvor prihoda s udjelom </w:t>
      </w:r>
      <w:r>
        <w:rPr>
          <w:rFonts w:cs="Calibri"/>
          <w:bCs/>
          <w:lang w:eastAsia="x-none"/>
        </w:rPr>
        <w:t xml:space="preserve"> 4</w:t>
      </w:r>
      <w:r w:rsidR="009529E5">
        <w:rPr>
          <w:rFonts w:cs="Calibri"/>
          <w:bCs/>
          <w:lang w:eastAsia="x-none"/>
        </w:rPr>
        <w:t>2</w:t>
      </w:r>
      <w:r>
        <w:rPr>
          <w:rFonts w:cs="Calibri"/>
          <w:bCs/>
          <w:lang w:eastAsia="x-none"/>
        </w:rPr>
        <w:t>%</w:t>
      </w:r>
      <w:r w:rsidRPr="00191F9C">
        <w:rPr>
          <w:rFonts w:cs="Calibri"/>
          <w:bCs/>
          <w:lang w:eastAsia="x-none"/>
        </w:rPr>
        <w:t xml:space="preserve">; slijede ih prihodi od pomoći i donacija s udjelom od </w:t>
      </w:r>
      <w:r>
        <w:rPr>
          <w:rFonts w:cs="Calibri"/>
          <w:bCs/>
          <w:lang w:eastAsia="x-none"/>
        </w:rPr>
        <w:t xml:space="preserve"> 2</w:t>
      </w:r>
      <w:r w:rsidR="009529E5">
        <w:rPr>
          <w:rFonts w:cs="Calibri"/>
          <w:bCs/>
          <w:lang w:eastAsia="x-none"/>
        </w:rPr>
        <w:t>6</w:t>
      </w:r>
      <w:r w:rsidRPr="00191F9C">
        <w:rPr>
          <w:rFonts w:cs="Calibri"/>
          <w:bCs/>
          <w:lang w:eastAsia="x-none"/>
        </w:rPr>
        <w:t xml:space="preserve">% , prihodi od pristojbi i naknada </w:t>
      </w:r>
      <w:r>
        <w:rPr>
          <w:rFonts w:cs="Calibri"/>
          <w:bCs/>
          <w:lang w:eastAsia="x-none"/>
        </w:rPr>
        <w:t xml:space="preserve"> 11</w:t>
      </w:r>
      <w:r w:rsidRPr="00191F9C">
        <w:rPr>
          <w:rFonts w:cs="Calibri"/>
          <w:bCs/>
          <w:lang w:eastAsia="x-none"/>
        </w:rPr>
        <w:t>%, uglavnom komunalni doprinosi i naknade</w:t>
      </w:r>
      <w:r>
        <w:rPr>
          <w:rFonts w:cs="Calibri"/>
          <w:bCs/>
          <w:lang w:eastAsia="x-none"/>
        </w:rPr>
        <w:t>,</w:t>
      </w:r>
      <w:r w:rsidRPr="00191F9C">
        <w:rPr>
          <w:rFonts w:cs="Calibri"/>
          <w:bCs/>
          <w:lang w:eastAsia="x-none"/>
        </w:rPr>
        <w:t xml:space="preserve"> te prihodi od HZZO-a sa 10% udjela.</w:t>
      </w:r>
      <w:r w:rsidRPr="00191F9C">
        <w:rPr>
          <w:rFonts w:cs="Calibri"/>
          <w:lang w:eastAsia="x-none"/>
        </w:rPr>
        <w:t xml:space="preserve"> </w:t>
      </w:r>
      <w:r w:rsidRPr="00191F9C">
        <w:rPr>
          <w:rFonts w:cs="Calibri"/>
          <w:bCs/>
          <w:lang w:eastAsia="x-none"/>
        </w:rPr>
        <w:t>Prihodi od pristojbi i naknada  koriste se isključivo za zakonom propisane namjene.</w:t>
      </w:r>
    </w:p>
    <w:p w14:paraId="1BC4FF6A" w14:textId="620C338A" w:rsidR="00072476" w:rsidRPr="00191F9C" w:rsidRDefault="00072476" w:rsidP="00072476">
      <w:pPr>
        <w:spacing w:after="200" w:line="240" w:lineRule="auto"/>
        <w:contextualSpacing/>
        <w:jc w:val="both"/>
        <w:rPr>
          <w:rFonts w:cs="Calibri"/>
          <w:bCs/>
          <w:lang w:eastAsia="x-none"/>
        </w:rPr>
      </w:pPr>
      <w:r w:rsidRPr="00191F9C">
        <w:rPr>
          <w:rFonts w:cs="Calibri"/>
          <w:bCs/>
          <w:lang w:eastAsia="x-none"/>
        </w:rPr>
        <w:t xml:space="preserve">Prihodi od imovine - oko </w:t>
      </w:r>
      <w:r>
        <w:rPr>
          <w:rFonts w:cs="Calibri"/>
          <w:bCs/>
          <w:lang w:eastAsia="x-none"/>
        </w:rPr>
        <w:t xml:space="preserve">  3 </w:t>
      </w:r>
      <w:r w:rsidRPr="00191F9C">
        <w:rPr>
          <w:rFonts w:cs="Calibri"/>
          <w:bCs/>
          <w:lang w:eastAsia="x-none"/>
        </w:rPr>
        <w:t>% ukupnih proračunskih prihoda potječu od korištenja imovine,</w:t>
      </w:r>
      <w:r w:rsidR="009529E5">
        <w:rPr>
          <w:rFonts w:cs="Calibri"/>
          <w:bCs/>
          <w:lang w:eastAsia="x-none"/>
        </w:rPr>
        <w:t xml:space="preserve"> dok  </w:t>
      </w:r>
      <w:r w:rsidR="009529E5" w:rsidRPr="009529E5">
        <w:rPr>
          <w:rFonts w:cs="Calibri"/>
          <w:bCs/>
          <w:lang w:eastAsia="x-none"/>
        </w:rPr>
        <w:t>2% ukupnih proračunskih</w:t>
      </w:r>
      <w:r w:rsidR="009529E5">
        <w:rPr>
          <w:rFonts w:cs="Calibri"/>
          <w:bCs/>
          <w:lang w:eastAsia="x-none"/>
        </w:rPr>
        <w:t xml:space="preserve"> prihoda</w:t>
      </w:r>
      <w:r w:rsidR="009529E5" w:rsidRPr="009529E5">
        <w:rPr>
          <w:rFonts w:cs="Calibri"/>
          <w:bCs/>
          <w:lang w:eastAsia="x-none"/>
        </w:rPr>
        <w:t xml:space="preserve"> </w:t>
      </w:r>
      <w:r w:rsidRPr="00191F9C">
        <w:rPr>
          <w:rFonts w:cs="Calibri"/>
          <w:bCs/>
          <w:lang w:eastAsia="x-none"/>
        </w:rPr>
        <w:t>potječe od</w:t>
      </w:r>
      <w:r w:rsidRPr="00191F9C">
        <w:rPr>
          <w:rFonts w:cs="Calibri"/>
          <w:lang w:eastAsia="x-none"/>
        </w:rPr>
        <w:t xml:space="preserve"> </w:t>
      </w:r>
      <w:r w:rsidRPr="00191F9C">
        <w:rPr>
          <w:rFonts w:cs="Calibri"/>
          <w:bCs/>
          <w:lang w:eastAsia="x-none"/>
        </w:rPr>
        <w:t xml:space="preserve">prihoda od prodaje </w:t>
      </w:r>
      <w:r w:rsidR="009529E5">
        <w:rPr>
          <w:rFonts w:cs="Calibri"/>
          <w:bCs/>
          <w:lang w:eastAsia="x-none"/>
        </w:rPr>
        <w:t xml:space="preserve">dugotrajne </w:t>
      </w:r>
      <w:r w:rsidRPr="00191F9C">
        <w:rPr>
          <w:rFonts w:cs="Calibri"/>
          <w:bCs/>
          <w:lang w:eastAsia="x-none"/>
        </w:rPr>
        <w:t>imovine. Ostali prihodi poslovanja uključuju razne pomoći, prihode od kazni i upravnih mjera i dr. Ukupni rashodi u</w:t>
      </w:r>
      <w:r>
        <w:rPr>
          <w:rFonts w:cs="Calibri"/>
          <w:bCs/>
          <w:lang w:eastAsia="x-none"/>
        </w:rPr>
        <w:t xml:space="preserve"> 202</w:t>
      </w:r>
      <w:r w:rsidR="009E562C">
        <w:rPr>
          <w:rFonts w:cs="Calibri"/>
          <w:bCs/>
          <w:lang w:eastAsia="x-none"/>
        </w:rPr>
        <w:t>2</w:t>
      </w:r>
      <w:r w:rsidRPr="00191F9C">
        <w:rPr>
          <w:rFonts w:cs="Calibri"/>
          <w:bCs/>
          <w:lang w:eastAsia="x-none"/>
        </w:rPr>
        <w:t xml:space="preserve">. planiraju se u iznosu  </w:t>
      </w:r>
      <w:r>
        <w:rPr>
          <w:rFonts w:cs="Calibri"/>
          <w:bCs/>
          <w:lang w:eastAsia="x-none"/>
        </w:rPr>
        <w:t xml:space="preserve"> </w:t>
      </w:r>
      <w:r w:rsidR="009E562C">
        <w:rPr>
          <w:rFonts w:cs="Calibri"/>
          <w:bCs/>
          <w:lang w:eastAsia="x-none"/>
        </w:rPr>
        <w:t xml:space="preserve">13.31 </w:t>
      </w:r>
      <w:r w:rsidRPr="00191F9C">
        <w:rPr>
          <w:rFonts w:cs="Calibri"/>
          <w:bCs/>
          <w:lang w:eastAsia="x-none"/>
        </w:rPr>
        <w:t xml:space="preserve">mlrd. kuna, od čega je </w:t>
      </w:r>
      <w:r>
        <w:rPr>
          <w:rFonts w:cs="Calibri"/>
          <w:bCs/>
          <w:lang w:eastAsia="x-none"/>
        </w:rPr>
        <w:t xml:space="preserve"> 3</w:t>
      </w:r>
      <w:r w:rsidR="009E562C">
        <w:rPr>
          <w:rFonts w:cs="Calibri"/>
          <w:bCs/>
          <w:lang w:eastAsia="x-none"/>
        </w:rPr>
        <w:t>9</w:t>
      </w:r>
      <w:r w:rsidRPr="00191F9C">
        <w:rPr>
          <w:rFonts w:cs="Calibri"/>
          <w:bCs/>
          <w:lang w:eastAsia="x-none"/>
        </w:rPr>
        <w:t xml:space="preserve">% iznosa planirano za rashode za zaposlene,   </w:t>
      </w:r>
      <w:r>
        <w:rPr>
          <w:rFonts w:cs="Calibri"/>
          <w:bCs/>
          <w:lang w:eastAsia="x-none"/>
        </w:rPr>
        <w:t xml:space="preserve"> 2</w:t>
      </w:r>
      <w:r w:rsidR="009E562C">
        <w:rPr>
          <w:rFonts w:cs="Calibri"/>
          <w:bCs/>
          <w:lang w:eastAsia="x-none"/>
        </w:rPr>
        <w:t>8</w:t>
      </w:r>
      <w:r w:rsidRPr="00191F9C">
        <w:rPr>
          <w:rFonts w:cs="Calibri"/>
          <w:bCs/>
          <w:lang w:eastAsia="x-none"/>
        </w:rPr>
        <w:t>% iznosa planirano za materijalne rashode, te  1</w:t>
      </w:r>
      <w:r w:rsidR="009E562C">
        <w:rPr>
          <w:rFonts w:cs="Calibri"/>
          <w:bCs/>
          <w:lang w:eastAsia="x-none"/>
        </w:rPr>
        <w:t>3</w:t>
      </w:r>
      <w:r w:rsidRPr="00191F9C">
        <w:rPr>
          <w:rFonts w:cs="Calibri"/>
          <w:bCs/>
          <w:lang w:eastAsia="x-none"/>
        </w:rPr>
        <w:t xml:space="preserve">% za nabavu dugotrajne imovine. Za nabavu dugotrajne imovine planira se utrošiti oko  </w:t>
      </w:r>
      <w:r>
        <w:rPr>
          <w:rFonts w:cs="Calibri"/>
          <w:bCs/>
          <w:lang w:eastAsia="x-none"/>
        </w:rPr>
        <w:t xml:space="preserve"> 1,</w:t>
      </w:r>
      <w:r w:rsidR="009E562C">
        <w:rPr>
          <w:rFonts w:cs="Calibri"/>
          <w:bCs/>
          <w:lang w:eastAsia="x-none"/>
        </w:rPr>
        <w:t>7</w:t>
      </w:r>
      <w:r>
        <w:rPr>
          <w:rFonts w:cs="Calibri"/>
          <w:bCs/>
          <w:lang w:eastAsia="x-none"/>
        </w:rPr>
        <w:t xml:space="preserve"> </w:t>
      </w:r>
      <w:r w:rsidRPr="00191F9C">
        <w:rPr>
          <w:rFonts w:cs="Calibri"/>
          <w:bCs/>
          <w:lang w:eastAsia="x-none"/>
        </w:rPr>
        <w:t>mlrd. kuna za ceste, komunalnu infrastrukturu, poslovne i ostale građevinske objekte te opremu u školstvu, zdravstvu, ustanovama socijalne skrbi i sl.</w:t>
      </w:r>
    </w:p>
    <w:p w14:paraId="6F87492A" w14:textId="393F67C0" w:rsidR="00072476" w:rsidRDefault="00072476" w:rsidP="00072476">
      <w:pPr>
        <w:spacing w:after="200" w:line="240" w:lineRule="auto"/>
        <w:jc w:val="both"/>
        <w:rPr>
          <w:rFonts w:cs="Calibri"/>
          <w:bCs/>
        </w:rPr>
      </w:pPr>
      <w:r>
        <w:rPr>
          <w:rFonts w:cs="Calibri"/>
          <w:bCs/>
          <w:lang w:eastAsia="x-none"/>
        </w:rPr>
        <w:t>Ukupni rashodi u 202</w:t>
      </w:r>
      <w:r w:rsidR="003F6982">
        <w:rPr>
          <w:rFonts w:cs="Calibri"/>
          <w:bCs/>
          <w:lang w:eastAsia="x-none"/>
        </w:rPr>
        <w:t>2</w:t>
      </w:r>
      <w:r>
        <w:rPr>
          <w:rFonts w:cs="Calibri"/>
          <w:bCs/>
          <w:lang w:eastAsia="x-none"/>
        </w:rPr>
        <w:t xml:space="preserve">. planirani su u iznosu od </w:t>
      </w:r>
      <w:r w:rsidR="003F6982">
        <w:rPr>
          <w:rFonts w:cs="Calibri"/>
          <w:bCs/>
          <w:lang w:eastAsia="x-none"/>
        </w:rPr>
        <w:t>13.31</w:t>
      </w:r>
      <w:r>
        <w:rPr>
          <w:rFonts w:cs="Calibri"/>
          <w:bCs/>
          <w:lang w:eastAsia="x-none"/>
        </w:rPr>
        <w:t xml:space="preserve">mlrd kn što je </w:t>
      </w:r>
      <w:r w:rsidR="003F6982">
        <w:rPr>
          <w:rFonts w:cs="Calibri"/>
          <w:bCs/>
          <w:lang w:eastAsia="x-none"/>
        </w:rPr>
        <w:t xml:space="preserve">193.5 </w:t>
      </w:r>
      <w:r>
        <w:rPr>
          <w:rFonts w:cs="Calibri"/>
          <w:bCs/>
          <w:lang w:eastAsia="x-none"/>
        </w:rPr>
        <w:t xml:space="preserve"> m</w:t>
      </w:r>
      <w:r w:rsidR="003F6982">
        <w:rPr>
          <w:rFonts w:cs="Calibri"/>
          <w:bCs/>
          <w:lang w:eastAsia="x-none"/>
        </w:rPr>
        <w:t>il</w:t>
      </w:r>
      <w:r>
        <w:rPr>
          <w:rFonts w:cs="Calibri"/>
          <w:bCs/>
          <w:lang w:eastAsia="x-none"/>
        </w:rPr>
        <w:t xml:space="preserve"> kn (1</w:t>
      </w:r>
      <w:r w:rsidR="003F6982">
        <w:rPr>
          <w:rFonts w:cs="Calibri"/>
          <w:bCs/>
          <w:lang w:eastAsia="x-none"/>
        </w:rPr>
        <w:t>,5</w:t>
      </w:r>
      <w:r>
        <w:rPr>
          <w:rFonts w:cs="Calibri"/>
          <w:bCs/>
          <w:lang w:eastAsia="x-none"/>
        </w:rPr>
        <w:t>%) više ukupnih rashoda u odnosu na 202</w:t>
      </w:r>
      <w:r w:rsidR="003F6982">
        <w:rPr>
          <w:rFonts w:cs="Calibri"/>
          <w:bCs/>
          <w:lang w:eastAsia="x-none"/>
        </w:rPr>
        <w:t>1</w:t>
      </w:r>
      <w:r>
        <w:rPr>
          <w:rFonts w:cs="Calibri"/>
          <w:bCs/>
          <w:lang w:eastAsia="x-none"/>
        </w:rPr>
        <w:t xml:space="preserve">. Najviše se povećavaju </w:t>
      </w:r>
      <w:r w:rsidR="003F6982" w:rsidRPr="003F6982">
        <w:rPr>
          <w:rFonts w:cs="Calibri"/>
          <w:bCs/>
          <w:lang w:eastAsia="x-none"/>
        </w:rPr>
        <w:t xml:space="preserve">rashodi za zaposlene (za 361 mil. kn ili 7,5 %) i to isključivo kod proračunskih korisnika kod kojih se sredstva za zaposlene gotovo u potpunosti osiguravaju u državnom proračunu ili preko HZZO-a, </w:t>
      </w:r>
      <w:r>
        <w:rPr>
          <w:rFonts w:cs="Calibri"/>
          <w:bCs/>
          <w:lang w:eastAsia="x-none"/>
        </w:rPr>
        <w:t xml:space="preserve">materijalni rashodi (za </w:t>
      </w:r>
      <w:r w:rsidR="003F6982">
        <w:rPr>
          <w:rFonts w:cs="Calibri"/>
          <w:bCs/>
          <w:lang w:eastAsia="x-none"/>
        </w:rPr>
        <w:t xml:space="preserve">143 </w:t>
      </w:r>
      <w:r>
        <w:rPr>
          <w:rFonts w:cs="Calibri"/>
          <w:bCs/>
          <w:lang w:eastAsia="x-none"/>
        </w:rPr>
        <w:t xml:space="preserve"> mil.kn ili </w:t>
      </w:r>
      <w:r w:rsidR="003F6982">
        <w:rPr>
          <w:rFonts w:cs="Calibri"/>
          <w:bCs/>
          <w:lang w:eastAsia="x-none"/>
        </w:rPr>
        <w:t xml:space="preserve">3,9 </w:t>
      </w:r>
      <w:r>
        <w:rPr>
          <w:rFonts w:cs="Calibri"/>
          <w:bCs/>
          <w:lang w:eastAsia="x-none"/>
        </w:rPr>
        <w:t>%)</w:t>
      </w:r>
      <w:r w:rsidR="003F6982">
        <w:rPr>
          <w:rFonts w:cs="Calibri"/>
          <w:bCs/>
          <w:lang w:eastAsia="x-none"/>
        </w:rPr>
        <w:t xml:space="preserve">, </w:t>
      </w:r>
      <w:r w:rsidR="003F6982" w:rsidRPr="003F6982">
        <w:rPr>
          <w:rFonts w:cs="Calibri"/>
          <w:bCs/>
          <w:lang w:eastAsia="x-none"/>
        </w:rPr>
        <w:t>subvencije (za 67 mil. kn ili 7,6 %) te pomoći (za 61 mil kn ili 31 %).</w:t>
      </w:r>
      <w:r>
        <w:rPr>
          <w:rFonts w:cs="Calibri"/>
          <w:bCs/>
          <w:lang w:eastAsia="x-none"/>
        </w:rPr>
        <w:t xml:space="preserve"> Za nabavu dugotrajne imovine planira se utrošiti 1,8 mlrd kn (što je  za 245,2 mil kn ili 16,3 % više nego u 2020.g.). Od toga najveći dio će se realizirati prema Programu radova kapitalnih ulaganja u objekte za društvene djelatnosti i sanaciju i građenje objekata oštećenih u potresu u Gradu zagrebu u 2021 i Programu radova na području prometa i komunalnog gospodarstva u Gradu Zagrebu u 2021.</w:t>
      </w:r>
      <w:r w:rsidRPr="00146181">
        <w:rPr>
          <w:rFonts w:ascii="Arial" w:eastAsia="Times New Roman" w:hAnsi="Arial"/>
          <w:b/>
          <w:sz w:val="20"/>
          <w:szCs w:val="20"/>
          <w:lang w:eastAsia="hr-HR"/>
        </w:rPr>
        <w:t xml:space="preserve"> </w:t>
      </w:r>
      <w:r w:rsidRPr="00EF6DEB">
        <w:rPr>
          <w:rFonts w:eastAsia="Times New Roman" w:cs="Calibri"/>
          <w:b/>
          <w:lang w:eastAsia="hr-HR"/>
        </w:rPr>
        <w:t>Subvencije</w:t>
      </w:r>
      <w:r w:rsidRPr="00EF6DEB">
        <w:rPr>
          <w:rFonts w:eastAsia="Times New Roman" w:cs="Calibri"/>
          <w:lang w:eastAsia="hr-HR"/>
        </w:rPr>
        <w:t xml:space="preserve"> su planirane u ukupnom iznosu od </w:t>
      </w:r>
      <w:r w:rsidR="00BF2AA6">
        <w:rPr>
          <w:rFonts w:eastAsia="Times New Roman" w:cs="Calibri"/>
          <w:lang w:eastAsia="hr-HR"/>
        </w:rPr>
        <w:t xml:space="preserve"> 958 mil.</w:t>
      </w:r>
      <w:r w:rsidRPr="00EF6DEB">
        <w:rPr>
          <w:rFonts w:eastAsia="Times New Roman" w:cs="Calibri"/>
          <w:lang w:eastAsia="hr-HR"/>
        </w:rPr>
        <w:t>kuna i u cijelosti se odnosi na sredstva financirana iz proračuna Grada. Obuhvaćaju subvencije trgovačkim društvima</w:t>
      </w:r>
      <w:r w:rsidR="00BF2AA6">
        <w:rPr>
          <w:rFonts w:eastAsia="Times New Roman" w:cs="Calibri"/>
          <w:lang w:eastAsia="hr-HR"/>
        </w:rPr>
        <w:t>,</w:t>
      </w:r>
      <w:r w:rsidR="00BF2AA6" w:rsidRPr="00BF2AA6">
        <w:t xml:space="preserve"> </w:t>
      </w:r>
      <w:r w:rsidR="00BF2AA6" w:rsidRPr="00BF2AA6">
        <w:rPr>
          <w:rFonts w:eastAsia="Times New Roman" w:cs="Calibri"/>
          <w:lang w:eastAsia="hr-HR"/>
        </w:rPr>
        <w:t>obrtnicima, poljoprivrednicima te malim i srednjim poduzetnicima</w:t>
      </w:r>
      <w:r w:rsidR="00BF2AA6">
        <w:rPr>
          <w:rFonts w:eastAsia="Times New Roman" w:cs="Calibri"/>
          <w:lang w:eastAsia="hr-HR"/>
        </w:rPr>
        <w:t>.</w:t>
      </w:r>
      <w:r w:rsidRPr="00EF6DEB">
        <w:rPr>
          <w:rFonts w:eastAsia="Times New Roman" w:cs="Calibri"/>
          <w:lang w:eastAsia="hr-HR"/>
        </w:rPr>
        <w:t xml:space="preserve"> Najveći se dio subvencija planira za javni gradski prijevoz ZET-a, </w:t>
      </w:r>
      <w:r w:rsidR="00BF2AA6" w:rsidRPr="00BF2AA6">
        <w:rPr>
          <w:rFonts w:eastAsia="Times New Roman" w:cs="Calibri"/>
          <w:lang w:eastAsia="hr-HR"/>
        </w:rPr>
        <w:t xml:space="preserve">zakupninu dvorane Arena, zapošljavanje osoba s invaliditetom, poticanje razvoja obrta, malog i srednjeg poduzetništva te Zagrebački inovacijski centar. </w:t>
      </w:r>
      <w:r w:rsidR="00BF2AA6" w:rsidRPr="00BF2AA6">
        <w:rPr>
          <w:rFonts w:cs="Calibri"/>
          <w:bCs/>
          <w:lang w:eastAsia="x-none"/>
        </w:rPr>
        <w:t xml:space="preserve">U Uputama za izradu proračuna jedinica lokalne i područne (regionalne) samouprave za razdoblje 2022.-2024. Ministarstvo financija propisuje potrebu uključivanja i sukcesivnog pokrića utvrđenog prenesenog manjka iz prethodnih godina u narednom razdoblju. </w:t>
      </w:r>
      <w:r>
        <w:rPr>
          <w:rFonts w:cs="Calibri"/>
          <w:bCs/>
          <w:lang w:eastAsia="x-none"/>
        </w:rPr>
        <w:t>Grad je 20</w:t>
      </w:r>
      <w:r w:rsidR="00BF2AA6">
        <w:rPr>
          <w:rFonts w:cs="Calibri"/>
          <w:bCs/>
          <w:lang w:eastAsia="x-none"/>
        </w:rPr>
        <w:t>20</w:t>
      </w:r>
      <w:r>
        <w:rPr>
          <w:rFonts w:cs="Calibri"/>
          <w:bCs/>
          <w:lang w:eastAsia="x-none"/>
        </w:rPr>
        <w:t xml:space="preserve">. ostvario </w:t>
      </w:r>
      <w:r w:rsidR="00BF2AA6">
        <w:rPr>
          <w:rFonts w:cs="Calibri"/>
          <w:bCs/>
          <w:lang w:eastAsia="x-none"/>
        </w:rPr>
        <w:t xml:space="preserve">ukupan </w:t>
      </w:r>
      <w:r>
        <w:rPr>
          <w:rFonts w:cs="Calibri"/>
          <w:bCs/>
          <w:lang w:eastAsia="x-none"/>
        </w:rPr>
        <w:t>proračunski manjak od 1.3</w:t>
      </w:r>
      <w:r w:rsidR="00BF2AA6">
        <w:rPr>
          <w:rFonts w:cs="Calibri"/>
          <w:bCs/>
          <w:lang w:eastAsia="x-none"/>
        </w:rPr>
        <w:t>86</w:t>
      </w:r>
      <w:r>
        <w:rPr>
          <w:rFonts w:cs="Calibri"/>
          <w:bCs/>
          <w:lang w:eastAsia="x-none"/>
        </w:rPr>
        <w:t xml:space="preserve"> mil. </w:t>
      </w:r>
      <w:r w:rsidR="00BF2AA6">
        <w:rPr>
          <w:rFonts w:cs="Calibri"/>
          <w:bCs/>
          <w:lang w:eastAsia="x-none"/>
        </w:rPr>
        <w:t>K</w:t>
      </w:r>
      <w:r>
        <w:rPr>
          <w:rFonts w:cs="Calibri"/>
          <w:bCs/>
          <w:lang w:eastAsia="x-none"/>
        </w:rPr>
        <w:t>n</w:t>
      </w:r>
      <w:r w:rsidR="00BF2AA6">
        <w:rPr>
          <w:rFonts w:cs="Calibri"/>
          <w:bCs/>
          <w:lang w:eastAsia="x-none"/>
        </w:rPr>
        <w:t xml:space="preserve"> </w:t>
      </w:r>
      <w:r>
        <w:rPr>
          <w:rFonts w:cs="Calibri"/>
          <w:bCs/>
          <w:lang w:eastAsia="x-none"/>
        </w:rPr>
        <w:t xml:space="preserve"> </w:t>
      </w:r>
      <w:r w:rsidR="00BF2AA6" w:rsidRPr="00BF2AA6">
        <w:rPr>
          <w:rFonts w:cs="Calibri"/>
          <w:bCs/>
          <w:lang w:eastAsia="x-none"/>
        </w:rPr>
        <w:t>(utvrđen u Godišnjem izvještaju o izvršenju gradskog proračuna za 2020.)</w:t>
      </w:r>
      <w:r w:rsidR="00BF2AA6">
        <w:rPr>
          <w:rFonts w:cs="Calibri"/>
          <w:bCs/>
          <w:lang w:eastAsia="x-none"/>
        </w:rPr>
        <w:t xml:space="preserve">.  </w:t>
      </w:r>
      <w:r w:rsidR="00BF2AA6" w:rsidRPr="00BF2AA6">
        <w:rPr>
          <w:rFonts w:cs="Calibri"/>
          <w:bCs/>
          <w:lang w:eastAsia="x-none"/>
        </w:rPr>
        <w:t xml:space="preserve">Odlukom o sukcesivnom pokriću manjka iz prethodnih godina (Službeni glasnik br. 34/20) propisan je način i dinamika pokrića manjka u razdoblju 2022. – 2025. iz prihoda poslovanja i prihoda od prodaje nefinancijske imovine. U planu za 2022. je uključeno pokriće od 321,9 mil. kn, a dodatno se projicira sukcesivno pokriće manjka od 317,7 mil. kn u 2023. i 416,5 mil. kn u 2024.g. </w:t>
      </w:r>
      <w:r w:rsidR="00BF2AA6">
        <w:rPr>
          <w:rFonts w:cs="Calibri"/>
          <w:bCs/>
          <w:lang w:eastAsia="x-none"/>
        </w:rPr>
        <w:t xml:space="preserve">Dodatno se predlaže </w:t>
      </w:r>
      <w:r>
        <w:rPr>
          <w:rFonts w:cs="Calibri"/>
          <w:bCs/>
          <w:lang w:eastAsia="x-none"/>
        </w:rPr>
        <w:t xml:space="preserve">skucesivno pokriće preostalog iznosa iz prihoda poslovanja od prodaje nefinancijske imovine i to u iznosima 300 mil. Kn u 2022. i 2023, te ostatak u periodu od 2024-2025.g. </w:t>
      </w:r>
      <w:r w:rsidRPr="00191F9C">
        <w:rPr>
          <w:rFonts w:cs="Calibri"/>
          <w:bCs/>
          <w:lang w:eastAsia="x-none"/>
        </w:rPr>
        <w:t xml:space="preserve">Uz direktan dug Grad je potencijalno (kroz dana jamstva i garancije) izložen i indirektnom dugu od  </w:t>
      </w:r>
      <w:r>
        <w:rPr>
          <w:rFonts w:cs="Calibri"/>
          <w:bCs/>
          <w:lang w:eastAsia="x-none"/>
        </w:rPr>
        <w:t xml:space="preserve"> </w:t>
      </w:r>
      <w:r w:rsidR="00BF2AA6">
        <w:rPr>
          <w:rFonts w:cs="Calibri"/>
          <w:bCs/>
          <w:lang w:eastAsia="x-none"/>
        </w:rPr>
        <w:t xml:space="preserve">3,14 </w:t>
      </w:r>
      <w:r w:rsidRPr="00191F9C">
        <w:rPr>
          <w:rFonts w:cs="Calibri"/>
          <w:bCs/>
          <w:lang w:eastAsia="x-none"/>
        </w:rPr>
        <w:t xml:space="preserve"> mlrd. </w:t>
      </w:r>
      <w:r w:rsidR="00BF2AA6" w:rsidRPr="00191F9C">
        <w:rPr>
          <w:rFonts w:cs="Calibri"/>
          <w:bCs/>
          <w:lang w:eastAsia="x-none"/>
        </w:rPr>
        <w:t>K</w:t>
      </w:r>
      <w:r w:rsidRPr="00191F9C">
        <w:rPr>
          <w:rFonts w:cs="Calibri"/>
          <w:bCs/>
          <w:lang w:eastAsia="x-none"/>
        </w:rPr>
        <w:t>una</w:t>
      </w:r>
      <w:r w:rsidR="00BF2AA6">
        <w:rPr>
          <w:rFonts w:cs="Calibri"/>
          <w:bCs/>
          <w:lang w:eastAsia="x-none"/>
        </w:rPr>
        <w:t xml:space="preserve"> </w:t>
      </w:r>
      <w:r w:rsidR="00BF2AA6" w:rsidRPr="00BF2AA6">
        <w:rPr>
          <w:rFonts w:cs="Calibri"/>
          <w:bCs/>
          <w:lang w:eastAsia="x-none"/>
        </w:rPr>
        <w:t>(22,5 % ukupnih prihoda i primitaka planiranih u 2021.)</w:t>
      </w:r>
      <w:r w:rsidRPr="00191F9C">
        <w:rPr>
          <w:rFonts w:cs="Calibri"/>
          <w:bCs/>
          <w:lang w:eastAsia="x-none"/>
        </w:rPr>
        <w:t>, od čega se najveći dio ( 2,3 mlrd. kuna) odnosi na jamstvo za obveznice Zagrebačkog holdinga d.o.o.</w:t>
      </w:r>
      <w:r>
        <w:rPr>
          <w:rFonts w:cs="Calibri"/>
          <w:bCs/>
          <w:lang w:eastAsia="x-none"/>
        </w:rPr>
        <w:t xml:space="preserve"> </w:t>
      </w:r>
      <w:r w:rsidRPr="00191F9C">
        <w:rPr>
          <w:rFonts w:cs="Calibri"/>
          <w:bCs/>
          <w:lang w:eastAsia="x-none"/>
        </w:rPr>
        <w:t xml:space="preserve">izdane za refinanciranje duga iz 2007.  za što je Grad dobio suglasnost </w:t>
      </w:r>
      <w:r>
        <w:rPr>
          <w:rFonts w:cs="Calibri"/>
          <w:bCs/>
          <w:lang w:eastAsia="x-none"/>
        </w:rPr>
        <w:t>M</w:t>
      </w:r>
      <w:r w:rsidRPr="00191F9C">
        <w:rPr>
          <w:rFonts w:cs="Calibri"/>
          <w:bCs/>
          <w:lang w:eastAsia="x-none"/>
        </w:rPr>
        <w:t>inistar</w:t>
      </w:r>
      <w:r>
        <w:rPr>
          <w:rFonts w:cs="Calibri"/>
          <w:bCs/>
          <w:lang w:eastAsia="x-none"/>
        </w:rPr>
        <w:t>stva</w:t>
      </w:r>
      <w:r w:rsidRPr="00191F9C">
        <w:rPr>
          <w:rFonts w:cs="Calibri"/>
          <w:bCs/>
          <w:lang w:eastAsia="x-none"/>
        </w:rPr>
        <w:t xml:space="preserve"> financija</w:t>
      </w:r>
      <w:r w:rsidRPr="00191F9C">
        <w:rPr>
          <w:rFonts w:cs="Calibri"/>
          <w:bCs/>
        </w:rPr>
        <w:t>.</w:t>
      </w:r>
    </w:p>
    <w:p w14:paraId="340ED149" w14:textId="77777777" w:rsidR="00072476" w:rsidRDefault="00072476" w:rsidP="00072476">
      <w:pPr>
        <w:spacing w:after="200" w:line="240" w:lineRule="auto"/>
        <w:jc w:val="both"/>
        <w:rPr>
          <w:rFonts w:cs="Calibri"/>
          <w:bCs/>
        </w:rPr>
      </w:pPr>
      <w:r>
        <w:rPr>
          <w:rFonts w:cs="Calibri"/>
          <w:bCs/>
        </w:rPr>
        <w:t xml:space="preserve">Grad Zagreb suočava se s ekonomskim posljedicama globalne zdravstvene krize uzrokovane pandemijom koronavirusa koja je pogodila čitavo svjetsko gospodarstvo. Razmjeri i vremensko trajanje ekonomskih poremećaja još uvijek su vrlo neizvjesni, a smanjena gospodarska aktivnost predstavlja velike izazove za fiskalnu politiku. </w:t>
      </w:r>
    </w:p>
    <w:p w14:paraId="377FAF44" w14:textId="77777777" w:rsidR="00072476" w:rsidRPr="00564CF4" w:rsidRDefault="00072476" w:rsidP="00072476">
      <w:pPr>
        <w:spacing w:after="200" w:line="240" w:lineRule="auto"/>
        <w:jc w:val="both"/>
        <w:rPr>
          <w:rFonts w:cs="Calibri"/>
        </w:rPr>
      </w:pPr>
      <w:r>
        <w:rPr>
          <w:rFonts w:cs="Calibri"/>
          <w:bCs/>
        </w:rPr>
        <w:t xml:space="preserve">Potres koji je pogodio Zagreb i okolicu 22. ožujka 2020. g. uzrokovao je velika infrastrukturna oštećenja i dodatan pritisak na funkcioniranje javnih službi. </w:t>
      </w:r>
      <w:r w:rsidRPr="0063199D">
        <w:rPr>
          <w:rFonts w:cs="Calibri"/>
        </w:rPr>
        <w:t xml:space="preserve">U širem epicentralnom području potres je izazvao velike materijalne štete na građevinama. Ukupno je oštećeno oko 26 000 zgrada u Gradu Zagrebu, Krapinsko-zagorskoj županiji i Zagrebačkoj županiji, od čega u Gradu Zagrebu njih 24.897. </w:t>
      </w:r>
      <w:r w:rsidRPr="00EB7E96">
        <w:rPr>
          <w:rFonts w:cs="Calibri"/>
        </w:rPr>
        <w:t>Ukupni troškovi potresa procijenjeni su na 11.3 milijardi EUR, od čega je 10.66 milijardi EUR predstavlja vrijednost uništene fizičke imovine, a 640 milijuna EUR na gubitke. Vezano za zemljopisnu raspodjelu štete i gubitaka, najviše je pogođen Grad Zagreb s 10.9 milijardi EUR - ili 96,8 posto ukupne štete i gubitaka.</w:t>
      </w:r>
    </w:p>
    <w:p w14:paraId="3873A410" w14:textId="77777777" w:rsidR="00072476" w:rsidRPr="00F04CE4" w:rsidRDefault="00072476" w:rsidP="00072476">
      <w:pPr>
        <w:spacing w:after="0" w:line="240" w:lineRule="auto"/>
        <w:jc w:val="both"/>
        <w:rPr>
          <w:rFonts w:cs="Calibri"/>
        </w:rPr>
      </w:pPr>
      <w:r w:rsidRPr="0063199D">
        <w:rPr>
          <w:rFonts w:cs="Calibri"/>
        </w:rPr>
        <w:t>Procjene štete i gubitaka grupirane su u pet glavnih sektora: stanovanje, zdravstvo, obrazovanje, kultura i kulturna baština i poslovanje.</w:t>
      </w:r>
      <w:r w:rsidRPr="00EB7E96">
        <w:rPr>
          <w:rFonts w:cs="Calibri"/>
        </w:rPr>
        <w:t xml:space="preserve"> Troškovi oporavka najveći su u stambenom sektoru i na njih otpada više od polovice potrebe (52%), a slijede sektor kulture i kulturne baštine, zdravstveni sektor i obrazovanje.</w:t>
      </w:r>
      <w:r w:rsidRPr="00F04CE4">
        <w:rPr>
          <w:rFonts w:cs="Calibri"/>
        </w:rPr>
        <w:t xml:space="preserve"> Zgrade klasificirane kao kulturna baština bile su prisutne u svih pet sektora, a njihov postotak u svakom sektoru bio je značajan.</w:t>
      </w:r>
      <w:r>
        <w:rPr>
          <w:rFonts w:cs="Calibri"/>
        </w:rPr>
        <w:t xml:space="preserve"> Za obnovu potresom nastale velike materijalne štete, biti će potrebna dodatna financijska sredstva uz sredstva dobivena iz Fonda solidarnosti Europske unije.</w:t>
      </w:r>
    </w:p>
    <w:p w14:paraId="4769C3EB" w14:textId="77777777" w:rsidR="00072476" w:rsidRPr="00F04CE4" w:rsidRDefault="00072476" w:rsidP="00072476">
      <w:pPr>
        <w:spacing w:after="0"/>
        <w:jc w:val="both"/>
        <w:rPr>
          <w:rFonts w:cs="Calibri"/>
        </w:rPr>
      </w:pPr>
    </w:p>
    <w:tbl>
      <w:tblPr>
        <w:tblW w:w="5000" w:type="pct"/>
        <w:shd w:val="clear" w:color="auto" w:fill="CCCCCC"/>
        <w:tblLook w:val="01E0" w:firstRow="1" w:lastRow="1" w:firstColumn="1" w:lastColumn="1" w:noHBand="0" w:noVBand="0"/>
      </w:tblPr>
      <w:tblGrid>
        <w:gridCol w:w="4536"/>
        <w:gridCol w:w="4536"/>
      </w:tblGrid>
      <w:tr w:rsidR="00072476" w:rsidRPr="00191F9C" w14:paraId="7AA40B47" w14:textId="77777777" w:rsidTr="00072476">
        <w:tc>
          <w:tcPr>
            <w:tcW w:w="2500" w:type="pct"/>
            <w:shd w:val="clear" w:color="auto" w:fill="CCCCCC"/>
          </w:tcPr>
          <w:p w14:paraId="3F8DDA80"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RAZVOJNI PROBLEMI</w:t>
            </w:r>
          </w:p>
        </w:tc>
        <w:tc>
          <w:tcPr>
            <w:tcW w:w="2500" w:type="pct"/>
            <w:shd w:val="clear" w:color="auto" w:fill="99CCFF"/>
          </w:tcPr>
          <w:p w14:paraId="400428F5"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0ADAD721" w14:textId="77777777" w:rsidTr="00072476">
        <w:tc>
          <w:tcPr>
            <w:tcW w:w="2500" w:type="pct"/>
            <w:shd w:val="clear" w:color="auto" w:fill="CCCCCC"/>
          </w:tcPr>
          <w:p w14:paraId="02519F8D"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Deficit gradskog proračuna</w:t>
            </w:r>
          </w:p>
          <w:p w14:paraId="1062A856"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Slabi udio prihoda od imovine</w:t>
            </w:r>
          </w:p>
          <w:p w14:paraId="33E0A2FE"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Visoki udio rashoda za subvencije trgovačkim društvima</w:t>
            </w:r>
          </w:p>
          <w:p w14:paraId="4BD9BA26" w14:textId="77777777" w:rsidR="0007247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Visoki iznos izdanih jamstava Zagrebačkom holdingu d.o.o., te smanjena sposobnost Zagrebačkog holdinga d.o.o. da samostalno vraća dugove</w:t>
            </w:r>
          </w:p>
          <w:p w14:paraId="7AC70F67"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F6DEB">
              <w:rPr>
                <w:rFonts w:eastAsia="Times New Roman" w:cs="Calibri"/>
                <w:sz w:val="18"/>
                <w:szCs w:val="18"/>
                <w:lang w:eastAsia="hr-HR"/>
              </w:rPr>
              <w:t>potrebna dodatna financijska sredstva za obnovu oštećenih zgrada, infrastrukture i opreme</w:t>
            </w:r>
          </w:p>
          <w:p w14:paraId="41A6ED2F" w14:textId="77777777" w:rsidR="00072476" w:rsidRPr="00191F9C" w:rsidRDefault="00072476" w:rsidP="00072476">
            <w:pPr>
              <w:spacing w:before="60" w:after="60" w:line="240" w:lineRule="auto"/>
              <w:ind w:left="284" w:right="-2"/>
              <w:rPr>
                <w:rFonts w:eastAsia="Times New Roman" w:cs="Calibri"/>
                <w:sz w:val="18"/>
                <w:szCs w:val="18"/>
                <w:lang w:eastAsia="hr-HR"/>
              </w:rPr>
            </w:pPr>
          </w:p>
        </w:tc>
        <w:tc>
          <w:tcPr>
            <w:tcW w:w="2500" w:type="pct"/>
            <w:shd w:val="clear" w:color="auto" w:fill="99CCFF"/>
          </w:tcPr>
          <w:p w14:paraId="3BE60D33"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Smanjiti deficit gradskog proračuna</w:t>
            </w:r>
          </w:p>
          <w:p w14:paraId="0395314D"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Povećati prihode od gradske imovine</w:t>
            </w:r>
          </w:p>
          <w:p w14:paraId="0D910D4D"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Smanjivati rashode za subvencije trgovačkim društvima</w:t>
            </w:r>
          </w:p>
          <w:p w14:paraId="10B7EA8A"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Poboljšati naplatu potraživanja</w:t>
            </w:r>
          </w:p>
          <w:p w14:paraId="7AAD6002"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Zadržati što veću razinu investicija za gradnju potrebnih građevinskih objekata i druge vrste rashoda povezane s razvojnim projektima</w:t>
            </w:r>
          </w:p>
          <w:p w14:paraId="7CACC3A7" w14:textId="6018615B"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Smanjiti razinu financijske izloženosti prema Zagrebačkom holdingu d.o.o., odnosno smanjiti rizike za eventualno dodatno financijsko opterećenje Grada zbog smanjene mogućnosti Zagrebačkog holdinga d.o.o. da vraća dospjela zaduženja</w:t>
            </w:r>
            <w:r>
              <w:rPr>
                <w:rFonts w:eastAsia="Times New Roman" w:cs="Calibri"/>
                <w:sz w:val="18"/>
                <w:szCs w:val="18"/>
                <w:lang w:eastAsia="hr-HR"/>
              </w:rPr>
              <w:t>Znatnije korištenje sredstava iz Eu fondova</w:t>
            </w:r>
          </w:p>
        </w:tc>
      </w:tr>
    </w:tbl>
    <w:p w14:paraId="087BD167" w14:textId="4E5746C2" w:rsidR="00072476" w:rsidRPr="00191F9C" w:rsidRDefault="00072476" w:rsidP="00B8319D">
      <w:pPr>
        <w:pStyle w:val="Stil2"/>
      </w:pPr>
      <w:r w:rsidRPr="00191F9C">
        <w:br/>
      </w:r>
      <w:bookmarkStart w:id="157" w:name="_Toc97123864"/>
      <w:r w:rsidRPr="00191F9C">
        <w:t>6.4. REGIONALNA I MEĐUNARODNA SURADNJA</w:t>
      </w:r>
      <w:bookmarkEnd w:id="157"/>
      <w:r w:rsidRPr="00191F9C">
        <w:t xml:space="preserve"> </w:t>
      </w:r>
    </w:p>
    <w:p w14:paraId="111D09AE" w14:textId="771AFD73" w:rsidR="00072476" w:rsidRPr="00B8319D" w:rsidRDefault="00072476" w:rsidP="00B8319D">
      <w:pPr>
        <w:pStyle w:val="Stil2"/>
      </w:pPr>
      <w:bookmarkStart w:id="158" w:name="_Toc97123865"/>
      <w:r w:rsidRPr="00B8319D">
        <w:t>6.4.1. Regionalna suradnja i koordinacija</w:t>
      </w:r>
      <w:bookmarkEnd w:id="158"/>
    </w:p>
    <w:p w14:paraId="22090099"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Grad Zagreb graniči sa Zagrebačkom i Krapinsko-zagorskom županijom, s kojima je funkcionalno povezan. U Zagrebačku se županiju u novije vrijeme svake godine iz Zagreba slijeva desetak tisuća novih stanovnika. Za njih, kao i za druge stanovnike Zagrebačke županije, Zagreb predstavlja realnu mogućnost zapošljavanja. Osim radnog mjesta, građani Zagrebačke županije u Zagrebu ostvaruju velik dio svojih socijalnih, zdravstvenih i obrazovnih potreba.</w:t>
      </w:r>
    </w:p>
    <w:p w14:paraId="4E68C3C0"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Blizina, funkcionalna povezanost i mnogobrojni zajednički problemi naglašavaju, u prvom redu, nužnost suradnje na cjelokupnom „zagrebačkom prostoru“ u svim segmentima razvoja.</w:t>
      </w:r>
    </w:p>
    <w:p w14:paraId="242A723F"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Kao najznačajnije teme i projekti od interesa za obje županije istaknute su:</w:t>
      </w:r>
    </w:p>
    <w:p w14:paraId="0B6D9808" w14:textId="77777777" w:rsidR="00072476" w:rsidRPr="00191F9C" w:rsidRDefault="00072476" w:rsidP="00165C16">
      <w:pPr>
        <w:numPr>
          <w:ilvl w:val="0"/>
          <w:numId w:val="28"/>
        </w:num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suradnja u planiranju prostora, </w:t>
      </w:r>
    </w:p>
    <w:p w14:paraId="066E26C7" w14:textId="77777777" w:rsidR="00072476" w:rsidRPr="00191F9C" w:rsidRDefault="00072476" w:rsidP="00165C16">
      <w:pPr>
        <w:numPr>
          <w:ilvl w:val="0"/>
          <w:numId w:val="28"/>
        </w:num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suradnja u planiranju poduzetničke i gospodarske infrastrukture, </w:t>
      </w:r>
    </w:p>
    <w:p w14:paraId="4AD258CA" w14:textId="77777777" w:rsidR="00072476" w:rsidRPr="00191F9C" w:rsidRDefault="00072476" w:rsidP="00165C16">
      <w:pPr>
        <w:numPr>
          <w:ilvl w:val="0"/>
          <w:numId w:val="28"/>
        </w:num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 xml:space="preserve">suradnja u razvoju integriranog prometnog sustava i sustava vodoopskrbe, </w:t>
      </w:r>
    </w:p>
    <w:p w14:paraId="02A51594" w14:textId="77777777" w:rsidR="00072476" w:rsidRPr="00191F9C" w:rsidRDefault="00072476" w:rsidP="00165C16">
      <w:pPr>
        <w:numPr>
          <w:ilvl w:val="0"/>
          <w:numId w:val="28"/>
        </w:num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projekt Zračne luke Zagreb i njenog spoja, odnosno spoja grada Velike Gorice, tračničkom vezom sa Zagrebom,</w:t>
      </w:r>
    </w:p>
    <w:p w14:paraId="12397A3A" w14:textId="77777777" w:rsidR="00072476" w:rsidRPr="00191F9C" w:rsidRDefault="00072476" w:rsidP="00165C16">
      <w:pPr>
        <w:numPr>
          <w:ilvl w:val="0"/>
          <w:numId w:val="28"/>
        </w:num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suradnja u svim budućim projektima vezanim uz uređivanje rijeke Save.</w:t>
      </w:r>
    </w:p>
    <w:p w14:paraId="4212C409"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Sporazum o integriranom prijevozu putnika i tarifno prijevozničkoj uniji između Grada Zagreba, Zagrebačke i Krapinsko-zagorske županije potpisan je 04. lipnja 2012.</w:t>
      </w:r>
      <w:r w:rsidRPr="00191F9C">
        <w:rPr>
          <w:rFonts w:ascii="Futura Hv AT" w:eastAsia="Times New Roman" w:hAnsi="Futura Hv AT" w:cs="Times New Roman"/>
          <w:b/>
          <w:bCs/>
          <w:sz w:val="28"/>
          <w:szCs w:val="28"/>
          <w:lang w:eastAsia="hr-HR"/>
        </w:rPr>
        <w:t xml:space="preserve"> </w:t>
      </w:r>
      <w:r>
        <w:rPr>
          <w:rFonts w:eastAsia="Times New Roman" w:cs="Calibri"/>
          <w:bCs/>
          <w:lang w:eastAsia="hr-HR"/>
        </w:rPr>
        <w:t xml:space="preserve">a </w:t>
      </w:r>
      <w:r w:rsidRPr="00191F9C">
        <w:rPr>
          <w:rFonts w:eastAsia="Times New Roman" w:cs="Calibri"/>
          <w:bCs/>
          <w:lang w:eastAsia="hr-HR"/>
        </w:rPr>
        <w:t xml:space="preserve">2014. godine osnovano </w:t>
      </w:r>
      <w:r>
        <w:rPr>
          <w:rFonts w:eastAsia="Times New Roman" w:cs="Calibri"/>
          <w:bCs/>
          <w:lang w:eastAsia="hr-HR"/>
        </w:rPr>
        <w:t xml:space="preserve">je </w:t>
      </w:r>
      <w:r w:rsidRPr="00191F9C">
        <w:rPr>
          <w:rFonts w:eastAsia="Times New Roman" w:cs="Calibri"/>
          <w:bCs/>
          <w:lang w:eastAsia="hr-HR"/>
        </w:rPr>
        <w:t>društvo Integrirani promet zagrebačkog područja d.o.o. Osnivači su Grad Zagreb sa udjelom od 60%, Zagrebačka županija s udjelom od 25% i Krapinsko-zagorska županija sa udjelom od 15%.</w:t>
      </w:r>
      <w:r w:rsidRPr="00191F9C">
        <w:rPr>
          <w:rFonts w:ascii="Futura Hv AT" w:eastAsia="Times New Roman" w:hAnsi="Futura Hv AT" w:cs="Times New Roman"/>
          <w:b/>
          <w:bCs/>
          <w:sz w:val="28"/>
          <w:szCs w:val="28"/>
          <w:lang w:eastAsia="hr-HR"/>
        </w:rPr>
        <w:t xml:space="preserve"> </w:t>
      </w:r>
      <w:r w:rsidRPr="00191F9C">
        <w:rPr>
          <w:rFonts w:eastAsia="Times New Roman" w:cs="Calibri"/>
          <w:bCs/>
          <w:lang w:eastAsia="hr-HR"/>
        </w:rPr>
        <w:t>Cilj osnivanja Društva je priprema i realizacija projekata vezanih uz uspostavljanje novog modela organizacije javnog prijevoza putnika i upravljanje istim na geografskom području osnivača.</w:t>
      </w:r>
      <w:r>
        <w:rPr>
          <w:rFonts w:eastAsia="Times New Roman" w:cs="Calibri"/>
          <w:bCs/>
          <w:lang w:eastAsia="hr-HR"/>
        </w:rPr>
        <w:t xml:space="preserve"> </w:t>
      </w:r>
      <w:r w:rsidRPr="00191F9C">
        <w:rPr>
          <w:rFonts w:eastAsia="Times New Roman" w:cs="Calibri"/>
          <w:bCs/>
          <w:lang w:eastAsia="hr-HR"/>
        </w:rPr>
        <w:t>Trenutno je u tijeku pripremna faza koja se odnosi na izradu potrebne projektno studij</w:t>
      </w:r>
      <w:r>
        <w:rPr>
          <w:rFonts w:eastAsia="Times New Roman" w:cs="Calibri"/>
          <w:bCs/>
          <w:lang w:eastAsia="hr-HR"/>
        </w:rPr>
        <w:t>s</w:t>
      </w:r>
      <w:r w:rsidRPr="00191F9C">
        <w:rPr>
          <w:rFonts w:eastAsia="Times New Roman" w:cs="Calibri"/>
          <w:bCs/>
          <w:lang w:eastAsia="hr-HR"/>
        </w:rPr>
        <w:t>ke dokumentacije koja će biti temelj za impleme</w:t>
      </w:r>
      <w:r>
        <w:rPr>
          <w:rFonts w:eastAsia="Times New Roman" w:cs="Calibri"/>
          <w:bCs/>
          <w:lang w:eastAsia="hr-HR"/>
        </w:rPr>
        <w:t>n</w:t>
      </w:r>
      <w:r w:rsidRPr="00191F9C">
        <w:rPr>
          <w:rFonts w:eastAsia="Times New Roman" w:cs="Calibri"/>
          <w:bCs/>
          <w:lang w:eastAsia="hr-HR"/>
        </w:rPr>
        <w:t>taciju sus</w:t>
      </w:r>
      <w:r>
        <w:rPr>
          <w:rFonts w:eastAsia="Times New Roman" w:cs="Calibri"/>
          <w:bCs/>
          <w:lang w:eastAsia="hr-HR"/>
        </w:rPr>
        <w:t>tava</w:t>
      </w:r>
      <w:r w:rsidRPr="00191F9C">
        <w:rPr>
          <w:rFonts w:eastAsia="Times New Roman" w:cs="Calibri"/>
          <w:bCs/>
          <w:lang w:eastAsia="hr-HR"/>
        </w:rPr>
        <w:t xml:space="preserve"> IPP-a.</w:t>
      </w:r>
    </w:p>
    <w:p w14:paraId="64F76A41" w14:textId="77777777" w:rsidR="00072476" w:rsidRDefault="00072476" w:rsidP="00072476">
      <w:pPr>
        <w:tabs>
          <w:tab w:val="left" w:pos="-720"/>
        </w:tabs>
        <w:suppressAutoHyphens/>
        <w:spacing w:after="0" w:line="240" w:lineRule="auto"/>
        <w:ind w:right="-2"/>
        <w:jc w:val="both"/>
        <w:rPr>
          <w:rFonts w:eastAsia="Times New Roman" w:cs="Calibri"/>
          <w:bCs/>
          <w:lang w:eastAsia="hr-HR"/>
        </w:rPr>
      </w:pPr>
    </w:p>
    <w:p w14:paraId="02B4296B"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
          <w:bCs/>
          <w:lang w:eastAsia="hr-HR"/>
        </w:rPr>
        <w:t xml:space="preserve">Suradnja u okviru Hrvatske zajednice županija. </w:t>
      </w:r>
      <w:r w:rsidRPr="00191F9C">
        <w:rPr>
          <w:rFonts w:eastAsia="Times New Roman" w:cs="Calibri"/>
          <w:bCs/>
          <w:lang w:eastAsia="hr-HR"/>
        </w:rPr>
        <w:t>Grad Zagreb kao glavni grad Republike Hrvatske, uz status jedinice lokalne samouprave, ujedno ima i status jedinice područne (regionalne) samouprave. Upravo zbog tog razloga pridružio se, 2015. godine, ostalim jedinicama područne (regionalne) samouprave – županijama u Hrvatsku zajednicu županija. U svrhu razmjene informacija i poduzimanja zajedničkih koraka prema tijelima državne uprave sve članice Hrvatske zajednice županija svoje djelovanje usmjeruju prema promicanju ustroja regionalne samouprave te poticanju i potpori ravnomjernog gospodarskog i društvenog razvitka svih županija.</w:t>
      </w:r>
    </w:p>
    <w:p w14:paraId="54A58D44"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p>
    <w:p w14:paraId="072F900D" w14:textId="1275B69A" w:rsidR="00EE62C7" w:rsidRDefault="00072476" w:rsidP="00072476">
      <w:pPr>
        <w:tabs>
          <w:tab w:val="left" w:pos="-720"/>
        </w:tabs>
        <w:suppressAutoHyphens/>
        <w:spacing w:after="0" w:line="240" w:lineRule="auto"/>
        <w:ind w:right="-2"/>
        <w:jc w:val="both"/>
        <w:rPr>
          <w:rFonts w:eastAsia="Times New Roman" w:cs="Calibri"/>
          <w:lang w:eastAsia="hr-HR"/>
        </w:rPr>
      </w:pPr>
      <w:r w:rsidRPr="00191F9C">
        <w:rPr>
          <w:rFonts w:eastAsia="Times New Roman" w:cs="Calibri"/>
          <w:b/>
          <w:bCs/>
          <w:lang w:eastAsia="hr-HR"/>
        </w:rPr>
        <w:t xml:space="preserve">Suradnja u okviru Urbane aglomeracije Zagreb. </w:t>
      </w:r>
    </w:p>
    <w:p w14:paraId="26B54192" w14:textId="77777777" w:rsidR="00EE62C7" w:rsidRPr="00EE62C7" w:rsidRDefault="00EE62C7" w:rsidP="00EE62C7">
      <w:pPr>
        <w:tabs>
          <w:tab w:val="left" w:pos="-720"/>
        </w:tabs>
        <w:suppressAutoHyphens/>
        <w:spacing w:after="0" w:line="240" w:lineRule="auto"/>
        <w:ind w:right="-2"/>
        <w:jc w:val="both"/>
        <w:rPr>
          <w:rFonts w:eastAsia="Times New Roman" w:cs="Calibri"/>
          <w:lang w:eastAsia="hr-HR"/>
        </w:rPr>
      </w:pPr>
      <w:r w:rsidRPr="00EE62C7">
        <w:rPr>
          <w:rFonts w:eastAsia="Times New Roman" w:cs="Calibri"/>
          <w:lang w:eastAsia="hr-HR"/>
        </w:rPr>
        <w:t xml:space="preserve">U svrhu planiranja i usklađivanja održivog urbanog razvoja, sukladno Zakonu o regionalnom razvoju Republike Hrvatske (NN 147/14, 123/17 i 118/18), Ministarstvo regionalnoga razvoja i fondova Europske unije Republike Hrvatske donijelo je 8. ožujka 2016. Odluku o ustrojavanju Urbane aglomeracije Zagreb, sa sjedištem u Gradu Zagrebu. Urbana aglomeracija Zagreb, uz Grad Zagreb obuhvaća 29 jedinica lokalne samouprave (JLS), od toga 10 gradova i 19 općina, iz Zagrebačke županije i Krapinsko zagorske županije. Razvojna strategija Urbane aglomeracije Zagreb za razdoblje do 2020. godine donesena je 21. prosinca 2017. godine (SGGZ 24/17), nakon čega je započela provedba strateškog dokumenta. Grad Zagreb, kao nositelj izrade strategije, koordinirao je aktivnosti i dionike, osiguravao uključivanje i suradnju svih relevantnih dionika razvoja s područja aglomeracije, učinkovitu komunikaciju te efikasnu i pravovremenu razmjenu informacija radi praćenja provedbe ali i procesa izrade novog akta strateškog planiranja. </w:t>
      </w:r>
    </w:p>
    <w:p w14:paraId="23CE7CAE" w14:textId="783EFD15" w:rsidR="00EE62C7" w:rsidRDefault="00EE62C7" w:rsidP="00EE62C7">
      <w:pPr>
        <w:tabs>
          <w:tab w:val="left" w:pos="-720"/>
        </w:tabs>
        <w:suppressAutoHyphens/>
        <w:spacing w:after="0" w:line="240" w:lineRule="auto"/>
        <w:ind w:right="-2"/>
        <w:jc w:val="both"/>
        <w:rPr>
          <w:rFonts w:eastAsia="Times New Roman" w:cs="Calibri"/>
          <w:lang w:eastAsia="hr-HR"/>
        </w:rPr>
      </w:pPr>
      <w:r w:rsidRPr="00EE62C7">
        <w:rPr>
          <w:rFonts w:eastAsia="Times New Roman" w:cs="Calibri"/>
          <w:lang w:eastAsia="hr-HR"/>
        </w:rPr>
        <w:t>Gradska skupština Grada Zagreba usvojila je na 7. sjednici, održanoj 27. siječnja 2022. godine, Zaključak o pokretanju postupka izrade Strategije razvoja Urbane aglomeracije Zagreb za razdoblje do kraja 2027. (SGGZ 3/22). Obuhvat Urbane aglomeracije Zagreb ostao je nepromijenjen.  Za izradu Strategije razvoja Urbane aglomeracije Zagreb i koordinaciju aktivnosti u postupku izrade zadužen je Gradski ured za gospodarstvo, ekološku održivost i strategijsko planiranje, u suradnji sa jedinicama lokalne samouprave u sastavu Urbane aglomeracije Zagreb i drugim dionicima razvoja.</w:t>
      </w:r>
    </w:p>
    <w:p w14:paraId="23467E37" w14:textId="59808696" w:rsidR="008713C1" w:rsidRDefault="008713C1" w:rsidP="00EE62C7">
      <w:pPr>
        <w:tabs>
          <w:tab w:val="left" w:pos="-720"/>
        </w:tabs>
        <w:suppressAutoHyphens/>
        <w:spacing w:after="0" w:line="240" w:lineRule="auto"/>
        <w:ind w:right="-2"/>
        <w:jc w:val="both"/>
        <w:rPr>
          <w:rFonts w:eastAsia="Times New Roman" w:cs="Calibri"/>
          <w:lang w:eastAsia="hr-HR"/>
        </w:rPr>
      </w:pPr>
      <w:r w:rsidRPr="008713C1">
        <w:rPr>
          <w:rFonts w:eastAsia="Times New Roman" w:cs="Calibri"/>
          <w:lang w:eastAsia="hr-HR"/>
        </w:rPr>
        <w:t>Urbana aglomeracija Zagreb  (UAZ) najveća je aglomeracija u Republici Hrvatskoj i jedina koja obuhvaća područje triju županija.  Formiranje UAZ rezultiralo je, između ostalog, i uspostavljanjem novih partnerstava u pripremi i provedbi programa i projekata. Radi daljnjeg planiranja razvoja šireg zagrebačkog prostora potrebno je i dalje jačati suradnju u okviru UAZ, jer ovo područje obzirom na obuhvat i kapacitete može apsorbirati značajan iznos EU sredstava.</w:t>
      </w:r>
    </w:p>
    <w:p w14:paraId="40AF2D0F" w14:textId="77777777" w:rsidR="00072476" w:rsidRPr="00D27B1F" w:rsidRDefault="00072476" w:rsidP="00072476">
      <w:pPr>
        <w:tabs>
          <w:tab w:val="left" w:pos="-720"/>
        </w:tabs>
        <w:suppressAutoHyphens/>
        <w:spacing w:after="0" w:line="240" w:lineRule="auto"/>
        <w:ind w:right="-2"/>
        <w:jc w:val="both"/>
        <w:rPr>
          <w:rFonts w:eastAsia="Times New Roman" w:cs="Calibri"/>
          <w:lang w:eastAsia="hr-HR"/>
        </w:rPr>
      </w:pPr>
    </w:p>
    <w:p w14:paraId="1B606C4C" w14:textId="77777777" w:rsidR="00072476" w:rsidRPr="00EF6DEB" w:rsidRDefault="00072476" w:rsidP="00072476">
      <w:pPr>
        <w:tabs>
          <w:tab w:val="left" w:pos="-720"/>
        </w:tabs>
        <w:suppressAutoHyphens/>
        <w:spacing w:after="0" w:line="240" w:lineRule="auto"/>
        <w:ind w:right="-2"/>
        <w:jc w:val="both"/>
        <w:rPr>
          <w:rFonts w:eastAsia="Times New Roman" w:cs="Calibri"/>
          <w:b/>
          <w:bCs/>
          <w:lang w:eastAsia="hr-HR"/>
        </w:rPr>
      </w:pPr>
      <w:r w:rsidRPr="00A5601E">
        <w:rPr>
          <w:rFonts w:eastAsia="Times New Roman" w:cs="Calibri"/>
          <w:b/>
          <w:bCs/>
          <w:lang w:eastAsia="hr-HR"/>
        </w:rPr>
        <w:t xml:space="preserve">Suradnja na području poljoprivredne proizvodnje i plasmana proizvoda. </w:t>
      </w:r>
      <w:r w:rsidRPr="00A5601E">
        <w:rPr>
          <w:rFonts w:eastAsia="Times New Roman" w:cs="Calibri"/>
          <w:lang w:eastAsia="hr-HR"/>
        </w:rPr>
        <w:t>Gradski ured za poljoprivredu i šumarstvo surađuje s</w:t>
      </w:r>
      <w:r>
        <w:rPr>
          <w:rFonts w:eastAsia="Times New Roman" w:cs="Calibri"/>
          <w:lang w:eastAsia="hr-HR"/>
        </w:rPr>
        <w:t>a</w:t>
      </w:r>
      <w:r w:rsidRPr="00A5601E">
        <w:rPr>
          <w:rFonts w:eastAsia="Times New Roman" w:cs="Calibri"/>
          <w:lang w:eastAsia="hr-HR"/>
        </w:rPr>
        <w:t xml:space="preserve"> susjednim županijama na zajedničkim projektima koje se odnose na različite promotivno-prodajne manifestacije poljoprivrednih proizvoda, stvaranja robnih marki odnosno zaštite poljoprivrednih proizvoda</w:t>
      </w:r>
      <w:r>
        <w:rPr>
          <w:rFonts w:eastAsia="Times New Roman" w:cs="Calibri"/>
          <w:lang w:eastAsia="hr-HR"/>
        </w:rPr>
        <w:t>.</w:t>
      </w:r>
      <w:r w:rsidRPr="00A5601E">
        <w:rPr>
          <w:rFonts w:eastAsia="Times New Roman" w:cs="Calibri"/>
          <w:lang w:eastAsia="hr-HR"/>
        </w:rPr>
        <w:t xml:space="preserve"> Suradnja je najintenzivnija sa Zagrebačkom županijom u kojoj Grad Zagreb putem svojim mjera potpore ulaže u poljoprivredna gospodarstva sa sjedištem u Zagrebu koja proizvodnju ili preradu obavljaju na administrativnom području Zagrebačke županije. Suradnja s drugim županijama u sjeverozapadnoj regiji odnosi se i na razmjenu informacija i poduzimanje zajedničkih koraka prema tijelima državne uprave.</w:t>
      </w:r>
    </w:p>
    <w:p w14:paraId="5D275CE6"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p>
    <w:p w14:paraId="4A23D3B9" w14:textId="01028782" w:rsidR="00072476" w:rsidRPr="00191F9C" w:rsidRDefault="00072476" w:rsidP="00072476">
      <w:pPr>
        <w:spacing w:after="200" w:line="240" w:lineRule="auto"/>
        <w:jc w:val="both"/>
        <w:rPr>
          <w:rFonts w:cs="Calibri"/>
          <w:bCs/>
        </w:rPr>
      </w:pPr>
      <w:r w:rsidRPr="00191F9C">
        <w:rPr>
          <w:rFonts w:cs="Calibri"/>
          <w:b/>
          <w:bCs/>
        </w:rPr>
        <w:t>Regionalna koordinacija Sjeverozapadne/ Kontinentalne Hrvatske</w:t>
      </w:r>
      <w:r>
        <w:rPr>
          <w:rFonts w:cs="Calibri"/>
          <w:bCs/>
        </w:rPr>
        <w:t xml:space="preserve">. </w:t>
      </w:r>
      <w:r w:rsidRPr="00191F9C">
        <w:rPr>
          <w:rFonts w:cs="Calibri"/>
          <w:bCs/>
        </w:rPr>
        <w:t xml:space="preserve">Razvojna agencija Zagreb, kao imenovani regionalni koordinator i poticatelj regionalnog razvoja za Grad Zagreb, razvija suradnju s regionalnim koordinatorima putem Koordinacije regionalnih koordinatora Sjeverozapadne Hrvatske. Međužupanijsko tijelo sjeverozapadnog dijela NUTS II regije Kontinentalna Hrvatska sastavljeno je od predstavnika razvojnih agencija te županija. U sastavu Koordinacije su Međimurska, Krapinsko-zagorska, Koprivničko-križevačka, Zagrebačka, Varaždinska i Karlovačka županija te Grad Zagreb. Teme od zajedničkog interesa regionalnih koordinatora su: </w:t>
      </w:r>
      <w:r>
        <w:rPr>
          <w:rFonts w:cs="Calibri"/>
          <w:bCs/>
        </w:rPr>
        <w:t>priprema, provedba i praćenje provedbe akata strateškog planiranja, priprema i provedba projekata, osobito onih sufinanciranih iz EU fondova, praćenje i primjena regulative iz područja strateškog planiranja i upravljanja razvojem i regionalnog razvoja, sudjelovanje u provedbi programa nadležnog Minist</w:t>
      </w:r>
      <w:r w:rsidR="008713C1">
        <w:rPr>
          <w:rFonts w:cs="Calibri"/>
          <w:bCs/>
        </w:rPr>
        <w:t>a</w:t>
      </w:r>
      <w:r>
        <w:rPr>
          <w:rFonts w:cs="Calibri"/>
          <w:bCs/>
        </w:rPr>
        <w:t xml:space="preserve">rstva regionalnog razvoja i fondova EU i drugo. </w:t>
      </w:r>
    </w:p>
    <w:tbl>
      <w:tblPr>
        <w:tblW w:w="5000" w:type="pct"/>
        <w:shd w:val="clear" w:color="auto" w:fill="CCCCCC"/>
        <w:tblLook w:val="01E0" w:firstRow="1" w:lastRow="1" w:firstColumn="1" w:lastColumn="1" w:noHBand="0" w:noVBand="0"/>
      </w:tblPr>
      <w:tblGrid>
        <w:gridCol w:w="4536"/>
        <w:gridCol w:w="4536"/>
      </w:tblGrid>
      <w:tr w:rsidR="00072476" w:rsidRPr="00191F9C" w14:paraId="61EB32FF" w14:textId="77777777" w:rsidTr="00072476">
        <w:tc>
          <w:tcPr>
            <w:tcW w:w="2500" w:type="pct"/>
            <w:shd w:val="clear" w:color="auto" w:fill="D9D9D9"/>
          </w:tcPr>
          <w:p w14:paraId="5B7E36D3"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RAZVOJNI PROBLEMI</w:t>
            </w:r>
          </w:p>
        </w:tc>
        <w:tc>
          <w:tcPr>
            <w:tcW w:w="2500" w:type="pct"/>
            <w:shd w:val="clear" w:color="auto" w:fill="99CCFF"/>
          </w:tcPr>
          <w:p w14:paraId="140A1598"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53D5F071" w14:textId="77777777" w:rsidTr="00072476">
        <w:tc>
          <w:tcPr>
            <w:tcW w:w="2500" w:type="pct"/>
            <w:shd w:val="clear" w:color="auto" w:fill="D9D9D9"/>
          </w:tcPr>
          <w:p w14:paraId="1710451E" w14:textId="77777777" w:rsidR="00072476" w:rsidRPr="00191F9C" w:rsidRDefault="00072476" w:rsidP="00165C16">
            <w:pPr>
              <w:numPr>
                <w:ilvl w:val="0"/>
                <w:numId w:val="28"/>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 postoji trajna koordinacija međužupanijske suradnje (izuzetak je koordinacija regionalnih koordinatora Sjeverozapadne Hrvatske) niti sustavni plan rada na razini upravnih tijela</w:t>
            </w:r>
          </w:p>
          <w:p w14:paraId="663859A0" w14:textId="77777777" w:rsidR="00072476" w:rsidRDefault="00072476" w:rsidP="00165C16">
            <w:pPr>
              <w:numPr>
                <w:ilvl w:val="0"/>
                <w:numId w:val="28"/>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Nedostatak protoka informacija među upravnim tijelima vezano uz suradnju s drugim županijama te nepostojanje baza podataka o programima i suradnji s drugim županijama</w:t>
            </w:r>
          </w:p>
          <w:p w14:paraId="1AD34524" w14:textId="77777777" w:rsidR="00072476" w:rsidRPr="00191F9C" w:rsidRDefault="00072476" w:rsidP="00165C16">
            <w:pPr>
              <w:numPr>
                <w:ilvl w:val="0"/>
                <w:numId w:val="28"/>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Izazovi u praćenju provedbe SRUAZ (prikupljanje podataka, raspoloživost podataka, definiranje pokazatelja)</w:t>
            </w:r>
          </w:p>
          <w:p w14:paraId="36102CC7" w14:textId="77777777" w:rsidR="00072476" w:rsidRDefault="00072476" w:rsidP="00165C16">
            <w:pPr>
              <w:numPr>
                <w:ilvl w:val="0"/>
                <w:numId w:val="28"/>
              </w:numPr>
              <w:tabs>
                <w:tab w:val="num" w:pos="284"/>
              </w:tabs>
              <w:spacing w:before="60" w:after="60" w:line="240" w:lineRule="auto"/>
              <w:ind w:left="284" w:right="-2" w:hanging="284"/>
              <w:rPr>
                <w:rFonts w:eastAsia="Times New Roman" w:cs="Calibri"/>
                <w:sz w:val="18"/>
                <w:szCs w:val="18"/>
                <w:lang w:eastAsia="hr-HR"/>
              </w:rPr>
            </w:pPr>
            <w:r w:rsidRPr="008E67C4">
              <w:rPr>
                <w:rFonts w:eastAsia="Times New Roman" w:cs="Calibri"/>
                <w:sz w:val="18"/>
                <w:szCs w:val="18"/>
                <w:lang w:eastAsia="hr-HR"/>
              </w:rPr>
              <w:t xml:space="preserve">usklađivanje strateškog akta Urbane aglomeracije Zagreb </w:t>
            </w:r>
            <w:r>
              <w:rPr>
                <w:rFonts w:eastAsia="Times New Roman" w:cs="Calibri"/>
                <w:sz w:val="18"/>
                <w:szCs w:val="18"/>
                <w:lang w:eastAsia="hr-HR"/>
              </w:rPr>
              <w:t xml:space="preserve">sa </w:t>
            </w:r>
            <w:r w:rsidRPr="008E67C4">
              <w:rPr>
                <w:rFonts w:eastAsia="Times New Roman" w:cs="Calibri"/>
                <w:sz w:val="18"/>
                <w:szCs w:val="18"/>
                <w:lang w:eastAsia="hr-HR"/>
              </w:rPr>
              <w:t>razvojni</w:t>
            </w:r>
            <w:r>
              <w:rPr>
                <w:rFonts w:eastAsia="Times New Roman" w:cs="Calibri"/>
                <w:sz w:val="18"/>
                <w:szCs w:val="18"/>
                <w:lang w:eastAsia="hr-HR"/>
              </w:rPr>
              <w:t>m</w:t>
            </w:r>
            <w:r w:rsidRPr="008E67C4">
              <w:rPr>
                <w:rFonts w:eastAsia="Times New Roman" w:cs="Calibri"/>
                <w:sz w:val="18"/>
                <w:szCs w:val="18"/>
                <w:lang w:eastAsia="hr-HR"/>
              </w:rPr>
              <w:t xml:space="preserve"> planov</w:t>
            </w:r>
            <w:r>
              <w:rPr>
                <w:rFonts w:eastAsia="Times New Roman" w:cs="Calibri"/>
                <w:sz w:val="18"/>
                <w:szCs w:val="18"/>
                <w:lang w:eastAsia="hr-HR"/>
              </w:rPr>
              <w:t>im</w:t>
            </w:r>
            <w:r w:rsidRPr="008E67C4">
              <w:rPr>
                <w:rFonts w:eastAsia="Times New Roman" w:cs="Calibri"/>
                <w:sz w:val="18"/>
                <w:szCs w:val="18"/>
                <w:lang w:eastAsia="hr-HR"/>
              </w:rPr>
              <w:t xml:space="preserve">a </w:t>
            </w:r>
            <w:r>
              <w:rPr>
                <w:rFonts w:eastAsia="Times New Roman" w:cs="Calibri"/>
                <w:sz w:val="18"/>
                <w:szCs w:val="18"/>
                <w:lang w:eastAsia="hr-HR"/>
              </w:rPr>
              <w:t xml:space="preserve">županija </w:t>
            </w:r>
          </w:p>
          <w:p w14:paraId="259298B3" w14:textId="77777777" w:rsidR="00072476" w:rsidRPr="008E67C4" w:rsidRDefault="00072476" w:rsidP="00165C16">
            <w:pPr>
              <w:numPr>
                <w:ilvl w:val="0"/>
                <w:numId w:val="28"/>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koordiniranje i usklađivanje velikog broja jedinica lokalne samouprave u obuhvatu UAZ</w:t>
            </w:r>
          </w:p>
          <w:p w14:paraId="03F8CCAB" w14:textId="77777777" w:rsidR="00072476" w:rsidRPr="00191F9C" w:rsidRDefault="00072476" w:rsidP="00072476">
            <w:pPr>
              <w:spacing w:before="60" w:after="60" w:line="240" w:lineRule="auto"/>
              <w:ind w:left="360" w:right="-2"/>
              <w:rPr>
                <w:rFonts w:eastAsia="Times New Roman" w:cs="Calibri"/>
                <w:sz w:val="18"/>
                <w:szCs w:val="18"/>
                <w:lang w:eastAsia="hr-HR"/>
              </w:rPr>
            </w:pPr>
          </w:p>
        </w:tc>
        <w:tc>
          <w:tcPr>
            <w:tcW w:w="2500" w:type="pct"/>
            <w:shd w:val="clear" w:color="auto" w:fill="99CCFF"/>
          </w:tcPr>
          <w:p w14:paraId="7AD07417"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Jačati suradnju nositelja razvoja o međuovisnosti Grada Zagreba i županija s kojima graniči</w:t>
            </w:r>
          </w:p>
          <w:p w14:paraId="2A028A7F"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Jačati međužupanijsku suradnju na zajedničkoj pripremi i provedbi projekata, na razini partnerskih vijeća, upravnoj i operativnoj razini</w:t>
            </w:r>
          </w:p>
          <w:p w14:paraId="3E87F298"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Izraditi prioritete suradnje ZŽ i GZ i model zajedničkog upravljanja cjelokupnim „zagrebačkim prostorom“</w:t>
            </w:r>
          </w:p>
          <w:p w14:paraId="00727D80"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provoditi učinkovitu suradnju Grada Zagreba i susjednih županija na pripremi i realizaciji konkretnih razvojnih projekata, inicijativa i aktivnosti koje se odnose na razvojne prioritete (suradnja u planiranju i programiranju)</w:t>
            </w:r>
          </w:p>
          <w:p w14:paraId="43454787"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zajedničko planiranje regionalnog razvoja kroz izradu Strategije razvoja Urbane aglomeracije Zagreb</w:t>
            </w:r>
            <w:r>
              <w:rPr>
                <w:rFonts w:eastAsia="Times New Roman" w:cs="Calibri"/>
                <w:sz w:val="18"/>
                <w:szCs w:val="18"/>
                <w:lang w:eastAsia="hr-HR"/>
              </w:rPr>
              <w:t xml:space="preserve"> (novi akt strateškog planiranja urbane aglomeracije)</w:t>
            </w:r>
          </w:p>
        </w:tc>
      </w:tr>
    </w:tbl>
    <w:p w14:paraId="517601A8" w14:textId="6E821F09" w:rsidR="00072476" w:rsidRPr="00191F9C" w:rsidRDefault="00072476" w:rsidP="00B8319D">
      <w:pPr>
        <w:pStyle w:val="Stil2"/>
      </w:pPr>
      <w:r w:rsidRPr="00191F9C">
        <w:br/>
      </w:r>
      <w:bookmarkStart w:id="159" w:name="_Toc97123866"/>
      <w:r w:rsidRPr="00191F9C">
        <w:t>6.4.</w:t>
      </w:r>
      <w:r>
        <w:t>2</w:t>
      </w:r>
      <w:r w:rsidRPr="00191F9C">
        <w:t>. Međunarodna suradnja</w:t>
      </w:r>
      <w:bookmarkEnd w:id="159"/>
    </w:p>
    <w:p w14:paraId="372A655F" w14:textId="00B3A74A"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Grad Zagreb surađuje s nizom inozemnih gradova i udruga te značajnim međunarodnim institucijama. Ured za međugradsku i međunarodnu suradnju i promicanje ljudskih prava</w:t>
      </w:r>
      <w:r w:rsidR="00692DC3">
        <w:rPr>
          <w:rFonts w:eastAsia="Times New Roman" w:cs="Calibri"/>
          <w:bCs/>
          <w:lang w:eastAsia="hr-HR"/>
        </w:rPr>
        <w:t xml:space="preserve"> </w:t>
      </w:r>
      <w:r w:rsidR="00692DC3" w:rsidRPr="00692DC3">
        <w:rPr>
          <w:rFonts w:eastAsia="Times New Roman" w:cs="Calibri"/>
          <w:bCs/>
          <w:lang w:eastAsia="hr-HR"/>
        </w:rPr>
        <w:t xml:space="preserve">(od 1.1.2022. Gradski ured za kulturu, međugradsku i međunarodnu suradnju i civilno društvo) </w:t>
      </w:r>
      <w:r w:rsidRPr="00191F9C">
        <w:rPr>
          <w:rFonts w:eastAsia="Times New Roman" w:cs="Calibri"/>
          <w:bCs/>
          <w:lang w:eastAsia="hr-HR"/>
        </w:rPr>
        <w:t xml:space="preserve"> djeluje kao koordinacijsko tijelo za međugradsku i međunarodnu suradnju Grada Zagreba. Također, međunarodnu suradnju ostvaruju i ostala gradska tijela u okviru svojih nadležnosti, te kroz provođenje projekata sufinanciranih sredstvima EU.  </w:t>
      </w:r>
    </w:p>
    <w:p w14:paraId="707FB118" w14:textId="77777777"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t>Nadalje, koordinacija Ureda odnosi se i na predstavljanje Grada u međunarodnim institucijama i organizacijama, suradnje sa stranim diplomatskim misijama u zemlji i s hrvatskim diplomatskim misijama u inozemstvu, uspostavljanje i održavanje suradnje s Hrvatima izvan Republike Hrvatske, hrvatskim iseljenicima i s njihovim udrugama, te u razvojnoj suradnji i humanitarnoj pomoći inozemstvu. Na nivou Europske unije značajna je suradnja s ostalim glavnim gradovima Europske unije kroz mehanizam suradnje putem sastanaka gradonačelnika glavnih gradova Europske unije i Europske komisije, a koji se u pravilu održavaju na godišnjoj razini. Potiču se novi i obnavljaju već uspostavljeni kontakti s gradovima prijateljima, a suradnja se širi i na gradove s kojima dosad nije bilo kontakata.</w:t>
      </w:r>
      <w:r w:rsidRPr="00191F9C">
        <w:rPr>
          <w:rFonts w:eastAsia="Times New Roman" w:cs="Calibri"/>
          <w:b/>
          <w:bCs/>
          <w:color w:val="666666"/>
          <w:sz w:val="20"/>
          <w:szCs w:val="20"/>
          <w:shd w:val="clear" w:color="auto" w:fill="FFFFFF"/>
          <w:lang w:eastAsia="hr-HR"/>
        </w:rPr>
        <w:t xml:space="preserve"> </w:t>
      </w:r>
      <w:r w:rsidRPr="00191F9C">
        <w:rPr>
          <w:rFonts w:eastAsia="Times New Roman" w:cs="Calibri"/>
          <w:lang w:eastAsia="hr-HR"/>
        </w:rPr>
        <w:t>U ostvarivanju suradnje posebna pozornost posvećuje se razmjeni iskustava u organizaciji i upravljanju gradom, razvoju gradskih tehnologija, održivoj mobilnosti, zaštiti okoliša, izgradnji informatičke infrastrukture, poticanju gospodarske i kulturne suradnje, korištenju razvojne i istraživačke pomoći iz fondova i programa Europske Unije, razvijanju suradnje i koordiniranju međunarodnih aktivnosti s državnim institucijama Republike Hrvatske radi bolje promocije Grada Zagreba i Republike Hrvatske.</w:t>
      </w:r>
      <w:r w:rsidRPr="00191F9C">
        <w:rPr>
          <w:rFonts w:eastAsia="Times New Roman" w:cs="Calibri"/>
          <w:bCs/>
          <w:lang w:eastAsia="hr-HR"/>
        </w:rPr>
        <w:t xml:space="preserve"> </w:t>
      </w:r>
    </w:p>
    <w:p w14:paraId="6DB9DFC6" w14:textId="77777777" w:rsidR="00072476" w:rsidRPr="00191F9C" w:rsidRDefault="00072476" w:rsidP="00072476">
      <w:pPr>
        <w:tabs>
          <w:tab w:val="left" w:pos="-720"/>
        </w:tabs>
        <w:suppressAutoHyphens/>
        <w:spacing w:after="0" w:line="240" w:lineRule="auto"/>
        <w:ind w:right="-2"/>
        <w:rPr>
          <w:rFonts w:eastAsia="Times New Roman" w:cs="Calibri"/>
          <w:lang w:eastAsia="hr-HR"/>
        </w:rPr>
      </w:pPr>
    </w:p>
    <w:p w14:paraId="0ECAAB17" w14:textId="20D8441B" w:rsidR="00072476" w:rsidRDefault="00072476" w:rsidP="00072476">
      <w:pPr>
        <w:tabs>
          <w:tab w:val="left" w:pos="-720"/>
        </w:tabs>
        <w:suppressAutoHyphens/>
        <w:spacing w:after="0" w:line="240" w:lineRule="auto"/>
        <w:ind w:right="-2"/>
        <w:jc w:val="both"/>
        <w:rPr>
          <w:rFonts w:eastAsia="Times New Roman" w:cs="Calibri"/>
          <w:lang w:eastAsia="hr-HR"/>
        </w:rPr>
      </w:pPr>
      <w:r w:rsidRPr="00191F9C">
        <w:rPr>
          <w:rFonts w:eastAsia="Times New Roman" w:cs="Calibri"/>
          <w:lang w:eastAsia="hr-HR"/>
        </w:rPr>
        <w:t xml:space="preserve">Grad Zagreb je član mnogih međunarodnih organizacija i mreža kao što su Skupština europskih regija (Assembly of European Regions- AER), Eurocities, Local Governments for Sustainability - ICLEI, Metropolis, Convenant of Mayors, Energy Cities, </w:t>
      </w:r>
      <w:smartTag w:uri="urn:schemas-microsoft-com:office:smarttags" w:element="stockticker">
        <w:r w:rsidRPr="00191F9C">
          <w:rPr>
            <w:rFonts w:eastAsia="Times New Roman" w:cs="Calibri"/>
            <w:lang w:eastAsia="hr-HR"/>
          </w:rPr>
          <w:t>ACR</w:t>
        </w:r>
      </w:smartTag>
      <w:r w:rsidRPr="00191F9C">
        <w:rPr>
          <w:rFonts w:eastAsia="Times New Roman" w:cs="Calibri"/>
          <w:lang w:eastAsia="hr-HR"/>
        </w:rPr>
        <w:t>+, Međunarodne asocijacije gradova nosilaca poruke mira, Unija povijesnih gradova, Forum za urbanu sigurnost, CIVINET Slovenija - Hrvatska, Major Cities of Europe i druge.</w:t>
      </w:r>
    </w:p>
    <w:p w14:paraId="6B6CAF90" w14:textId="77777777" w:rsidR="00B8319D" w:rsidRPr="00191F9C" w:rsidRDefault="00B8319D" w:rsidP="00072476">
      <w:pPr>
        <w:tabs>
          <w:tab w:val="left" w:pos="-720"/>
        </w:tabs>
        <w:suppressAutoHyphens/>
        <w:spacing w:after="0" w:line="240" w:lineRule="auto"/>
        <w:ind w:right="-2"/>
        <w:jc w:val="both"/>
        <w:rPr>
          <w:rFonts w:eastAsia="Times New Roman" w:cs="Calibri"/>
          <w:lang w:eastAsia="hr-HR"/>
        </w:rPr>
      </w:pPr>
    </w:p>
    <w:p w14:paraId="27CAB259" w14:textId="21EAE599" w:rsidR="00072476" w:rsidRPr="00191F9C" w:rsidRDefault="00072476" w:rsidP="00B8319D">
      <w:pPr>
        <w:pStyle w:val="Stil2"/>
        <w:rPr>
          <w:sz w:val="28"/>
        </w:rPr>
      </w:pPr>
      <w:bookmarkStart w:id="160" w:name="_Toc97123867"/>
      <w:r w:rsidRPr="00191F9C">
        <w:t>6.5. RAZVOJNI SEKTORSKI DOKUMENTI</w:t>
      </w:r>
      <w:bookmarkEnd w:id="160"/>
    </w:p>
    <w:p w14:paraId="2628B635" w14:textId="12C7C336" w:rsidR="00072476" w:rsidRPr="00191F9C" w:rsidRDefault="00072476" w:rsidP="00B8319D">
      <w:pPr>
        <w:pStyle w:val="Stil2"/>
      </w:pPr>
      <w:bookmarkStart w:id="161" w:name="_Toc97123868"/>
      <w:r w:rsidRPr="00191F9C">
        <w:t>6.5.1. Razvojni sektorski planovi, programi, strategije</w:t>
      </w:r>
      <w:bookmarkEnd w:id="161"/>
      <w:r w:rsidRPr="00191F9C">
        <w:t xml:space="preserve"> </w:t>
      </w:r>
    </w:p>
    <w:p w14:paraId="1A081C6A" w14:textId="04C55B92" w:rsidR="0022046E" w:rsidRDefault="00072476" w:rsidP="00072476">
      <w:pPr>
        <w:tabs>
          <w:tab w:val="left" w:pos="-720"/>
        </w:tabs>
        <w:suppressAutoHyphens/>
        <w:spacing w:after="0" w:line="240" w:lineRule="auto"/>
        <w:ind w:right="-2"/>
        <w:jc w:val="both"/>
        <w:rPr>
          <w:rFonts w:eastAsia="Times New Roman" w:cs="Calibri"/>
          <w:bCs/>
          <w:lang w:eastAsia="hr-HR"/>
        </w:rPr>
      </w:pPr>
      <w:r w:rsidRPr="00191F9C">
        <w:rPr>
          <w:rFonts w:eastAsia="Times New Roman" w:cs="Calibri"/>
          <w:bCs/>
          <w:lang w:eastAsia="hr-HR"/>
        </w:rPr>
        <w:br/>
      </w:r>
      <w:r w:rsidR="0022046E" w:rsidRPr="0022046E">
        <w:rPr>
          <w:rFonts w:eastAsia="Times New Roman" w:cs="Calibri"/>
          <w:bCs/>
          <w:lang w:eastAsia="hr-HR"/>
        </w:rPr>
        <w:t>Grad Zagreb ima u provedbi ili izradi niz višegodišnjih strateških planova, programa i projekata za različita područja i sektore različite duljine trajanja. Samo dio strateških planova, programa i projekata se poklapa sa sedmogodišnjim proračunskim razdobljem EU, a koje je i razdoblje izrade planova razvoja jedinica područne (regionalne) samouprave. Strategije i programi nisu izrađeni na istovrstan način i njihova razrada nije ujednačena. Posebno se to odnosi na razradu mjera kao okvira za izradu konkretnih razvojnih projekata. Većina strategija i programa nije rađena po odgovarajućoj metodologiji, a faze provedbe i izvještavanja se kod većine postojećih dokumenata ne prate na zadovoljavajući način. Posebno je uočljiv nedostatak vrednovanja rezultata i razvojnih učinaka, kako onog ex ante (tijekom izrade) tako i onog ex post.</w:t>
      </w:r>
      <w:r w:rsidR="0022046E">
        <w:rPr>
          <w:rFonts w:eastAsia="Times New Roman" w:cs="Calibri"/>
          <w:bCs/>
          <w:lang w:eastAsia="hr-HR"/>
        </w:rPr>
        <w:t xml:space="preserve"> </w:t>
      </w:r>
      <w:r w:rsidR="0022046E" w:rsidRPr="0022046E">
        <w:rPr>
          <w:rFonts w:eastAsia="Times New Roman" w:cs="Calibri"/>
          <w:bCs/>
          <w:lang w:eastAsia="hr-HR"/>
        </w:rPr>
        <w:t>Zakon o sustavu strateškog planiranja i upravljanja razvojem (NN 123/17) donesen je s ciljem kvalitetnijeg formuliranja i provedbe javnih politika i projekata na svim razinama javne vlasti, te je u narednom razdoblju nužno raditi na jačanju kapaciteta za razumijevanje i provedbu spomenutog Zakona.</w:t>
      </w:r>
    </w:p>
    <w:p w14:paraId="53C7C9E7" w14:textId="34666C53" w:rsidR="00072476" w:rsidRPr="00191F9C" w:rsidRDefault="00072476" w:rsidP="00072476">
      <w:pPr>
        <w:tabs>
          <w:tab w:val="left" w:pos="-720"/>
        </w:tabs>
        <w:suppressAutoHyphens/>
        <w:spacing w:after="0" w:line="240" w:lineRule="auto"/>
        <w:ind w:right="-2"/>
        <w:jc w:val="both"/>
        <w:rPr>
          <w:rFonts w:eastAsia="Times New Roman" w:cs="Calibri"/>
          <w:bCs/>
          <w:lang w:eastAsia="hr-HR"/>
        </w:rPr>
      </w:pPr>
    </w:p>
    <w:tbl>
      <w:tblPr>
        <w:tblW w:w="9286" w:type="dxa"/>
        <w:tblLayout w:type="fixed"/>
        <w:tblLook w:val="01E0" w:firstRow="1" w:lastRow="1" w:firstColumn="1" w:lastColumn="1" w:noHBand="0" w:noVBand="0"/>
      </w:tblPr>
      <w:tblGrid>
        <w:gridCol w:w="4643"/>
        <w:gridCol w:w="4643"/>
      </w:tblGrid>
      <w:tr w:rsidR="00072476" w:rsidRPr="00191F9C" w14:paraId="6B0344F1" w14:textId="77777777" w:rsidTr="00072476">
        <w:tc>
          <w:tcPr>
            <w:tcW w:w="4643" w:type="dxa"/>
            <w:shd w:val="clear" w:color="auto" w:fill="D9D9D9"/>
          </w:tcPr>
          <w:p w14:paraId="32997D23"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RAZVOJNI PROBLEMI</w:t>
            </w:r>
          </w:p>
        </w:tc>
        <w:tc>
          <w:tcPr>
            <w:tcW w:w="4643" w:type="dxa"/>
            <w:shd w:val="clear" w:color="auto" w:fill="99CCFF"/>
          </w:tcPr>
          <w:p w14:paraId="45626681"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7623F43D" w14:textId="77777777" w:rsidTr="00072476">
        <w:tc>
          <w:tcPr>
            <w:tcW w:w="4643" w:type="dxa"/>
            <w:shd w:val="clear" w:color="auto" w:fill="D9D9D9"/>
          </w:tcPr>
          <w:p w14:paraId="7778C8D5" w14:textId="585669D1" w:rsidR="00072476" w:rsidRPr="00191F9C" w:rsidRDefault="00B505F2"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 xml:space="preserve">strategije i </w:t>
            </w:r>
            <w:r w:rsidR="00072476" w:rsidRPr="00191F9C">
              <w:rPr>
                <w:rFonts w:eastAsia="Times New Roman" w:cs="Calibri"/>
                <w:sz w:val="18"/>
                <w:szCs w:val="18"/>
                <w:lang w:eastAsia="hr-HR"/>
              </w:rPr>
              <w:t xml:space="preserve"> programi za pojedina područja često su sektorski fragmentarni bez dovoljne međusobne povezanosti </w:t>
            </w:r>
          </w:p>
          <w:p w14:paraId="6FBD9A2C" w14:textId="06266393"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nema jedinstvene metodologije izrade </w:t>
            </w:r>
            <w:r w:rsidR="00B505F2">
              <w:rPr>
                <w:rFonts w:eastAsia="Times New Roman" w:cs="Calibri"/>
                <w:sz w:val="18"/>
                <w:szCs w:val="18"/>
                <w:lang w:eastAsia="hr-HR"/>
              </w:rPr>
              <w:t xml:space="preserve"> strategija i </w:t>
            </w:r>
            <w:r w:rsidRPr="00191F9C">
              <w:rPr>
                <w:rFonts w:eastAsia="Times New Roman" w:cs="Calibri"/>
                <w:sz w:val="18"/>
                <w:szCs w:val="18"/>
                <w:lang w:eastAsia="hr-HR"/>
              </w:rPr>
              <w:t xml:space="preserve">programa pa oni često ne mogu dati rješenja za razvojne probleme velike kompleksnosti </w:t>
            </w:r>
          </w:p>
          <w:p w14:paraId="57D0817E" w14:textId="09C6C06B"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neujednačena vremenska razdoblja trajanja </w:t>
            </w:r>
            <w:r w:rsidR="00B505F2">
              <w:rPr>
                <w:rFonts w:eastAsia="Times New Roman" w:cs="Calibri"/>
                <w:sz w:val="18"/>
                <w:szCs w:val="18"/>
                <w:lang w:eastAsia="hr-HR"/>
              </w:rPr>
              <w:t xml:space="preserve">strategija i </w:t>
            </w:r>
            <w:r w:rsidRPr="00191F9C">
              <w:rPr>
                <w:rFonts w:eastAsia="Times New Roman" w:cs="Calibri"/>
                <w:sz w:val="18"/>
                <w:szCs w:val="18"/>
                <w:lang w:eastAsia="hr-HR"/>
              </w:rPr>
              <w:t xml:space="preserve">programa, a onda i planiranih aktivnosti i njihove provedbe </w:t>
            </w:r>
          </w:p>
          <w:p w14:paraId="7504B42F" w14:textId="28D07D53"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nedovoljno učinkovito praćenje provedbe </w:t>
            </w:r>
            <w:r w:rsidR="00B505F2">
              <w:rPr>
                <w:rFonts w:eastAsia="Times New Roman" w:cs="Calibri"/>
                <w:sz w:val="18"/>
                <w:szCs w:val="18"/>
                <w:lang w:eastAsia="hr-HR"/>
              </w:rPr>
              <w:t xml:space="preserve">strategija i </w:t>
            </w:r>
            <w:r w:rsidR="00B505F2" w:rsidRPr="00191F9C">
              <w:rPr>
                <w:rFonts w:eastAsia="Times New Roman" w:cs="Calibri"/>
                <w:sz w:val="18"/>
                <w:szCs w:val="18"/>
                <w:lang w:eastAsia="hr-HR"/>
              </w:rPr>
              <w:t xml:space="preserve"> </w:t>
            </w:r>
            <w:r w:rsidRPr="00191F9C">
              <w:rPr>
                <w:rFonts w:eastAsia="Times New Roman" w:cs="Calibri"/>
                <w:sz w:val="18"/>
                <w:szCs w:val="18"/>
                <w:lang w:eastAsia="hr-HR"/>
              </w:rPr>
              <w:t xml:space="preserve">programa </w:t>
            </w:r>
          </w:p>
          <w:p w14:paraId="5081611D" w14:textId="61649252"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nedostatno izvještavanje stručne i šire javnosti o provedbi </w:t>
            </w:r>
            <w:r w:rsidR="00B505F2">
              <w:rPr>
                <w:rFonts w:eastAsia="Times New Roman" w:cs="Calibri"/>
                <w:sz w:val="18"/>
                <w:szCs w:val="18"/>
                <w:lang w:eastAsia="hr-HR"/>
              </w:rPr>
              <w:t xml:space="preserve"> strategija i</w:t>
            </w:r>
            <w:r w:rsidRPr="00191F9C">
              <w:rPr>
                <w:rFonts w:eastAsia="Times New Roman" w:cs="Calibri"/>
                <w:sz w:val="18"/>
                <w:szCs w:val="18"/>
                <w:lang w:eastAsia="hr-HR"/>
              </w:rPr>
              <w:t xml:space="preserve"> programa</w:t>
            </w:r>
          </w:p>
          <w:p w14:paraId="0E778110" w14:textId="6A4E4454"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nedovoljno uključivanje javnosti kroz partnerstvo u izradu i provedbu </w:t>
            </w:r>
            <w:r w:rsidR="00B505F2">
              <w:rPr>
                <w:rFonts w:eastAsia="Times New Roman" w:cs="Calibri"/>
                <w:sz w:val="18"/>
                <w:szCs w:val="18"/>
                <w:lang w:eastAsia="hr-HR"/>
              </w:rPr>
              <w:t xml:space="preserve">akata strateškog planiranja </w:t>
            </w:r>
            <w:r w:rsidRPr="00191F9C">
              <w:rPr>
                <w:rFonts w:eastAsia="Times New Roman" w:cs="Calibri"/>
                <w:sz w:val="18"/>
                <w:szCs w:val="18"/>
                <w:lang w:eastAsia="hr-HR"/>
              </w:rPr>
              <w:t>i strateških programa grada</w:t>
            </w:r>
          </w:p>
        </w:tc>
        <w:tc>
          <w:tcPr>
            <w:tcW w:w="4643" w:type="dxa"/>
            <w:shd w:val="clear" w:color="auto" w:fill="99CCFF"/>
          </w:tcPr>
          <w:p w14:paraId="199EE907" w14:textId="57A043F9"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izraditi i osigurati primjenu jedinstvene metodologije izrade svih strateških</w:t>
            </w:r>
            <w:r w:rsidR="008E136E">
              <w:rPr>
                <w:rFonts w:eastAsia="Times New Roman" w:cs="Calibri"/>
                <w:sz w:val="18"/>
                <w:szCs w:val="18"/>
                <w:lang w:eastAsia="hr-HR"/>
              </w:rPr>
              <w:t xml:space="preserve"> razvojnih</w:t>
            </w:r>
            <w:r w:rsidRPr="00191F9C">
              <w:rPr>
                <w:rFonts w:eastAsia="Times New Roman" w:cs="Calibri"/>
                <w:sz w:val="18"/>
                <w:szCs w:val="18"/>
                <w:lang w:eastAsia="hr-HR"/>
              </w:rPr>
              <w:t xml:space="preserve"> dokumenata </w:t>
            </w:r>
          </w:p>
          <w:p w14:paraId="005E7D73" w14:textId="0C5FD530"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uvesti učinkovito praćenje i izvještavanje o provedb</w:t>
            </w:r>
            <w:r w:rsidR="008E136E">
              <w:rPr>
                <w:rFonts w:eastAsia="Times New Roman" w:cs="Calibri"/>
                <w:sz w:val="18"/>
                <w:szCs w:val="18"/>
                <w:lang w:eastAsia="hr-HR"/>
              </w:rPr>
              <w:t>i strategija i</w:t>
            </w:r>
            <w:r w:rsidRPr="00191F9C">
              <w:rPr>
                <w:rFonts w:eastAsia="Times New Roman" w:cs="Calibri"/>
                <w:sz w:val="18"/>
                <w:szCs w:val="18"/>
                <w:lang w:eastAsia="hr-HR"/>
              </w:rPr>
              <w:t xml:space="preserve">  programa </w:t>
            </w:r>
          </w:p>
          <w:p w14:paraId="43FF5854" w14:textId="53823EF2"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provoditi vrednovanje rezultata i učinaka provedenih aktivnosti koje su utvrđene </w:t>
            </w:r>
            <w:r w:rsidR="008E136E">
              <w:rPr>
                <w:rFonts w:eastAsia="Times New Roman" w:cs="Calibri"/>
                <w:sz w:val="18"/>
                <w:szCs w:val="18"/>
                <w:lang w:eastAsia="hr-HR"/>
              </w:rPr>
              <w:t>strategijama i</w:t>
            </w:r>
            <w:r w:rsidR="008E136E" w:rsidRPr="00191F9C">
              <w:rPr>
                <w:rFonts w:eastAsia="Times New Roman" w:cs="Calibri"/>
                <w:sz w:val="18"/>
                <w:szCs w:val="18"/>
                <w:lang w:eastAsia="hr-HR"/>
              </w:rPr>
              <w:t xml:space="preserve"> </w:t>
            </w:r>
            <w:r w:rsidRPr="00191F9C">
              <w:rPr>
                <w:rFonts w:eastAsia="Times New Roman" w:cs="Calibri"/>
                <w:sz w:val="18"/>
                <w:szCs w:val="18"/>
                <w:lang w:eastAsia="hr-HR"/>
              </w:rPr>
              <w:t xml:space="preserve">programima </w:t>
            </w:r>
          </w:p>
          <w:p w14:paraId="35EC6728" w14:textId="46B59FB5"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uspostaviti institucionalni okvir za provedbu </w:t>
            </w:r>
            <w:r w:rsidR="008E136E">
              <w:rPr>
                <w:rFonts w:eastAsia="Times New Roman" w:cs="Calibri"/>
                <w:sz w:val="18"/>
                <w:szCs w:val="18"/>
                <w:lang w:eastAsia="hr-HR"/>
              </w:rPr>
              <w:t>strategija i</w:t>
            </w:r>
            <w:r w:rsidR="008E136E" w:rsidRPr="00191F9C">
              <w:rPr>
                <w:rFonts w:eastAsia="Times New Roman" w:cs="Calibri"/>
                <w:sz w:val="18"/>
                <w:szCs w:val="18"/>
                <w:lang w:eastAsia="hr-HR"/>
              </w:rPr>
              <w:t xml:space="preserve"> </w:t>
            </w:r>
            <w:r w:rsidRPr="00191F9C">
              <w:rPr>
                <w:rFonts w:eastAsia="Times New Roman" w:cs="Calibri"/>
                <w:sz w:val="18"/>
                <w:szCs w:val="18"/>
                <w:lang w:eastAsia="hr-HR"/>
              </w:rPr>
              <w:t>programa</w:t>
            </w:r>
          </w:p>
          <w:p w14:paraId="493E4D30" w14:textId="40BCBBC5"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 xml:space="preserve">razvijati partnerstvo u izradi i provedbi </w:t>
            </w:r>
            <w:r w:rsidR="008E136E">
              <w:rPr>
                <w:rFonts w:eastAsia="Times New Roman" w:cs="Calibri"/>
                <w:sz w:val="18"/>
                <w:szCs w:val="18"/>
                <w:lang w:eastAsia="hr-HR"/>
              </w:rPr>
              <w:t xml:space="preserve">akata strateškog planiranja </w:t>
            </w:r>
            <w:r w:rsidRPr="00191F9C">
              <w:rPr>
                <w:rFonts w:eastAsia="Times New Roman" w:cs="Calibri"/>
                <w:sz w:val="18"/>
                <w:szCs w:val="18"/>
                <w:lang w:eastAsia="hr-HR"/>
              </w:rPr>
              <w:t>i strateških programa grada</w:t>
            </w:r>
          </w:p>
        </w:tc>
      </w:tr>
    </w:tbl>
    <w:p w14:paraId="5C5DC524" w14:textId="237C4651" w:rsidR="00072476" w:rsidRPr="00191F9C" w:rsidRDefault="00072476" w:rsidP="006A0206">
      <w:pPr>
        <w:pStyle w:val="Stil2"/>
      </w:pPr>
      <w:r w:rsidRPr="00191F9C">
        <w:br/>
      </w:r>
      <w:bookmarkStart w:id="162" w:name="_Toc97123869"/>
      <w:r w:rsidRPr="00191F9C">
        <w:t xml:space="preserve">6.5.2. </w:t>
      </w:r>
      <w:r w:rsidR="008713C1">
        <w:t>Sustav planiranja i upravljanja g</w:t>
      </w:r>
      <w:r w:rsidRPr="00191F9C">
        <w:t>lavni</w:t>
      </w:r>
      <w:r w:rsidR="008713C1">
        <w:t>m</w:t>
      </w:r>
      <w:r w:rsidRPr="00191F9C">
        <w:t xml:space="preserve"> razvojni</w:t>
      </w:r>
      <w:r w:rsidR="008713C1">
        <w:t>m</w:t>
      </w:r>
      <w:r w:rsidRPr="00191F9C">
        <w:t xml:space="preserve"> projekti</w:t>
      </w:r>
      <w:r w:rsidR="008713C1">
        <w:t>m</w:t>
      </w:r>
      <w:r w:rsidR="00B95980">
        <w:t>a</w:t>
      </w:r>
      <w:bookmarkEnd w:id="162"/>
      <w:r w:rsidRPr="00191F9C">
        <w:t xml:space="preserve"> </w:t>
      </w:r>
    </w:p>
    <w:p w14:paraId="1460CF05" w14:textId="31E56532" w:rsidR="00072476" w:rsidRDefault="00072476" w:rsidP="00072476">
      <w:pPr>
        <w:spacing w:after="200" w:line="240" w:lineRule="auto"/>
        <w:jc w:val="both"/>
        <w:rPr>
          <w:rFonts w:cs="Calibri"/>
          <w:bCs/>
        </w:rPr>
      </w:pPr>
      <w:r w:rsidRPr="00191F9C">
        <w:rPr>
          <w:rFonts w:cs="Calibri"/>
          <w:bCs/>
        </w:rPr>
        <w:t xml:space="preserve">Razvojni projekti, kao kapitalne investicije koje su dio ukupnih razvojnih mjera poduzetih u cilju ostvarivanja prioriteta i strateških ciljeva utvrđenih u strategiji regionalnog razvoja, </w:t>
      </w:r>
      <w:r w:rsidR="009B418F">
        <w:rPr>
          <w:rFonts w:cs="Calibri"/>
          <w:bCs/>
        </w:rPr>
        <w:t xml:space="preserve"> trebali su</w:t>
      </w:r>
      <w:r w:rsidRPr="00191F9C">
        <w:rPr>
          <w:rFonts w:cs="Calibri"/>
          <w:bCs/>
        </w:rPr>
        <w:t xml:space="preserve">biti </w:t>
      </w:r>
      <w:r w:rsidR="009B418F">
        <w:rPr>
          <w:rFonts w:cs="Calibri"/>
          <w:bCs/>
        </w:rPr>
        <w:t xml:space="preserve"> sadržani</w:t>
      </w:r>
      <w:r w:rsidRPr="00191F9C">
        <w:rPr>
          <w:rFonts w:cs="Calibri"/>
          <w:bCs/>
        </w:rPr>
        <w:t>u planovima razvojnih programa proračunskih korisnika Grada. Izvještavanjem o provedbi</w:t>
      </w:r>
      <w:r w:rsidR="009B418F">
        <w:rPr>
          <w:rFonts w:cs="Calibri"/>
          <w:bCs/>
        </w:rPr>
        <w:t xml:space="preserve"> prethodne</w:t>
      </w:r>
      <w:r w:rsidRPr="00191F9C">
        <w:rPr>
          <w:rFonts w:cs="Calibri"/>
          <w:bCs/>
        </w:rPr>
        <w:t xml:space="preserve"> Razvojne strategije ustanovljeno je da u planovima razvojnih programa razvojni projekti nisu jasno definirani, da se razlikuju od podataka o razvojnim projektima dobivenih od ključnih dionika, kao i da postoje neujednačenosti u značaju razvojnih projekata proračunskih korisnika Grada</w:t>
      </w:r>
      <w:r w:rsidRPr="00191F9C">
        <w:rPr>
          <w:rFonts w:cs="Calibri"/>
          <w:bCs/>
          <w:vertAlign w:val="superscript"/>
        </w:rPr>
        <w:footnoteReference w:id="65"/>
      </w:r>
      <w:r w:rsidRPr="00191F9C">
        <w:rPr>
          <w:rFonts w:cs="Calibri"/>
          <w:bCs/>
        </w:rPr>
        <w:t>.</w:t>
      </w:r>
    </w:p>
    <w:p w14:paraId="45254B41" w14:textId="734B0773" w:rsidR="00772F96" w:rsidRDefault="00772F96" w:rsidP="00072476">
      <w:pPr>
        <w:spacing w:after="200" w:line="240" w:lineRule="auto"/>
        <w:jc w:val="both"/>
        <w:rPr>
          <w:rFonts w:cs="Calibri"/>
          <w:bCs/>
        </w:rPr>
      </w:pPr>
      <w:r w:rsidRPr="00772F96">
        <w:rPr>
          <w:rFonts w:cs="Calibri"/>
          <w:bCs/>
        </w:rPr>
        <w:t>No, kako stupanjem na snagu novog Zakona o proračunu (NN br. 144/21) jedinice lokalne i područne (regionalne) samouprave nisu više u obvezi uz  proračun donijeti plan razvojnih programa, već sukladno Zakonu o sustavu strateškog planiranja  i upravljanja razvojem Republike Hrvatske u obvezi su donijeti uz planove razvoja i provedbene programe, biti će važno, prilikom  donošenja provedbenog programa, osigurati poveznicu mjera utvrđenih za provedbu pojedinog posebnog cilja s odgovarajućim stavkama u proračunu Grada Zagreba. Tako će se kroz provedbeni program utvrditi planirani iznosi ulaganja iz proračuna Grada Zagreba namijenjeni financiranju provedbe mjera i aktivnosti pa posredno time i financiranju razvojnih projekata čime bi se riješio naprijed opisani problem neujednačenosti.</w:t>
      </w:r>
    </w:p>
    <w:p w14:paraId="2069B0F4" w14:textId="615DDE88" w:rsidR="00AF66F9" w:rsidRDefault="00AF66F9" w:rsidP="00072476">
      <w:pPr>
        <w:spacing w:after="200" w:line="240" w:lineRule="auto"/>
        <w:jc w:val="both"/>
        <w:rPr>
          <w:rFonts w:cs="Calibri"/>
          <w:bCs/>
        </w:rPr>
      </w:pPr>
      <w:r w:rsidRPr="00AF66F9">
        <w:rPr>
          <w:rFonts w:cs="Calibri"/>
          <w:bCs/>
        </w:rPr>
        <w:t>Govoreći o razvojnim projektima, kao jedan od ključnih problema nameće se nizak supanj pripremljenosti dokumentacije, te je u narednom razdoblju potrebno intenzivirati rad na kvalitetnoj pripremi zalihe projekata.</w:t>
      </w:r>
    </w:p>
    <w:p w14:paraId="60F2BD98" w14:textId="48680C26" w:rsidR="00072476" w:rsidRPr="00191F9C" w:rsidRDefault="00072476" w:rsidP="00072476">
      <w:pPr>
        <w:spacing w:after="200" w:line="240" w:lineRule="auto"/>
        <w:jc w:val="both"/>
        <w:rPr>
          <w:rFonts w:cs="Calibri"/>
        </w:rPr>
      </w:pPr>
      <w:r w:rsidRPr="00191F9C">
        <w:rPr>
          <w:rFonts w:cs="Calibri"/>
          <w:b/>
        </w:rPr>
        <w:t xml:space="preserve">Projekti javno privatnog partnerstva. </w:t>
      </w:r>
      <w:r w:rsidRPr="00191F9C">
        <w:rPr>
          <w:rFonts w:cs="Calibri"/>
        </w:rPr>
        <w:t>Obavljanje poslova u vezi pripreme i realizacije investicijskih projekata po modelu javno-privatnog partnerstva u nadležnosti je Gradskog ureda za gospodarstvo,</w:t>
      </w:r>
      <w:r w:rsidR="002666D6">
        <w:rPr>
          <w:rFonts w:cs="Calibri"/>
        </w:rPr>
        <w:t xml:space="preserve"> ekološku održivost i strategijsko planiranje</w:t>
      </w:r>
      <w:r w:rsidRPr="00191F9C">
        <w:rPr>
          <w:rFonts w:cs="Calibri"/>
        </w:rPr>
        <w:t>. Investicijska politika Grada Zagreba predviđa izdvajanje znatnih sredstava za izgradnju objekata komunalne infrastrukture i opremu. Izvori financiranja investicijskih projekata su proračun, sredstva pravnih subjekata u vlasništvu Grada, međunarodno tržište kapitala, model javno-privatnog partnerstva, fondovi Europske Unije i koncesije.</w:t>
      </w:r>
    </w:p>
    <w:p w14:paraId="199E20C2" w14:textId="2A6C5D70" w:rsidR="00072476" w:rsidRPr="00191F9C" w:rsidRDefault="00072476" w:rsidP="00072476">
      <w:pPr>
        <w:spacing w:after="200" w:line="240" w:lineRule="auto"/>
        <w:jc w:val="both"/>
        <w:rPr>
          <w:rFonts w:cs="Calibri"/>
          <w:b/>
        </w:rPr>
      </w:pPr>
    </w:p>
    <w:tbl>
      <w:tblPr>
        <w:tblW w:w="9108" w:type="dxa"/>
        <w:tblLayout w:type="fixed"/>
        <w:tblLook w:val="01E0" w:firstRow="1" w:lastRow="1" w:firstColumn="1" w:lastColumn="1" w:noHBand="0" w:noVBand="0"/>
      </w:tblPr>
      <w:tblGrid>
        <w:gridCol w:w="4608"/>
        <w:gridCol w:w="4500"/>
      </w:tblGrid>
      <w:tr w:rsidR="00072476" w:rsidRPr="00191F9C" w14:paraId="56544457" w14:textId="77777777" w:rsidTr="00072476">
        <w:tc>
          <w:tcPr>
            <w:tcW w:w="4608" w:type="dxa"/>
            <w:shd w:val="clear" w:color="auto" w:fill="D9D9D9"/>
          </w:tcPr>
          <w:p w14:paraId="625B8220" w14:textId="77777777" w:rsidR="00072476" w:rsidRPr="00191F9C" w:rsidRDefault="00072476" w:rsidP="00072476">
            <w:pPr>
              <w:spacing w:before="60" w:after="60" w:line="276" w:lineRule="auto"/>
              <w:ind w:right="1008"/>
              <w:rPr>
                <w:rFonts w:eastAsia="Arial Unicode MS" w:cs="Calibri"/>
                <w:b/>
                <w:sz w:val="18"/>
                <w:szCs w:val="18"/>
              </w:rPr>
            </w:pPr>
            <w:r w:rsidRPr="00191F9C">
              <w:rPr>
                <w:rFonts w:eastAsia="Arial Unicode MS" w:cs="Calibri"/>
                <w:b/>
                <w:sz w:val="18"/>
                <w:szCs w:val="18"/>
              </w:rPr>
              <w:t>RAZVOJNI PROBLEMI</w:t>
            </w:r>
          </w:p>
        </w:tc>
        <w:tc>
          <w:tcPr>
            <w:tcW w:w="4500" w:type="dxa"/>
            <w:shd w:val="clear" w:color="auto" w:fill="99CCFF"/>
          </w:tcPr>
          <w:p w14:paraId="6B9BE2AF" w14:textId="77777777" w:rsidR="00072476" w:rsidRPr="00191F9C" w:rsidRDefault="00072476" w:rsidP="00072476">
            <w:pPr>
              <w:spacing w:before="60" w:after="60" w:line="276" w:lineRule="auto"/>
              <w:ind w:right="1008"/>
              <w:rPr>
                <w:rFonts w:eastAsia="Arial Unicode MS" w:cs="Calibri"/>
                <w:b/>
                <w:sz w:val="18"/>
                <w:szCs w:val="18"/>
              </w:rPr>
            </w:pPr>
            <w:r w:rsidRPr="00191F9C">
              <w:rPr>
                <w:rFonts w:eastAsia="Arial Unicode MS" w:cs="Calibri"/>
                <w:b/>
                <w:sz w:val="18"/>
                <w:szCs w:val="18"/>
              </w:rPr>
              <w:t>RAZVOJNE POTREBE</w:t>
            </w:r>
          </w:p>
        </w:tc>
      </w:tr>
      <w:tr w:rsidR="00072476" w:rsidRPr="00191F9C" w14:paraId="4BAD0FBA" w14:textId="77777777" w:rsidTr="00072476">
        <w:tc>
          <w:tcPr>
            <w:tcW w:w="4608" w:type="dxa"/>
            <w:shd w:val="clear" w:color="auto" w:fill="D9D9D9"/>
          </w:tcPr>
          <w:p w14:paraId="79CEA5AD"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nedefinirani kriteriji za određivanje razvojnih projekata</w:t>
            </w:r>
          </w:p>
          <w:p w14:paraId="30BBDAA9"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potreba izdvajanja znatnih financijskih sredstava za izgradnju objekata komunalne infrastrukture i opremu</w:t>
            </w:r>
          </w:p>
          <w:p w14:paraId="0F29369C" w14:textId="31C05FC2" w:rsidR="00AF66F9" w:rsidRPr="00191F9C" w:rsidRDefault="00AF66F9"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niska razina pripremljenosti projekata</w:t>
            </w:r>
          </w:p>
        </w:tc>
        <w:tc>
          <w:tcPr>
            <w:tcW w:w="4500" w:type="dxa"/>
            <w:shd w:val="clear" w:color="auto" w:fill="99CCFF"/>
          </w:tcPr>
          <w:p w14:paraId="3B20C75A" w14:textId="77777777" w:rsidR="00072476" w:rsidRPr="00191F9C" w:rsidRDefault="00072476" w:rsidP="00165C16">
            <w:pPr>
              <w:numPr>
                <w:ilvl w:val="0"/>
                <w:numId w:val="1"/>
              </w:numPr>
              <w:tabs>
                <w:tab w:val="num" w:pos="319"/>
                <w:tab w:val="left" w:pos="3852"/>
              </w:tabs>
              <w:spacing w:before="60" w:after="60" w:line="240" w:lineRule="auto"/>
              <w:ind w:left="319" w:right="432" w:hanging="284"/>
              <w:rPr>
                <w:rFonts w:eastAsia="Arial Unicode MS" w:cs="Calibri"/>
                <w:sz w:val="18"/>
                <w:szCs w:val="18"/>
              </w:rPr>
            </w:pPr>
            <w:r w:rsidRPr="00191F9C">
              <w:rPr>
                <w:rFonts w:eastAsia="Arial Unicode MS" w:cs="Calibri"/>
                <w:sz w:val="18"/>
                <w:szCs w:val="18"/>
              </w:rPr>
              <w:t>Utvrđivanje kriterija za određivanje razvojnih projekata</w:t>
            </w:r>
          </w:p>
          <w:p w14:paraId="7CC01600" w14:textId="77777777" w:rsidR="00072476" w:rsidRDefault="00072476" w:rsidP="00165C16">
            <w:pPr>
              <w:numPr>
                <w:ilvl w:val="0"/>
                <w:numId w:val="1"/>
              </w:numPr>
              <w:tabs>
                <w:tab w:val="num" w:pos="284"/>
                <w:tab w:val="left" w:pos="3852"/>
              </w:tabs>
              <w:spacing w:before="60" w:after="60" w:line="240" w:lineRule="auto"/>
              <w:ind w:left="284" w:right="432" w:hanging="284"/>
              <w:rPr>
                <w:rFonts w:eastAsia="Arial Unicode MS" w:cs="Calibri"/>
                <w:sz w:val="18"/>
                <w:szCs w:val="18"/>
              </w:rPr>
            </w:pPr>
            <w:r w:rsidRPr="00191F9C">
              <w:rPr>
                <w:rFonts w:eastAsia="Arial Unicode MS" w:cs="Calibri"/>
                <w:sz w:val="18"/>
                <w:szCs w:val="18"/>
              </w:rPr>
              <w:t>Uspostava učinkovitog sustava za korištenje javno-privatnog partnerstva (JPP) kao izvora financiranja investicijskih projekata</w:t>
            </w:r>
          </w:p>
          <w:p w14:paraId="763789C4" w14:textId="4C2272EE" w:rsidR="00AF66F9" w:rsidRPr="00191F9C" w:rsidRDefault="00AF66F9" w:rsidP="00165C16">
            <w:pPr>
              <w:numPr>
                <w:ilvl w:val="0"/>
                <w:numId w:val="1"/>
              </w:numPr>
              <w:tabs>
                <w:tab w:val="num" w:pos="284"/>
                <w:tab w:val="left" w:pos="3852"/>
              </w:tabs>
              <w:spacing w:before="60" w:after="60" w:line="240" w:lineRule="auto"/>
              <w:ind w:left="284" w:right="432" w:hanging="284"/>
              <w:rPr>
                <w:rFonts w:eastAsia="Arial Unicode MS" w:cs="Calibri"/>
                <w:sz w:val="18"/>
                <w:szCs w:val="18"/>
              </w:rPr>
            </w:pPr>
            <w:r w:rsidRPr="00AF66F9">
              <w:rPr>
                <w:rFonts w:eastAsia="Arial Unicode MS" w:cs="Calibri"/>
                <w:sz w:val="18"/>
                <w:szCs w:val="18"/>
              </w:rPr>
              <w:t>Rad na pripremi projektne dokumentacije radi stvaranja kvalitetne zalihe projekata</w:t>
            </w:r>
          </w:p>
        </w:tc>
      </w:tr>
    </w:tbl>
    <w:p w14:paraId="49411F39" w14:textId="77777777" w:rsidR="00072476" w:rsidRPr="00191F9C" w:rsidRDefault="00072476" w:rsidP="00072476">
      <w:pPr>
        <w:adjustRightInd w:val="0"/>
        <w:spacing w:after="200" w:line="276" w:lineRule="auto"/>
        <w:jc w:val="both"/>
        <w:rPr>
          <w:rFonts w:cs="Calibri"/>
          <w:b/>
          <w:bCs/>
        </w:rPr>
      </w:pPr>
    </w:p>
    <w:p w14:paraId="6257A093" w14:textId="4697DB09" w:rsidR="00072476" w:rsidRPr="00464CD3" w:rsidRDefault="00072476" w:rsidP="006A0206">
      <w:pPr>
        <w:pStyle w:val="Stil2"/>
      </w:pPr>
      <w:bookmarkStart w:id="163" w:name="_Toc97123870"/>
      <w:r w:rsidRPr="00464CD3">
        <w:t xml:space="preserve">6.5.3. Korištenje sredstava EU fondova i EU projekti </w:t>
      </w:r>
      <w:r>
        <w:t>G</w:t>
      </w:r>
      <w:r w:rsidRPr="00464CD3">
        <w:t>rada Zagreba</w:t>
      </w:r>
      <w:bookmarkEnd w:id="163"/>
      <w:r w:rsidRPr="00464CD3">
        <w:t xml:space="preserve"> </w:t>
      </w:r>
    </w:p>
    <w:p w14:paraId="56B8238F" w14:textId="77777777" w:rsidR="00072476" w:rsidRPr="00464CD3" w:rsidRDefault="00072476" w:rsidP="00072476">
      <w:pPr>
        <w:adjustRightInd w:val="0"/>
        <w:spacing w:after="200" w:line="240" w:lineRule="auto"/>
        <w:jc w:val="both"/>
        <w:rPr>
          <w:rFonts w:cs="Calibri"/>
        </w:rPr>
      </w:pPr>
      <w:r w:rsidRPr="00464CD3">
        <w:rPr>
          <w:rFonts w:cs="Calibri"/>
        </w:rPr>
        <w:t>Prema podacima Ministarstva regionalnog razvoja i fondova EU (MRRFEU) ukupan je kumulativni iznos ugovorenih EU sredstava u razdoblju od 2017. do 2019. godine (zbroj sredstava ugovorenih po pojedinim županijama) iznosio 61,2 milijarde kuna ili 8,24 milijarde eura, odnosno približno 77% iznosa koji je u financijskom razdoblju 2014.-2020. bilo na raspolaganju Hrvatskoj iz Europskih strukturnih i investicijskih (ESI) fondova. Najveći se iznos ugovorenih sredstava fondova EU od 14,4 milijarde kuna ili 24% odnosio na Grad Zagreb.</w:t>
      </w:r>
    </w:p>
    <w:p w14:paraId="3273BE7A" w14:textId="463119CC" w:rsidR="00072476" w:rsidRPr="00464CD3" w:rsidRDefault="007A2522" w:rsidP="007A2522">
      <w:pPr>
        <w:pStyle w:val="Opisslike"/>
        <w:rPr>
          <w:rFonts w:cs="Calibri"/>
        </w:rPr>
      </w:pPr>
      <w:r>
        <w:t xml:space="preserve">Graf </w:t>
      </w:r>
      <w:r w:rsidR="00751C19">
        <w:fldChar w:fldCharType="begin"/>
      </w:r>
      <w:r w:rsidR="00751C19">
        <w:instrText xml:space="preserve"> SEQ Graf \* ARABIC </w:instrText>
      </w:r>
      <w:r w:rsidR="00751C19">
        <w:fldChar w:fldCharType="separate"/>
      </w:r>
      <w:r w:rsidR="00DE17C9">
        <w:rPr>
          <w:noProof/>
        </w:rPr>
        <w:t>6</w:t>
      </w:r>
      <w:r w:rsidR="00751C19">
        <w:rPr>
          <w:noProof/>
        </w:rPr>
        <w:fldChar w:fldCharType="end"/>
      </w:r>
      <w:r>
        <w:t xml:space="preserve">. </w:t>
      </w:r>
      <w:r w:rsidRPr="007D0689">
        <w:t>Iznos ugovorenih sredstava fondova EU, 2017.</w:t>
      </w:r>
      <w:r>
        <w:t xml:space="preserve"> </w:t>
      </w:r>
      <w:r w:rsidRPr="007D0689">
        <w:t>-</w:t>
      </w:r>
      <w:r>
        <w:t xml:space="preserve"> </w:t>
      </w:r>
      <w:r w:rsidRPr="007D0689">
        <w:t>2019., mil HRK</w:t>
      </w:r>
      <w:r w:rsidR="00072476" w:rsidRPr="00464CD3">
        <w:rPr>
          <w:noProof/>
        </w:rPr>
        <w:drawing>
          <wp:inline distT="0" distB="0" distL="0" distR="0" wp14:anchorId="05B8D068" wp14:editId="156E86BC">
            <wp:extent cx="3524250" cy="2371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0" cy="2371725"/>
                    </a:xfrm>
                    <a:prstGeom prst="rect">
                      <a:avLst/>
                    </a:prstGeom>
                    <a:noFill/>
                    <a:ln>
                      <a:noFill/>
                    </a:ln>
                  </pic:spPr>
                </pic:pic>
              </a:graphicData>
            </a:graphic>
          </wp:inline>
        </w:drawing>
      </w:r>
    </w:p>
    <w:p w14:paraId="1D5F2EC1" w14:textId="77777777" w:rsidR="00072476" w:rsidRPr="00464CD3" w:rsidRDefault="00072476" w:rsidP="00072476">
      <w:pPr>
        <w:adjustRightInd w:val="0"/>
        <w:spacing w:after="200" w:line="240" w:lineRule="auto"/>
        <w:jc w:val="both"/>
        <w:rPr>
          <w:rFonts w:cs="Calibri"/>
          <w:sz w:val="18"/>
          <w:szCs w:val="18"/>
        </w:rPr>
      </w:pPr>
      <w:r w:rsidRPr="00464CD3">
        <w:rPr>
          <w:rFonts w:cs="Calibri"/>
          <w:sz w:val="18"/>
          <w:szCs w:val="18"/>
        </w:rPr>
        <w:t>Izvor: HGK, Županije i fondovi EU-pregled i usporedba ugovorenih sredstava; lipanj 2020</w:t>
      </w:r>
    </w:p>
    <w:p w14:paraId="6791732F" w14:textId="354D146F" w:rsidR="00072476" w:rsidRDefault="00072476" w:rsidP="00072476">
      <w:pPr>
        <w:adjustRightInd w:val="0"/>
        <w:spacing w:after="200" w:line="240" w:lineRule="auto"/>
        <w:jc w:val="both"/>
        <w:rPr>
          <w:rFonts w:cs="Calibri"/>
        </w:rPr>
      </w:pPr>
      <w:r w:rsidRPr="00464CD3">
        <w:rPr>
          <w:rFonts w:cs="Calibri"/>
        </w:rPr>
        <w:t xml:space="preserve">Međutim, rangiranje županija po ukupnom iznosu ugovorenih EU sredstava ipak ne znači da je određena županija bolja ili lošija u korištenju EU fondova, jer su županije različite gospodarske jačine, strukture gospodarstva i broja stanovnika. Bolju informaciju o snazi distribucije sredstava po županijama daju podaci o razlici između udjela pojedine županije u nacionalnom BDP-u i njezina udjela u ukupnom iznosu ugovorenih sredstava iz europskih fondova.  </w:t>
      </w:r>
    </w:p>
    <w:p w14:paraId="6915B79F" w14:textId="5E0270CF" w:rsidR="007A2522" w:rsidRPr="00464CD3" w:rsidRDefault="007A2522" w:rsidP="007A2522">
      <w:pPr>
        <w:pStyle w:val="Opisslike"/>
        <w:rPr>
          <w:rFonts w:cs="Calibri"/>
        </w:rPr>
      </w:pPr>
      <w:r>
        <w:t xml:space="preserve">Graf </w:t>
      </w:r>
      <w:r w:rsidR="00751C19">
        <w:fldChar w:fldCharType="begin"/>
      </w:r>
      <w:r w:rsidR="00751C19">
        <w:instrText xml:space="preserve"> SEQ Graf \* ARABIC </w:instrText>
      </w:r>
      <w:r w:rsidR="00751C19">
        <w:fldChar w:fldCharType="separate"/>
      </w:r>
      <w:r w:rsidR="00DE17C9">
        <w:rPr>
          <w:noProof/>
        </w:rPr>
        <w:t>7</w:t>
      </w:r>
      <w:r w:rsidR="00751C19">
        <w:rPr>
          <w:noProof/>
        </w:rPr>
        <w:fldChar w:fldCharType="end"/>
      </w:r>
      <w:r>
        <w:t xml:space="preserve">. </w:t>
      </w:r>
      <w:r w:rsidRPr="00B472C8">
        <w:t>Razlika između udjela županije u nacionalnom BDP-u (iz 2017. godine) i udjela u ugovorenosti fondova EU u razdoblju 2017. do 2019., postotni bodovi</w:t>
      </w:r>
    </w:p>
    <w:p w14:paraId="686F9E3E" w14:textId="3ACE6AEB" w:rsidR="00072476" w:rsidRPr="00464CD3" w:rsidRDefault="00072476" w:rsidP="00072476">
      <w:pPr>
        <w:adjustRightInd w:val="0"/>
        <w:spacing w:after="200" w:line="240" w:lineRule="auto"/>
        <w:jc w:val="both"/>
      </w:pPr>
      <w:r w:rsidRPr="00464CD3">
        <w:rPr>
          <w:noProof/>
        </w:rPr>
        <w:drawing>
          <wp:inline distT="0" distB="0" distL="0" distR="0" wp14:anchorId="1E1FD031" wp14:editId="1C2B0E40">
            <wp:extent cx="3352800" cy="2266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2800" cy="2266950"/>
                    </a:xfrm>
                    <a:prstGeom prst="rect">
                      <a:avLst/>
                    </a:prstGeom>
                    <a:noFill/>
                    <a:ln>
                      <a:noFill/>
                    </a:ln>
                  </pic:spPr>
                </pic:pic>
              </a:graphicData>
            </a:graphic>
          </wp:inline>
        </w:drawing>
      </w:r>
    </w:p>
    <w:p w14:paraId="1D169FA5" w14:textId="77777777" w:rsidR="00072476" w:rsidRPr="00464CD3" w:rsidRDefault="00072476" w:rsidP="00072476">
      <w:pPr>
        <w:adjustRightInd w:val="0"/>
        <w:spacing w:after="200" w:line="240" w:lineRule="auto"/>
        <w:jc w:val="both"/>
        <w:rPr>
          <w:rFonts w:cs="Calibri"/>
          <w:sz w:val="18"/>
          <w:szCs w:val="18"/>
        </w:rPr>
      </w:pPr>
      <w:r w:rsidRPr="00464CD3">
        <w:rPr>
          <w:rFonts w:cs="Calibri"/>
          <w:sz w:val="18"/>
          <w:szCs w:val="18"/>
        </w:rPr>
        <w:t>Izvor: HGK, Županije i fondovi EU-pregled i usporedba ugovorenih sredstava; lipanj 2020</w:t>
      </w:r>
    </w:p>
    <w:p w14:paraId="07F73EBB" w14:textId="77777777" w:rsidR="00072476" w:rsidRPr="00464CD3" w:rsidRDefault="00072476" w:rsidP="00072476">
      <w:pPr>
        <w:adjustRightInd w:val="0"/>
        <w:spacing w:after="200" w:line="240" w:lineRule="auto"/>
        <w:jc w:val="both"/>
        <w:rPr>
          <w:rFonts w:cs="Calibri"/>
          <w:sz w:val="18"/>
          <w:szCs w:val="18"/>
        </w:rPr>
      </w:pPr>
      <w:r w:rsidRPr="00464CD3">
        <w:rPr>
          <w:rFonts w:cs="Calibri"/>
        </w:rPr>
        <w:t>Iako gospodarstvo Grada Zagreba čini trećinu cjelokupnog hrvatskog BDP-a, a stanovništvo gotovo 20% ukupnog stanovništva Hrvatske, upravo Grad Zagreb ima najveću negativnu razliku između udjela u nacionalnom BDP-u i udjela u ugovorenosti fondova EU što znači da je ugovorio manje sredstava s obzirom na svoju relativnu gospodarsku snagu i  na sebe „vezao“ tek 24% svih ugovorenih sredstava EU. Što se tiče vrijednosti ugovorenih sredstava ona iznosi samo 12% gradskog BDP-a u promatrane tri godine što upućuje na činjenicu da dosadašnje povlačenje sredstava iz programa i fondova Europske unije nije zadovoljavajuće. Da bi se ubrzala dinamika korištenja sredstava u financijskoj perspektivi 2021.-2027. potrebno je i dalje jačati administrativne i financijske kapacitete Gradske uprave te poticati međusektorsku i institucionalnu suradnju kako na razini Grada, tako i na razini RH i EU. U nastavku su navedena tri projekta s najvećom ugovorenom vrijednošću u Zagrebu, s tim da se iznosi ne odnose na ukupnu vrijednost projekta već samo na ugovoreni iznos bespovratnih sredstava fondova EU. Prikazani projekti odnose se na razdoblje do kraja svibnja 2020.</w:t>
      </w:r>
      <w:r w:rsidRPr="00464CD3">
        <w:rPr>
          <w:rFonts w:cs="Calibri"/>
          <w:vertAlign w:val="superscript"/>
        </w:rPr>
        <w:footnoteReference w:id="66"/>
      </w:r>
    </w:p>
    <w:p w14:paraId="332E51D8" w14:textId="77777777" w:rsidR="00072476" w:rsidRPr="00464CD3" w:rsidRDefault="00072476" w:rsidP="00165C16">
      <w:pPr>
        <w:numPr>
          <w:ilvl w:val="0"/>
          <w:numId w:val="37"/>
        </w:numPr>
        <w:adjustRightInd w:val="0"/>
        <w:spacing w:after="0" w:line="240" w:lineRule="auto"/>
        <w:jc w:val="both"/>
        <w:rPr>
          <w:rFonts w:cs="Calibri"/>
        </w:rPr>
      </w:pPr>
      <w:r w:rsidRPr="00464CD3">
        <w:rPr>
          <w:rFonts w:cs="Calibri"/>
        </w:rPr>
        <w:t>Rekonstrukcija postojećeg i izgradnja drugog kolos</w:t>
      </w:r>
      <w:r>
        <w:rPr>
          <w:rFonts w:cs="Calibri"/>
        </w:rPr>
        <w:t>i</w:t>
      </w:r>
      <w:r w:rsidRPr="00464CD3">
        <w:rPr>
          <w:rFonts w:cs="Calibri"/>
        </w:rPr>
        <w:t>jeka na dionici Hrvatski Leskovac-Karlovac na željezničkoj pruzi M202 Zagreb</w:t>
      </w:r>
      <w:r>
        <w:rPr>
          <w:rFonts w:cs="Calibri"/>
        </w:rPr>
        <w:t xml:space="preserve"> </w:t>
      </w:r>
      <w:r w:rsidRPr="00464CD3">
        <w:rPr>
          <w:rFonts w:cs="Calibri"/>
        </w:rPr>
        <w:t xml:space="preserve">GK – Rijeka   </w:t>
      </w:r>
      <w:r w:rsidRPr="00464CD3">
        <w:rPr>
          <w:rFonts w:cs="Calibri"/>
          <w:i/>
          <w:iCs/>
        </w:rPr>
        <w:t>Ugovoreni iznos HRK 1.360.496.670</w:t>
      </w:r>
    </w:p>
    <w:p w14:paraId="13069101" w14:textId="77777777" w:rsidR="00072476" w:rsidRPr="00464CD3" w:rsidRDefault="00072476" w:rsidP="00165C16">
      <w:pPr>
        <w:numPr>
          <w:ilvl w:val="0"/>
          <w:numId w:val="37"/>
        </w:numPr>
        <w:adjustRightInd w:val="0"/>
        <w:spacing w:after="0" w:line="240" w:lineRule="auto"/>
        <w:jc w:val="both"/>
        <w:rPr>
          <w:rFonts w:cs="Calibri"/>
          <w:i/>
          <w:iCs/>
        </w:rPr>
      </w:pPr>
      <w:r w:rsidRPr="00464CD3">
        <w:rPr>
          <w:rFonts w:cs="Calibri"/>
        </w:rPr>
        <w:t xml:space="preserve">Regionalni vodoopskrbni sustav Zagrebačke županije – Zagreb Istok   </w:t>
      </w:r>
      <w:r w:rsidRPr="00464CD3">
        <w:rPr>
          <w:rFonts w:cs="Calibri"/>
          <w:i/>
          <w:iCs/>
        </w:rPr>
        <w:t>Ugovoreni iznos HRK 483.953.845</w:t>
      </w:r>
    </w:p>
    <w:p w14:paraId="7DF59C6A" w14:textId="77777777" w:rsidR="00072476" w:rsidRPr="00464CD3" w:rsidRDefault="00072476" w:rsidP="00165C16">
      <w:pPr>
        <w:numPr>
          <w:ilvl w:val="0"/>
          <w:numId w:val="37"/>
        </w:numPr>
        <w:spacing w:after="0"/>
        <w:rPr>
          <w:rFonts w:cs="Calibri"/>
          <w:i/>
          <w:iCs/>
        </w:rPr>
      </w:pPr>
      <w:r w:rsidRPr="00464CD3">
        <w:rPr>
          <w:rFonts w:cs="Calibri"/>
        </w:rPr>
        <w:t xml:space="preserve">Dječji centar za translacijsku medicinu Dječje bolnice Srebrnjak (CCTM)    </w:t>
      </w:r>
      <w:r w:rsidRPr="00464CD3">
        <w:rPr>
          <w:rFonts w:cs="Calibri"/>
          <w:i/>
          <w:iCs/>
        </w:rPr>
        <w:t>Ugovoreni iznos HRK 432.176.116</w:t>
      </w:r>
    </w:p>
    <w:p w14:paraId="527E9288" w14:textId="77777777" w:rsidR="00072476" w:rsidRPr="00464CD3" w:rsidRDefault="00072476" w:rsidP="00072476">
      <w:pPr>
        <w:spacing w:after="0"/>
        <w:ind w:left="720"/>
        <w:rPr>
          <w:rFonts w:cs="Calibri"/>
          <w:i/>
          <w:iCs/>
        </w:rPr>
      </w:pPr>
    </w:p>
    <w:p w14:paraId="0A65CFF1" w14:textId="0E22F9F9" w:rsidR="00072476" w:rsidRPr="00464CD3" w:rsidRDefault="00072476" w:rsidP="00465B26">
      <w:pPr>
        <w:spacing w:after="200" w:line="240" w:lineRule="auto"/>
        <w:jc w:val="both"/>
        <w:rPr>
          <w:rFonts w:cs="Calibri"/>
        </w:rPr>
      </w:pPr>
      <w:r w:rsidRPr="00464CD3">
        <w:rPr>
          <w:rFonts w:cs="Calibri"/>
          <w:b/>
        </w:rPr>
        <w:t>EU projekti u Gradu Zagrebu</w:t>
      </w:r>
      <w:r w:rsidR="0061125B">
        <w:rPr>
          <w:rFonts w:cs="Calibri"/>
          <w:b/>
        </w:rPr>
        <w:t xml:space="preserve">. </w:t>
      </w:r>
      <w:r w:rsidRPr="00464CD3">
        <w:rPr>
          <w:rFonts w:cs="Calibri"/>
        </w:rPr>
        <w:t>Za poslove u vezi s aktivnostima usmjerenima na korištenje EU sredstava, uključujući podršku gradskim upravnim tijelima, trgovačkim društava i ustanovama u vlasništvu Grada u pripremi i provedbi EU projekata, nadležan je Ured za programe i projekte Europske unije</w:t>
      </w:r>
      <w:r w:rsidR="009F0E40">
        <w:rPr>
          <w:rFonts w:cs="Calibri"/>
        </w:rPr>
        <w:t xml:space="preserve"> </w:t>
      </w:r>
      <w:r w:rsidR="009F0E40" w:rsidRPr="009F0E40">
        <w:rPr>
          <w:rFonts w:cs="Calibri"/>
        </w:rPr>
        <w:t>(od 1.1.2022. dio Stručne službe gradske uprave)</w:t>
      </w:r>
      <w:r w:rsidRPr="00464CD3">
        <w:rPr>
          <w:rFonts w:cs="Calibri"/>
        </w:rPr>
        <w:t xml:space="preserve">. Također, od 2017. godine Ured obavlja i poslove Posredničkog tijela Integriranih teritorijalnih ulaganja, kao tijelo unutar grada središta Urbane aglomeracije Zagreb. Poslove regionalnog koordinatora u Gradu Zagrebu od 2018. godine obavlja </w:t>
      </w:r>
      <w:bookmarkStart w:id="164" w:name="_Hlk69899612"/>
      <w:r w:rsidRPr="00464CD3">
        <w:rPr>
          <w:rFonts w:cs="Calibri"/>
        </w:rPr>
        <w:t xml:space="preserve">Razvojna agencija Zagreb </w:t>
      </w:r>
      <w:bookmarkEnd w:id="164"/>
      <w:r w:rsidRPr="00464CD3">
        <w:rPr>
          <w:rFonts w:cs="Calibri"/>
        </w:rPr>
        <w:t xml:space="preserve">za koordinaciju i poticanje regionalnog razvoja, kao ustanova koja je, sukladno Zakonu o regionalnom razvoju Republike Hrvatske, zadužena za provedbu aktivnosti vezanih uz koordinaciju i poticanje regionalnog razvoja. </w:t>
      </w:r>
      <w:r w:rsidRPr="00FC6944">
        <w:rPr>
          <w:rFonts w:cs="Calibri"/>
        </w:rPr>
        <w:t>Poslovi koje obavlja Razvojna agencija Zagreb između ostalog uključuju pripremu i provedbu strateških i razvojnih dokumenata te pružanje stručne pomoći javnopravnim tijelima i ustanovama s područja Grada Zagreba u pripremi i provedbi razvojnih projekata od interesa za razvoj županije, a posebno projekata sufinanciranih sredstvima iz strukturnih i investicijskih fondova Europske unije.</w:t>
      </w:r>
      <w:r w:rsidRPr="00464CD3">
        <w:rPr>
          <w:rFonts w:cs="Calibri"/>
        </w:rPr>
        <w:t xml:space="preserve"> </w:t>
      </w:r>
    </w:p>
    <w:p w14:paraId="7EE70346" w14:textId="77777777" w:rsidR="00072476" w:rsidRPr="00464CD3" w:rsidRDefault="00072476" w:rsidP="00465B26">
      <w:pPr>
        <w:spacing w:after="200" w:line="240" w:lineRule="auto"/>
        <w:jc w:val="both"/>
        <w:rPr>
          <w:rFonts w:cs="Calibri"/>
          <w:bCs/>
        </w:rPr>
      </w:pPr>
      <w:r w:rsidRPr="00464CD3">
        <w:rPr>
          <w:rFonts w:cs="Calibri"/>
          <w:bCs/>
        </w:rPr>
        <w:t xml:space="preserve">U financijskoj perspektivi 2014.-2020. Grad Zagreb je ukupno prijavio 274 projekta. Dominiraju prijave na projekte iz ESI fondova i to iz Operativnog programa Učinkoviti ljudski potencijali 2014.-2020. i Operativnog programa Konkurentnost i kohezija 2014.–2020. čiji broj prijava u ukupno prijavljenim projektima čini udio od gotovo 58%. Slijede ih prijave projekata na Programe Unije s udjelom od 36% te Europske teritorijalne suradnje s udjelom od 6%. </w:t>
      </w:r>
    </w:p>
    <w:p w14:paraId="7F759381" w14:textId="77777777" w:rsidR="00072476" w:rsidRPr="00464CD3" w:rsidRDefault="00072476" w:rsidP="00465B26">
      <w:pPr>
        <w:spacing w:after="200" w:line="240" w:lineRule="auto"/>
        <w:jc w:val="both"/>
        <w:rPr>
          <w:rFonts w:cs="Calibri"/>
          <w:bCs/>
        </w:rPr>
      </w:pPr>
      <w:r w:rsidRPr="00464CD3">
        <w:rPr>
          <w:rFonts w:cs="Calibri"/>
          <w:bCs/>
        </w:rPr>
        <w:t xml:space="preserve">Intenziviranje broja prijava iz Europskih strukturnih i investicijskih fondova traje od 2017. dok je najznačajniji udio vrijednosti prijavljenih projekata iz ESI fondova (OPKK i OPULJP) ostvaren u 2018. i 2019. godini. Promatrano ukupno, u posljednje dvije godine zabilježen je osjetan rast vrijednosti prijavljenih projekata (55% godišnje u 2019. te 30% u 2020.) pri čemu je u 2020. godini ukupna vrijednost prijavljenih projekata premašila 1,4 milijarde kuna. </w:t>
      </w:r>
    </w:p>
    <w:p w14:paraId="5CA8BE76" w14:textId="77777777" w:rsidR="00072476" w:rsidRPr="00464CD3" w:rsidRDefault="00072476" w:rsidP="00465B26">
      <w:pPr>
        <w:spacing w:after="200" w:line="240" w:lineRule="auto"/>
        <w:jc w:val="both"/>
        <w:rPr>
          <w:rFonts w:cs="Calibri"/>
          <w:bCs/>
        </w:rPr>
      </w:pPr>
      <w:r w:rsidRPr="00464CD3">
        <w:rPr>
          <w:rFonts w:cs="Calibri"/>
          <w:bCs/>
        </w:rPr>
        <w:t xml:space="preserve">Ured za programe i projekte Europske unije </w:t>
      </w:r>
      <w:r w:rsidRPr="00DE5A8A">
        <w:rPr>
          <w:rFonts w:cs="Calibri"/>
          <w:bCs/>
        </w:rPr>
        <w:t>i Razvojna agencija Zagreb</w:t>
      </w:r>
      <w:r w:rsidRPr="00464CD3">
        <w:rPr>
          <w:rFonts w:cs="Calibri"/>
          <w:bCs/>
        </w:rPr>
        <w:t>, osim podrške gradskim upravnim tijelima u pripremi i provedbi projekata EU-a, daju podršku i trgovačkim društvima i ustanovama u vlasništvu Grada u pripremi i provedbi njihovih projekata.</w:t>
      </w:r>
    </w:p>
    <w:p w14:paraId="17A7DF99" w14:textId="737E1B5B" w:rsidR="00072476" w:rsidRPr="00464CD3" w:rsidRDefault="007A2522" w:rsidP="007A2522">
      <w:pPr>
        <w:pStyle w:val="Opisslike"/>
        <w:rPr>
          <w:i/>
        </w:rPr>
      </w:pPr>
      <w:r>
        <w:t xml:space="preserve">Graf </w:t>
      </w:r>
      <w:r w:rsidR="00751C19">
        <w:fldChar w:fldCharType="begin"/>
      </w:r>
      <w:r w:rsidR="00751C19">
        <w:instrText xml:space="preserve"> SEQ Graf \* ARABIC </w:instrText>
      </w:r>
      <w:r w:rsidR="00751C19">
        <w:fldChar w:fldCharType="separate"/>
      </w:r>
      <w:r w:rsidR="00DE17C9">
        <w:rPr>
          <w:noProof/>
        </w:rPr>
        <w:t>8</w:t>
      </w:r>
      <w:r w:rsidR="00751C19">
        <w:rPr>
          <w:noProof/>
        </w:rPr>
        <w:fldChar w:fldCharType="end"/>
      </w:r>
      <w:r>
        <w:t xml:space="preserve">. </w:t>
      </w:r>
      <w:r w:rsidRPr="001E7127">
        <w:t>Vrijednost proračuna prijavljenih projekata – ukupno</w:t>
      </w:r>
    </w:p>
    <w:p w14:paraId="1E39A050" w14:textId="140DE7A9" w:rsidR="00072476" w:rsidRPr="00464CD3" w:rsidRDefault="00072476" w:rsidP="00072476">
      <w:pPr>
        <w:spacing w:after="0" w:line="240" w:lineRule="auto"/>
        <w:jc w:val="both"/>
        <w:rPr>
          <w:rFonts w:cs="Calibri"/>
          <w:bCs/>
        </w:rPr>
      </w:pPr>
      <w:r w:rsidRPr="00464CD3">
        <w:rPr>
          <w:rFonts w:cs="Calibri"/>
          <w:noProof/>
        </w:rPr>
        <w:drawing>
          <wp:inline distT="0" distB="0" distL="0" distR="0" wp14:anchorId="4582BA4C" wp14:editId="6A77E15F">
            <wp:extent cx="5476875" cy="2962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2962275"/>
                    </a:xfrm>
                    <a:prstGeom prst="rect">
                      <a:avLst/>
                    </a:prstGeom>
                    <a:noFill/>
                    <a:ln>
                      <a:noFill/>
                    </a:ln>
                  </pic:spPr>
                </pic:pic>
              </a:graphicData>
            </a:graphic>
          </wp:inline>
        </w:drawing>
      </w:r>
    </w:p>
    <w:p w14:paraId="23C7EB97" w14:textId="77777777" w:rsidR="00072476" w:rsidRPr="00464CD3" w:rsidRDefault="00072476" w:rsidP="00072476">
      <w:pPr>
        <w:spacing w:after="0" w:line="240" w:lineRule="auto"/>
        <w:jc w:val="both"/>
        <w:rPr>
          <w:rFonts w:cs="Calibri"/>
          <w:sz w:val="18"/>
          <w:szCs w:val="18"/>
        </w:rPr>
      </w:pPr>
      <w:r w:rsidRPr="00464CD3">
        <w:rPr>
          <w:rFonts w:cs="Calibri"/>
          <w:sz w:val="18"/>
          <w:szCs w:val="18"/>
          <w:lang w:eastAsia="x-none"/>
        </w:rPr>
        <w:t>*</w:t>
      </w:r>
      <w:r w:rsidRPr="00464CD3">
        <w:rPr>
          <w:rFonts w:cs="Calibri"/>
          <w:sz w:val="18"/>
          <w:szCs w:val="18"/>
        </w:rPr>
        <w:t xml:space="preserve"> Na grafu su prikazani projekti koji su prijavljeni u razdoblju od 2014. do 2020., a Grad Zagreb, trgovačko društvo i/ili ustanova sudjeluje kao nositelj ili partner</w:t>
      </w:r>
    </w:p>
    <w:p w14:paraId="47A5C11E" w14:textId="77777777" w:rsidR="00072476" w:rsidRPr="00464CD3" w:rsidRDefault="00072476" w:rsidP="00072476">
      <w:pPr>
        <w:spacing w:after="0" w:line="240" w:lineRule="auto"/>
        <w:contextualSpacing/>
        <w:jc w:val="both"/>
        <w:rPr>
          <w:rFonts w:cs="Calibri"/>
          <w:sz w:val="18"/>
          <w:szCs w:val="18"/>
          <w:lang w:eastAsia="x-none"/>
        </w:rPr>
      </w:pPr>
      <w:r w:rsidRPr="00464CD3">
        <w:rPr>
          <w:rFonts w:cs="Calibri"/>
          <w:sz w:val="18"/>
          <w:szCs w:val="18"/>
          <w:lang w:eastAsia="x-none"/>
        </w:rPr>
        <w:t>Izvor: Ured za programe i projekte Europske unije</w:t>
      </w:r>
    </w:p>
    <w:p w14:paraId="3CEE7DC1" w14:textId="77777777" w:rsidR="00072476" w:rsidRPr="00464CD3" w:rsidRDefault="00072476" w:rsidP="00072476">
      <w:pPr>
        <w:spacing w:after="0" w:line="240" w:lineRule="auto"/>
        <w:jc w:val="both"/>
        <w:rPr>
          <w:rFonts w:cs="Calibri"/>
          <w:bCs/>
        </w:rPr>
      </w:pPr>
    </w:p>
    <w:p w14:paraId="245B377F" w14:textId="77777777" w:rsidR="00072476" w:rsidRPr="00464CD3" w:rsidRDefault="00072476" w:rsidP="00465B26">
      <w:pPr>
        <w:spacing w:after="0" w:line="240" w:lineRule="auto"/>
        <w:jc w:val="both"/>
        <w:rPr>
          <w:rFonts w:cs="Calibri"/>
          <w:bCs/>
        </w:rPr>
      </w:pPr>
      <w:r w:rsidRPr="00464CD3">
        <w:rPr>
          <w:rFonts w:cs="Calibri"/>
          <w:bCs/>
        </w:rPr>
        <w:t>Promatrano ukupno (Grad Zagreb, trgovačka društva i ustanove) u 2019. godini je zabilježen osjetan rast ukupne vrijednosti prijavljenih projekata (+131,7% godišnje) pri čemu je ukupna vrijednost proračuna prijavljenih projekata po prvi puta znatno premašila 2 milijarde kuna (2,822 milijardi kuna). Na razini iznad 2 milijarde kuna vrijednost proračuna prijavljenih projekata ostao je i u 2020. godini unatoč izazovima pandemije</w:t>
      </w:r>
    </w:p>
    <w:p w14:paraId="5A6CC991" w14:textId="77777777" w:rsidR="00072476" w:rsidRPr="00464CD3" w:rsidRDefault="00072476" w:rsidP="00465B26">
      <w:pPr>
        <w:spacing w:after="0" w:line="240" w:lineRule="auto"/>
        <w:jc w:val="both"/>
        <w:rPr>
          <w:rFonts w:cs="Calibri"/>
          <w:bCs/>
        </w:rPr>
      </w:pPr>
    </w:p>
    <w:p w14:paraId="1A7DB5FD" w14:textId="77777777" w:rsidR="00072476" w:rsidRPr="00464CD3" w:rsidRDefault="00072476" w:rsidP="00465B26">
      <w:pPr>
        <w:spacing w:after="0" w:line="240" w:lineRule="auto"/>
        <w:jc w:val="both"/>
        <w:rPr>
          <w:rFonts w:cs="Calibri"/>
          <w:bCs/>
        </w:rPr>
      </w:pPr>
      <w:r w:rsidRPr="00464CD3">
        <w:rPr>
          <w:rFonts w:cs="Calibri"/>
          <w:bCs/>
        </w:rPr>
        <w:t xml:space="preserve">Ukupno promatrajući i projekte iz razdoblja pretpristupnih fondova zajedno s ESI fondovima i programima EU-a Grad Zagreb, trgovačka društva i ustanove zajedno su uspješno okončali 390 projekata ukupne vrijednosti 2,5 milijarde kuna od čega oko 50% čine projekti Grada Zagreba. Istovremeno u tijeku je provedba 298 projekata ukupne vrijednosti oko 3,5 milijarde kuna. </w:t>
      </w:r>
      <w:r w:rsidRPr="00464CD3">
        <w:rPr>
          <w:rFonts w:cs="Calibri"/>
          <w:bCs/>
          <w:vertAlign w:val="superscript"/>
        </w:rPr>
        <w:footnoteReference w:id="67"/>
      </w:r>
    </w:p>
    <w:p w14:paraId="63BB7D7B" w14:textId="6CC3B8D6" w:rsidR="00072476" w:rsidRDefault="00072476" w:rsidP="00465B26">
      <w:pPr>
        <w:spacing w:after="0" w:line="240" w:lineRule="auto"/>
        <w:jc w:val="both"/>
        <w:rPr>
          <w:rFonts w:cs="Calibri"/>
          <w:bCs/>
          <w:color w:val="FF0000"/>
        </w:rPr>
      </w:pPr>
    </w:p>
    <w:p w14:paraId="441CD057" w14:textId="77777777" w:rsidR="00AF4F45" w:rsidRPr="00191F9C" w:rsidRDefault="00AF4F45" w:rsidP="00AF4F45">
      <w:pPr>
        <w:spacing w:after="200" w:line="240" w:lineRule="auto"/>
        <w:jc w:val="both"/>
        <w:rPr>
          <w:rFonts w:cs="Calibri"/>
          <w:bCs/>
        </w:rPr>
      </w:pPr>
      <w:r>
        <w:rPr>
          <w:rFonts w:cs="Calibri"/>
          <w:bCs/>
        </w:rPr>
        <w:t>Jedan od ključnih problema u realizaciji EU projekata je nedostatak spremne projektno-tehničke dokumentacije, a što je preduvjet za početak implementacije i/ili fizičke realizacije projekata. Stoga je potrebno intenzivnije raditi na pravovremenoj i potpunoj pripremi projektno-tehničke dokumentacije za prijavu na natječaje u okviru programa 2021. – 2027. čime će se osigurati dostatna zaliha projekata spremnih za provedbu u narednoj financijskoj perspektivi.</w:t>
      </w:r>
    </w:p>
    <w:p w14:paraId="2AC9B7F8" w14:textId="77777777" w:rsidR="00072476" w:rsidRPr="00464CD3" w:rsidRDefault="00072476" w:rsidP="00465B26">
      <w:pPr>
        <w:widowControl w:val="0"/>
        <w:autoSpaceDE w:val="0"/>
        <w:autoSpaceDN w:val="0"/>
        <w:spacing w:after="0" w:line="240" w:lineRule="auto"/>
        <w:ind w:right="-46"/>
        <w:jc w:val="both"/>
        <w:rPr>
          <w:rFonts w:eastAsia="Times New Roman" w:cs="Calibri"/>
          <w:bCs/>
        </w:rPr>
      </w:pPr>
      <w:r w:rsidRPr="00464CD3">
        <w:rPr>
          <w:rFonts w:eastAsia="Times New Roman" w:cs="Calibri"/>
          <w:b/>
          <w:bCs/>
        </w:rPr>
        <w:t>Analiza odgovora na posljedice izazvane pandemijom i potresom.</w:t>
      </w:r>
      <w:r w:rsidRPr="00464CD3">
        <w:rPr>
          <w:rFonts w:eastAsia="Times New Roman" w:cs="Calibri"/>
          <w:bCs/>
        </w:rPr>
        <w:t xml:space="preserve"> Nakon što je Vlada Republike Hrvatske podnijela Europskoj komisiji zahtjev za dodjelu sredstava iz Fonda solidarnosti Europske unije (FSEU) za saniranje štete nastale razornim potresom, Komisija je predložila potporu FSEU za Republiku Hrvatsku u ukupnom iznosu od 683.740.523,00 eura. Grad Zagreb je imenovan kao tijelo odgovorno za provedbu financijskog doprinosa iz Fonda solidarnosti čije zadaće obavlja Ured za programe i projekte Europske, te je s nadležnim Nacionalnim koordinacijskim tijelom (Ministarstvo prostornoga uređenja, graditeljstva i državne imovine) zadužen za uspostavu sustava provedbe i izrade potrebnih akata. Na temelju podataka koje su u svibnju 2020. dala gradska upravna tijela i ustanove u vlasništvu Grada izrađena je baza podataka o oštećenim objektima u vlasništvu Grada Zagreba ili ustanova za potrebe utvrđivanja mogućnosti financiranja obnove objekata i kupnje opreme bespovratnim sredstvima EU-a. Važno je napomenuti da su prikupljeni podaci ujedno poslužili i za definiranje potreba i prioriteta iz bespovratnih sredstva kao podloga za utvrđivanje dodatne mogućnosti odnosno novih izvora EU prihoda, kao što je Mehanizam za oporavak i otpornost te je  krajem 2020., u suradnji s Razvojnom agencijom Zagreb za koordinaciju i poticanje regionalnog razvoja, izrađen iskaz potreba Grada Zagreba za sufinanciranje iz Mehanizma za oporavak i otpornost u iznosu od 12.8 milijardi kuna za projekte iz područja prometa, gospodarenje otpadom, kulture, obrazovanja, gospodarstva, energetske učinkovitosti društvenih objekata i dr. Po usvajanju Nacionalnog plana od strane Europske unije, Grad Zagreb će imati uvid u popis odobrenih projekta i omjer sufinanciranja.</w:t>
      </w:r>
    </w:p>
    <w:p w14:paraId="17A3683B" w14:textId="77777777" w:rsidR="00072476" w:rsidRPr="00464CD3" w:rsidRDefault="00072476" w:rsidP="00072476">
      <w:pPr>
        <w:spacing w:after="200" w:line="240" w:lineRule="auto"/>
        <w:contextualSpacing/>
        <w:jc w:val="both"/>
        <w:rPr>
          <w:rFonts w:cs="Calibri"/>
          <w:b/>
          <w:bCs/>
        </w:rPr>
      </w:pPr>
    </w:p>
    <w:p w14:paraId="72E26FAE" w14:textId="1BADEB02" w:rsidR="00072476" w:rsidRPr="00464CD3" w:rsidRDefault="00072476" w:rsidP="00072476">
      <w:pPr>
        <w:spacing w:after="200" w:line="240" w:lineRule="auto"/>
        <w:contextualSpacing/>
        <w:jc w:val="both"/>
        <w:rPr>
          <w:rFonts w:cs="Calibri"/>
          <w:bCs/>
        </w:rPr>
      </w:pPr>
      <w:r w:rsidRPr="00464CD3">
        <w:rPr>
          <w:rFonts w:cs="Calibri"/>
          <w:b/>
          <w:bCs/>
        </w:rPr>
        <w:t xml:space="preserve">Mehanizam Integriranih teritorijalnih ulaganja (ITU mehanizam). </w:t>
      </w:r>
      <w:r w:rsidRPr="00464CD3">
        <w:rPr>
          <w:rFonts w:cs="Calibri"/>
          <w:bCs/>
        </w:rPr>
        <w:t>ITU mehanizam je u financijskoj perspektivi 2014.-2020. predstavljao novi mehanizam Europske unije koji je uveden s ciljem jačanja uloge gradova kao pokretača gospodarskog razvoja. U okviru Operativnog programa Konkurentnost i kohezija 2014.-2020. te Operativnog programa Učinkoviti ljudski potencijali 2014.-2020. za provedbu aktivnosti namijenjenih održivom urbanom razvoju u najvećim urbanim centrima u Republici Hrvatskoj, putem integriranih teritorijalnih ulaganja osigurano je 345,3 milijuna eura.</w:t>
      </w:r>
      <w:r w:rsidRPr="00464CD3">
        <w:rPr>
          <w:rFonts w:cs="Calibri"/>
        </w:rPr>
        <w:t xml:space="preserve"> </w:t>
      </w:r>
      <w:r w:rsidRPr="00464CD3">
        <w:rPr>
          <w:rFonts w:cs="Calibri"/>
          <w:bCs/>
        </w:rPr>
        <w:t xml:space="preserve">U financijskoj perspektivi 2014.-2020. sedam najvećih urbanih središta u Republici Hrvatskoj – Zagreb, Split, Rijeka, Osijek, Slavonski Brod, Zadar i Pula odabrani su kao područja za provedbu ITU mehanizma. Od ukupne alokacije raspoloživa sredstva za Urbanu aglomeraciju Zagreb </w:t>
      </w:r>
      <w:r w:rsidR="00AF66F9">
        <w:rPr>
          <w:rFonts w:cs="Calibri"/>
          <w:bCs/>
        </w:rPr>
        <w:t xml:space="preserve">iznosila su </w:t>
      </w:r>
      <w:r w:rsidRPr="00464CD3">
        <w:rPr>
          <w:rFonts w:cs="Calibri"/>
          <w:bCs/>
        </w:rPr>
        <w:t>oko 973 milijuna kuna (oko 128 milijuna eura).  Do prvog kvartala 2021. u okviru ITU mehanizma za Urbanu aglomeraciju Zagreb objavljeno je 12 Javnih poziva iz OPKK-a i OPULJP-a u iznosu od 920.589.868,83 kuna što čini oko 95% ukupno dodijeljene alokacije UA Zagreb, od čega je ukupno dodijeljeno 776.624.342,74 kuna bespovratnih sredstava za sufinanciranje projekata, uključujući i EU projekte Grada Zagreba i njegovih ustanova kojima je dodijeljeno 176.452.604,42 kuna, dok je za investicije na području Grada Zagreba dodijeljeno ukupno 597.952.604,09 kuna bespovratnih sredstava.</w:t>
      </w:r>
    </w:p>
    <w:p w14:paraId="73E354A7" w14:textId="77777777" w:rsidR="00072476" w:rsidRPr="00464CD3" w:rsidRDefault="00072476" w:rsidP="00072476">
      <w:pPr>
        <w:spacing w:after="0" w:line="240" w:lineRule="auto"/>
        <w:jc w:val="both"/>
        <w:rPr>
          <w:rFonts w:cs="Calibri"/>
          <w:bCs/>
        </w:rPr>
      </w:pPr>
    </w:p>
    <w:p w14:paraId="733380FA" w14:textId="7024B607" w:rsidR="00072476" w:rsidRDefault="00072476" w:rsidP="00072476">
      <w:pPr>
        <w:spacing w:after="200" w:line="240" w:lineRule="auto"/>
        <w:jc w:val="both"/>
        <w:rPr>
          <w:rFonts w:cs="Calibri"/>
          <w:bCs/>
          <w:color w:val="000000"/>
        </w:rPr>
      </w:pPr>
    </w:p>
    <w:p w14:paraId="4B682D4B" w14:textId="77777777" w:rsidR="0000743F" w:rsidRPr="00464CD3" w:rsidRDefault="0000743F" w:rsidP="00072476">
      <w:pPr>
        <w:spacing w:after="200" w:line="240" w:lineRule="auto"/>
        <w:jc w:val="both"/>
        <w:rPr>
          <w:rFonts w:cs="Calibri"/>
          <w:bCs/>
          <w:color w:val="000000"/>
        </w:rPr>
      </w:pPr>
    </w:p>
    <w:tbl>
      <w:tblPr>
        <w:tblpPr w:leftFromText="180" w:rightFromText="180" w:vertAnchor="text" w:horzAnchor="margin" w:tblpY="37"/>
        <w:tblW w:w="5156" w:type="pct"/>
        <w:shd w:val="clear" w:color="auto" w:fill="D9D9D9"/>
        <w:tblLook w:val="01E0" w:firstRow="1" w:lastRow="1" w:firstColumn="1" w:lastColumn="1" w:noHBand="0" w:noVBand="0"/>
      </w:tblPr>
      <w:tblGrid>
        <w:gridCol w:w="4677"/>
        <w:gridCol w:w="4678"/>
      </w:tblGrid>
      <w:tr w:rsidR="00072476" w:rsidRPr="00464CD3" w14:paraId="7F6A18F3" w14:textId="77777777" w:rsidTr="00072476">
        <w:tc>
          <w:tcPr>
            <w:tcW w:w="2500" w:type="pct"/>
            <w:shd w:val="clear" w:color="auto" w:fill="D9D9D9"/>
          </w:tcPr>
          <w:p w14:paraId="19E7EFD5" w14:textId="77777777" w:rsidR="00072476" w:rsidRPr="00464CD3" w:rsidRDefault="00072476" w:rsidP="00072476">
            <w:pPr>
              <w:spacing w:before="60" w:after="60" w:line="240" w:lineRule="auto"/>
              <w:ind w:right="-2"/>
              <w:rPr>
                <w:rFonts w:eastAsia="Times New Roman" w:cs="Calibri"/>
                <w:b/>
                <w:sz w:val="18"/>
                <w:szCs w:val="18"/>
                <w:lang w:eastAsia="hr-HR"/>
              </w:rPr>
            </w:pPr>
            <w:r w:rsidRPr="00464CD3">
              <w:rPr>
                <w:rFonts w:eastAsia="Times New Roman" w:cs="Calibri"/>
                <w:b/>
                <w:sz w:val="18"/>
                <w:szCs w:val="18"/>
                <w:lang w:eastAsia="hr-HR"/>
              </w:rPr>
              <w:br w:type="page"/>
              <w:t>RAZVOJNI PROBLEMI</w:t>
            </w:r>
          </w:p>
        </w:tc>
        <w:tc>
          <w:tcPr>
            <w:tcW w:w="2500" w:type="pct"/>
            <w:shd w:val="clear" w:color="auto" w:fill="99CCFF"/>
          </w:tcPr>
          <w:p w14:paraId="71E87F57" w14:textId="77777777" w:rsidR="00072476" w:rsidRPr="00464CD3" w:rsidRDefault="00072476" w:rsidP="00072476">
            <w:pPr>
              <w:spacing w:before="60" w:after="60" w:line="240" w:lineRule="auto"/>
              <w:ind w:right="-2"/>
              <w:rPr>
                <w:rFonts w:eastAsia="Times New Roman" w:cs="Calibri"/>
                <w:b/>
                <w:sz w:val="18"/>
                <w:szCs w:val="18"/>
                <w:lang w:eastAsia="hr-HR"/>
              </w:rPr>
            </w:pPr>
            <w:r w:rsidRPr="00464CD3">
              <w:rPr>
                <w:rFonts w:eastAsia="Times New Roman" w:cs="Calibri"/>
                <w:b/>
                <w:sz w:val="18"/>
                <w:szCs w:val="18"/>
                <w:lang w:eastAsia="hr-HR"/>
              </w:rPr>
              <w:t>RAZVOJNE POTREBE</w:t>
            </w:r>
          </w:p>
        </w:tc>
      </w:tr>
      <w:tr w:rsidR="00072476" w:rsidRPr="00464CD3" w14:paraId="28F493D9" w14:textId="77777777" w:rsidTr="00072476">
        <w:tc>
          <w:tcPr>
            <w:tcW w:w="2500" w:type="pct"/>
            <w:shd w:val="clear" w:color="auto" w:fill="D9D9D9"/>
          </w:tcPr>
          <w:p w14:paraId="244C154B" w14:textId="77777777" w:rsidR="00072476" w:rsidRPr="00464CD3" w:rsidRDefault="00072476" w:rsidP="00165C16">
            <w:pPr>
              <w:numPr>
                <w:ilvl w:val="0"/>
                <w:numId w:val="1"/>
              </w:numPr>
              <w:tabs>
                <w:tab w:val="num" w:pos="284"/>
              </w:tabs>
              <w:spacing w:before="100" w:beforeAutospacing="1" w:after="100" w:afterAutospacing="1" w:line="240" w:lineRule="auto"/>
              <w:ind w:left="284" w:right="-2" w:hanging="284"/>
              <w:jc w:val="both"/>
              <w:rPr>
                <w:rFonts w:eastAsia="Times New Roman" w:cs="Calibri"/>
                <w:sz w:val="18"/>
                <w:szCs w:val="18"/>
                <w:lang w:eastAsia="hr-HR"/>
              </w:rPr>
            </w:pPr>
            <w:r w:rsidRPr="00464CD3">
              <w:rPr>
                <w:rFonts w:eastAsia="Times New Roman" w:cs="Calibri"/>
                <w:sz w:val="18"/>
                <w:szCs w:val="18"/>
                <w:lang w:eastAsia="hr-HR"/>
              </w:rPr>
              <w:t>Neadekvatno planiranje i programiranje mogućnosti korištenja EU fondova u RH (neusklađenost prioriteta i ciljeva financiranja sa stvarnim potrebama područja)</w:t>
            </w:r>
          </w:p>
          <w:p w14:paraId="15D9B132" w14:textId="77777777" w:rsidR="00072476" w:rsidRPr="00464CD3" w:rsidRDefault="00072476" w:rsidP="00165C16">
            <w:pPr>
              <w:numPr>
                <w:ilvl w:val="0"/>
                <w:numId w:val="1"/>
              </w:numPr>
              <w:tabs>
                <w:tab w:val="num" w:pos="284"/>
              </w:tabs>
              <w:spacing w:before="100" w:beforeAutospacing="1" w:after="100" w:afterAutospacing="1" w:line="240" w:lineRule="auto"/>
              <w:ind w:left="284" w:right="-2" w:hanging="284"/>
              <w:jc w:val="both"/>
              <w:rPr>
                <w:rFonts w:eastAsia="Times New Roman" w:cs="Calibri"/>
                <w:sz w:val="18"/>
                <w:szCs w:val="18"/>
                <w:lang w:eastAsia="hr-HR"/>
              </w:rPr>
            </w:pPr>
            <w:r w:rsidRPr="00464CD3">
              <w:rPr>
                <w:rFonts w:eastAsia="Times New Roman" w:cs="Calibri"/>
                <w:sz w:val="18"/>
                <w:szCs w:val="18"/>
                <w:lang w:eastAsia="hr-HR"/>
              </w:rPr>
              <w:t>Neujednačeno postupanje tijela u Sustavu upravljanja i kontrole EU fondova u RH što stvara nesigurnost u procesu provedbe EU projekata</w:t>
            </w:r>
          </w:p>
          <w:p w14:paraId="5B6F8190" w14:textId="77777777" w:rsidR="00072476" w:rsidRPr="00464CD3" w:rsidRDefault="00072476" w:rsidP="00165C16">
            <w:pPr>
              <w:numPr>
                <w:ilvl w:val="0"/>
                <w:numId w:val="1"/>
              </w:numPr>
              <w:tabs>
                <w:tab w:val="num" w:pos="284"/>
              </w:tabs>
              <w:spacing w:before="100" w:beforeAutospacing="1" w:after="100" w:afterAutospacing="1" w:line="240" w:lineRule="auto"/>
              <w:ind w:left="284" w:right="-2" w:hanging="284"/>
              <w:jc w:val="both"/>
              <w:rPr>
                <w:rFonts w:eastAsia="Times New Roman" w:cs="Calibri"/>
                <w:sz w:val="18"/>
                <w:szCs w:val="18"/>
                <w:lang w:eastAsia="hr-HR"/>
              </w:rPr>
            </w:pPr>
            <w:r w:rsidRPr="00464CD3">
              <w:rPr>
                <w:rFonts w:eastAsia="Times New Roman" w:cs="Calibri"/>
                <w:sz w:val="18"/>
                <w:szCs w:val="18"/>
                <w:lang w:eastAsia="hr-HR"/>
              </w:rPr>
              <w:t>Ograničenja u pozivima za dodjelu bespovratnih sredstava (primjerice, mogućnost prijave jednog projekta uz određene maksimalne vrijednosti projekta odnosno bespovratnih sredstava uz jednaka pravila za grad veličine Zagreba, kao i grada manje veličine iz drugog kraja RH s vrlo različitim potrebama).</w:t>
            </w:r>
          </w:p>
          <w:p w14:paraId="5FCA4634" w14:textId="77777777" w:rsidR="00072476" w:rsidRPr="00464CD3" w:rsidRDefault="00072476" w:rsidP="00165C16">
            <w:pPr>
              <w:numPr>
                <w:ilvl w:val="0"/>
                <w:numId w:val="1"/>
              </w:numPr>
              <w:tabs>
                <w:tab w:val="num" w:pos="284"/>
              </w:tabs>
              <w:spacing w:before="100" w:beforeAutospacing="1" w:after="100" w:afterAutospacing="1" w:line="240" w:lineRule="auto"/>
              <w:ind w:left="284" w:right="-2" w:hanging="284"/>
              <w:jc w:val="both"/>
              <w:rPr>
                <w:rFonts w:eastAsia="Times New Roman" w:cs="Calibri"/>
                <w:sz w:val="18"/>
                <w:szCs w:val="18"/>
                <w:lang w:eastAsia="hr-HR"/>
              </w:rPr>
            </w:pPr>
            <w:r w:rsidRPr="00464CD3">
              <w:rPr>
                <w:rFonts w:eastAsia="Times New Roman" w:cs="Calibri"/>
                <w:sz w:val="18"/>
                <w:szCs w:val="18"/>
                <w:lang w:eastAsia="hr-HR"/>
              </w:rPr>
              <w:t>Premošćivanje financijskog jaza i osiguranje održive likvidnosti Grada uslijed sufinanciranja infrastrukturnih investicija tijekom provedbe, osobito vlastitog učešća, kao i potpora jamstvima i vlastitom financiranju investicija trgovačkih društava i ustanova u vlasništvu Grada sufinanciranih bespovratnim sredstvima Europske unije</w:t>
            </w:r>
          </w:p>
          <w:p w14:paraId="6DF4315F" w14:textId="77777777" w:rsidR="00072476" w:rsidRPr="00464CD3" w:rsidRDefault="00072476" w:rsidP="00165C16">
            <w:pPr>
              <w:numPr>
                <w:ilvl w:val="0"/>
                <w:numId w:val="1"/>
              </w:numPr>
              <w:tabs>
                <w:tab w:val="num" w:pos="284"/>
              </w:tabs>
              <w:spacing w:before="100" w:beforeAutospacing="1" w:after="100" w:afterAutospacing="1" w:line="240" w:lineRule="auto"/>
              <w:ind w:left="284" w:right="-2" w:hanging="284"/>
              <w:rPr>
                <w:rFonts w:eastAsia="Times New Roman" w:cs="Calibri"/>
                <w:sz w:val="18"/>
                <w:szCs w:val="18"/>
                <w:lang w:eastAsia="hr-HR"/>
              </w:rPr>
            </w:pPr>
            <w:r w:rsidRPr="00464CD3">
              <w:rPr>
                <w:rFonts w:eastAsia="Times New Roman" w:cs="Calibri"/>
                <w:sz w:val="18"/>
                <w:szCs w:val="18"/>
                <w:lang w:eastAsia="hr-HR"/>
              </w:rPr>
              <w:t xml:space="preserve">Provedba EU projekata do kraja postojeće financijske perspektive i istodobna priprema EU projekata za buduću financijsku perspektivu s obzirom na postojeće resurse u zadanom vremenskom okviru </w:t>
            </w:r>
          </w:p>
          <w:p w14:paraId="4C170CB6" w14:textId="77777777" w:rsidR="00072476" w:rsidRPr="00464CD3" w:rsidRDefault="00072476" w:rsidP="00165C16">
            <w:pPr>
              <w:numPr>
                <w:ilvl w:val="0"/>
                <w:numId w:val="1"/>
              </w:numPr>
              <w:tabs>
                <w:tab w:val="num" w:pos="284"/>
              </w:tabs>
              <w:spacing w:before="100" w:beforeAutospacing="1" w:after="100" w:afterAutospacing="1" w:line="240" w:lineRule="auto"/>
              <w:ind w:left="284" w:right="-2" w:hanging="284"/>
              <w:jc w:val="both"/>
              <w:rPr>
                <w:rFonts w:eastAsia="Times New Roman" w:cs="Calibri"/>
                <w:sz w:val="18"/>
                <w:szCs w:val="18"/>
                <w:lang w:eastAsia="hr-HR"/>
              </w:rPr>
            </w:pPr>
            <w:r w:rsidRPr="00464CD3">
              <w:rPr>
                <w:rFonts w:eastAsia="Times New Roman" w:cs="Calibri"/>
                <w:sz w:val="18"/>
                <w:szCs w:val="18"/>
                <w:lang w:eastAsia="hr-HR"/>
              </w:rPr>
              <w:t>Dugotrajnost i složenost procesa rješavanja imovinsko-pravnih poslova, kao i osiguranje značajnih financijskih ulaganja u njihovu realizaciju</w:t>
            </w:r>
          </w:p>
        </w:tc>
        <w:tc>
          <w:tcPr>
            <w:tcW w:w="2500" w:type="pct"/>
            <w:shd w:val="clear" w:color="auto" w:fill="99CCFF"/>
          </w:tcPr>
          <w:p w14:paraId="2B4F7E0E" w14:textId="77777777" w:rsidR="00072476" w:rsidRPr="00464CD3" w:rsidRDefault="00072476" w:rsidP="00165C16">
            <w:pPr>
              <w:numPr>
                <w:ilvl w:val="0"/>
                <w:numId w:val="1"/>
              </w:numPr>
              <w:tabs>
                <w:tab w:val="num" w:pos="284"/>
              </w:tabs>
              <w:spacing w:before="100" w:beforeAutospacing="1" w:after="100" w:afterAutospacing="1" w:line="240" w:lineRule="auto"/>
              <w:ind w:left="284" w:right="-2" w:hanging="284"/>
              <w:jc w:val="both"/>
              <w:rPr>
                <w:rFonts w:eastAsia="Times New Roman" w:cs="Calibri"/>
                <w:sz w:val="18"/>
                <w:szCs w:val="18"/>
                <w:lang w:eastAsia="hr-HR"/>
              </w:rPr>
            </w:pPr>
            <w:r w:rsidRPr="00464CD3">
              <w:rPr>
                <w:rFonts w:eastAsia="Times New Roman" w:cs="Calibri"/>
                <w:sz w:val="18"/>
                <w:szCs w:val="18"/>
                <w:lang w:eastAsia="hr-HR"/>
              </w:rPr>
              <w:t>Planiranje i programiranje mogućnosti korištenja EU fondova u RH s određivanjem prioriteta i ciljeva financiranja sukladno stvarnim potrebama područja</w:t>
            </w:r>
          </w:p>
          <w:p w14:paraId="23A3B40F" w14:textId="77777777" w:rsidR="00072476" w:rsidRPr="00464CD3" w:rsidRDefault="00072476" w:rsidP="00165C16">
            <w:pPr>
              <w:numPr>
                <w:ilvl w:val="0"/>
                <w:numId w:val="1"/>
              </w:numPr>
              <w:tabs>
                <w:tab w:val="num" w:pos="314"/>
              </w:tabs>
              <w:spacing w:before="60" w:beforeAutospacing="1" w:after="60" w:afterAutospacing="1" w:line="240" w:lineRule="auto"/>
              <w:ind w:left="314" w:right="-2" w:hanging="314"/>
              <w:rPr>
                <w:rFonts w:eastAsia="Times New Roman" w:cs="Calibri"/>
                <w:sz w:val="18"/>
                <w:szCs w:val="18"/>
                <w:lang w:eastAsia="hr-HR"/>
              </w:rPr>
            </w:pPr>
            <w:r w:rsidRPr="00464CD3">
              <w:rPr>
                <w:rFonts w:eastAsia="Times New Roman" w:cs="Calibri"/>
                <w:sz w:val="18"/>
                <w:szCs w:val="18"/>
                <w:lang w:eastAsia="hr-HR"/>
              </w:rPr>
              <w:t>Ujednačavanje postupanja tijela u Sustavu upravljanja i kontrole EU fondova u RH te smanjenje administrativnih barijera u procesu prijave projekata, dodjele bespovratnih sredstava i kontrole provedbe EU projekata</w:t>
            </w:r>
          </w:p>
          <w:p w14:paraId="5A3F562D" w14:textId="77777777" w:rsidR="00072476" w:rsidRPr="00464CD3" w:rsidRDefault="00072476" w:rsidP="00165C16">
            <w:pPr>
              <w:numPr>
                <w:ilvl w:val="0"/>
                <w:numId w:val="1"/>
              </w:numPr>
              <w:tabs>
                <w:tab w:val="num" w:pos="314"/>
              </w:tabs>
              <w:spacing w:before="60" w:beforeAutospacing="1" w:after="60" w:afterAutospacing="1" w:line="240" w:lineRule="auto"/>
              <w:ind w:left="314" w:right="-2" w:hanging="314"/>
              <w:rPr>
                <w:rFonts w:eastAsia="Times New Roman" w:cs="Calibri"/>
                <w:sz w:val="18"/>
                <w:szCs w:val="18"/>
                <w:lang w:eastAsia="hr-HR"/>
              </w:rPr>
            </w:pPr>
            <w:r w:rsidRPr="00464CD3">
              <w:rPr>
                <w:rFonts w:eastAsia="Times New Roman" w:cs="Calibri"/>
                <w:sz w:val="18"/>
                <w:szCs w:val="18"/>
                <w:lang w:eastAsia="hr-HR"/>
              </w:rPr>
              <w:t>Kontinuirana suradnja s nadležnim tijelima u sustavu upravljanja i kontrole EU fondova</w:t>
            </w:r>
          </w:p>
          <w:p w14:paraId="4AD9D510" w14:textId="12313692" w:rsidR="00072476" w:rsidRDefault="00072476" w:rsidP="00165C16">
            <w:pPr>
              <w:numPr>
                <w:ilvl w:val="0"/>
                <w:numId w:val="1"/>
              </w:numPr>
              <w:tabs>
                <w:tab w:val="num" w:pos="314"/>
              </w:tabs>
              <w:spacing w:before="60" w:beforeAutospacing="1" w:after="60" w:afterAutospacing="1" w:line="240" w:lineRule="auto"/>
              <w:ind w:left="314" w:right="-2" w:hanging="314"/>
              <w:rPr>
                <w:rFonts w:eastAsia="Times New Roman" w:cs="Calibri"/>
                <w:sz w:val="18"/>
                <w:szCs w:val="18"/>
                <w:lang w:eastAsia="hr-HR"/>
              </w:rPr>
            </w:pPr>
            <w:r w:rsidRPr="00464CD3">
              <w:rPr>
                <w:rFonts w:eastAsia="Times New Roman" w:cs="Calibri"/>
                <w:sz w:val="18"/>
                <w:szCs w:val="18"/>
                <w:lang w:eastAsia="hr-HR"/>
              </w:rPr>
              <w:t>Definiranje Poziva za dodjelu bespovratnih sredstava uzimajući u obzir specifičnosti, kapacitete i potrebe svakog pojedinog područja</w:t>
            </w:r>
          </w:p>
          <w:p w14:paraId="05074853" w14:textId="25948A2D" w:rsidR="00AF66F9" w:rsidRPr="0088377D" w:rsidRDefault="00966C29" w:rsidP="0088377D">
            <w:pPr>
              <w:numPr>
                <w:ilvl w:val="0"/>
                <w:numId w:val="1"/>
              </w:numPr>
              <w:tabs>
                <w:tab w:val="num" w:pos="314"/>
              </w:tabs>
              <w:spacing w:before="60" w:beforeAutospacing="1" w:after="60" w:afterAutospacing="1" w:line="240" w:lineRule="auto"/>
              <w:ind w:left="314" w:right="-2" w:hanging="314"/>
              <w:rPr>
                <w:rFonts w:eastAsia="Times New Roman" w:cs="Calibri"/>
                <w:sz w:val="18"/>
                <w:szCs w:val="18"/>
                <w:lang w:eastAsia="hr-HR"/>
              </w:rPr>
            </w:pPr>
            <w:r>
              <w:rPr>
                <w:rFonts w:eastAsia="Times New Roman" w:cs="Calibri"/>
                <w:sz w:val="18"/>
                <w:szCs w:val="18"/>
                <w:lang w:eastAsia="hr-HR"/>
              </w:rPr>
              <w:t>S</w:t>
            </w:r>
            <w:r w:rsidR="00AF66F9" w:rsidRPr="00464CD3">
              <w:rPr>
                <w:rFonts w:eastAsia="Times New Roman" w:cs="Calibri"/>
                <w:sz w:val="18"/>
                <w:szCs w:val="18"/>
                <w:lang w:eastAsia="hr-HR"/>
              </w:rPr>
              <w:t>trateške dokumente unaprijediti i uskladiti s operativnim programima financijske perspektive 2021.-2027. s jasno definiranim mjerama/projektima i mjerljivim pokazateljima za njihovo ostvarenje</w:t>
            </w:r>
          </w:p>
          <w:p w14:paraId="35AEF434" w14:textId="77777777" w:rsidR="00072476" w:rsidRPr="00464CD3" w:rsidRDefault="00072476" w:rsidP="00165C16">
            <w:pPr>
              <w:numPr>
                <w:ilvl w:val="0"/>
                <w:numId w:val="1"/>
              </w:numPr>
              <w:tabs>
                <w:tab w:val="num" w:pos="314"/>
              </w:tabs>
              <w:spacing w:before="60" w:beforeAutospacing="1" w:after="60" w:afterAutospacing="1" w:line="240" w:lineRule="auto"/>
              <w:ind w:left="314" w:right="-2" w:hanging="314"/>
              <w:rPr>
                <w:rFonts w:eastAsia="Times New Roman" w:cs="Calibri"/>
                <w:sz w:val="18"/>
                <w:szCs w:val="18"/>
                <w:lang w:eastAsia="hr-HR"/>
              </w:rPr>
            </w:pPr>
            <w:r w:rsidRPr="00464CD3">
              <w:rPr>
                <w:rFonts w:eastAsia="Times New Roman" w:cs="Calibri"/>
                <w:sz w:val="18"/>
                <w:szCs w:val="18"/>
                <w:lang w:eastAsia="hr-HR"/>
              </w:rPr>
              <w:t>Identifikacija i provedba zajedničkih integriranih projekata s područja UAZ-a sukladno potrebama i potencijalima UAZ-a udruživanjem zajedničkih kapaciteta za pripremu i provedbu EU projekta</w:t>
            </w:r>
          </w:p>
          <w:p w14:paraId="13DB3780" w14:textId="77777777" w:rsidR="00072476" w:rsidRPr="00464CD3" w:rsidRDefault="00072476" w:rsidP="00165C16">
            <w:pPr>
              <w:numPr>
                <w:ilvl w:val="0"/>
                <w:numId w:val="1"/>
              </w:numPr>
              <w:tabs>
                <w:tab w:val="num" w:pos="314"/>
              </w:tabs>
              <w:spacing w:before="60" w:beforeAutospacing="1" w:after="60" w:afterAutospacing="1" w:line="240" w:lineRule="auto"/>
              <w:ind w:left="314" w:right="-2" w:hanging="314"/>
              <w:rPr>
                <w:rFonts w:eastAsia="Times New Roman" w:cs="Calibri"/>
                <w:sz w:val="18"/>
                <w:szCs w:val="18"/>
                <w:lang w:eastAsia="hr-HR"/>
              </w:rPr>
            </w:pPr>
            <w:r w:rsidRPr="00464CD3">
              <w:rPr>
                <w:rFonts w:eastAsia="Times New Roman" w:cs="Calibri"/>
                <w:sz w:val="18"/>
                <w:szCs w:val="18"/>
                <w:lang w:eastAsia="hr-HR"/>
              </w:rPr>
              <w:t>Korištenje različitih financijskih instrumenata za premošćivanje financijskog jaza i osiguranje održive likvidnosti Grada uz definiranje prioriteta ulaganja u pripremu i provedbu EU projekata uz kontinuirano praćenje njihovog izvršenja i financijskog učinka na proračun Grada tijekom pripreme i provedbe te po provedbi u osiguranju održivosti rezultata projekta</w:t>
            </w:r>
          </w:p>
          <w:p w14:paraId="5BECDD59" w14:textId="77777777" w:rsidR="00072476" w:rsidRPr="00464CD3" w:rsidRDefault="00072476" w:rsidP="00165C16">
            <w:pPr>
              <w:numPr>
                <w:ilvl w:val="0"/>
                <w:numId w:val="1"/>
              </w:numPr>
              <w:tabs>
                <w:tab w:val="num" w:pos="314"/>
              </w:tabs>
              <w:spacing w:before="60" w:beforeAutospacing="1" w:after="60" w:afterAutospacing="1" w:line="240" w:lineRule="auto"/>
              <w:ind w:left="314" w:right="-2" w:hanging="314"/>
              <w:rPr>
                <w:rFonts w:eastAsia="Times New Roman" w:cs="Calibri"/>
                <w:sz w:val="18"/>
                <w:szCs w:val="18"/>
                <w:lang w:eastAsia="hr-HR"/>
              </w:rPr>
            </w:pPr>
            <w:r w:rsidRPr="00464CD3">
              <w:rPr>
                <w:rFonts w:eastAsia="Times New Roman" w:cs="Calibri"/>
                <w:sz w:val="18"/>
                <w:szCs w:val="18"/>
                <w:lang w:eastAsia="hr-HR"/>
              </w:rPr>
              <w:t>Kontinuirano jačati kapacitete i međusektorske timove angažirane na pripremi i provedbi EU projekata</w:t>
            </w:r>
          </w:p>
        </w:tc>
      </w:tr>
    </w:tbl>
    <w:p w14:paraId="49D8B09E" w14:textId="77777777" w:rsidR="00072476" w:rsidRDefault="00072476" w:rsidP="00072476">
      <w:pPr>
        <w:autoSpaceDE w:val="0"/>
        <w:autoSpaceDN w:val="0"/>
        <w:adjustRightInd w:val="0"/>
        <w:spacing w:after="200" w:line="276" w:lineRule="auto"/>
      </w:pPr>
      <w:bookmarkStart w:id="165" w:name="RANGE!A1:L46"/>
      <w:bookmarkEnd w:id="165"/>
    </w:p>
    <w:p w14:paraId="18FC6D80" w14:textId="03C8AD19" w:rsidR="00072476" w:rsidRPr="00191F9C" w:rsidRDefault="00072476" w:rsidP="003F2896">
      <w:pPr>
        <w:pStyle w:val="Stil2"/>
        <w:spacing w:before="0" w:after="0"/>
        <w:rPr>
          <w:lang w:bidi="hi-IN"/>
        </w:rPr>
      </w:pPr>
      <w:bookmarkStart w:id="166" w:name="_Toc97123871"/>
      <w:r w:rsidRPr="00191F9C">
        <w:rPr>
          <w:lang w:bidi="hi-IN"/>
        </w:rPr>
        <w:t xml:space="preserve">6.5.4. </w:t>
      </w:r>
      <w:r>
        <w:rPr>
          <w:lang w:bidi="hi-IN"/>
        </w:rPr>
        <w:t>S</w:t>
      </w:r>
      <w:r w:rsidRPr="00191F9C">
        <w:rPr>
          <w:lang w:bidi="hi-IN"/>
        </w:rPr>
        <w:t>trateške zone</w:t>
      </w:r>
      <w:bookmarkEnd w:id="166"/>
    </w:p>
    <w:p w14:paraId="270181A5" w14:textId="77777777" w:rsidR="00072476" w:rsidRPr="00191F9C" w:rsidRDefault="00072476" w:rsidP="003F2896">
      <w:pPr>
        <w:widowControl w:val="0"/>
        <w:autoSpaceDE w:val="0"/>
        <w:autoSpaceDN w:val="0"/>
        <w:adjustRightInd w:val="0"/>
        <w:spacing w:after="0" w:line="240" w:lineRule="auto"/>
        <w:ind w:right="1"/>
        <w:jc w:val="both"/>
        <w:rPr>
          <w:rFonts w:cs="Calibri"/>
        </w:rPr>
      </w:pPr>
      <w:r w:rsidRPr="00191F9C">
        <w:rPr>
          <w:rFonts w:cs="Calibri"/>
        </w:rPr>
        <w:t>S</w:t>
      </w:r>
      <w:r w:rsidRPr="00191F9C">
        <w:rPr>
          <w:rFonts w:cs="Calibri"/>
          <w:spacing w:val="-1"/>
        </w:rPr>
        <w:t xml:space="preserve"> </w:t>
      </w:r>
      <w:r w:rsidRPr="00191F9C">
        <w:rPr>
          <w:rFonts w:cs="Calibri"/>
        </w:rPr>
        <w:t>obzirom</w:t>
      </w:r>
      <w:r w:rsidRPr="00191F9C">
        <w:rPr>
          <w:rFonts w:cs="Calibri"/>
          <w:spacing w:val="-8"/>
        </w:rPr>
        <w:t xml:space="preserve"> </w:t>
      </w:r>
      <w:r w:rsidRPr="00191F9C">
        <w:rPr>
          <w:rFonts w:cs="Calibri"/>
        </w:rPr>
        <w:t>na</w:t>
      </w:r>
      <w:r w:rsidRPr="00191F9C">
        <w:rPr>
          <w:rFonts w:cs="Calibri"/>
          <w:spacing w:val="-2"/>
        </w:rPr>
        <w:t xml:space="preserve"> </w:t>
      </w:r>
      <w:r w:rsidRPr="00191F9C">
        <w:rPr>
          <w:rFonts w:cs="Calibri"/>
        </w:rPr>
        <w:t>specifi</w:t>
      </w:r>
      <w:r w:rsidRPr="00191F9C">
        <w:rPr>
          <w:rFonts w:cs="Calibri"/>
          <w:spacing w:val="1"/>
        </w:rPr>
        <w:t>č</w:t>
      </w:r>
      <w:r w:rsidRPr="00191F9C">
        <w:rPr>
          <w:rFonts w:cs="Calibri"/>
        </w:rPr>
        <w:t>n</w:t>
      </w:r>
      <w:r w:rsidRPr="00191F9C">
        <w:rPr>
          <w:rFonts w:cs="Calibri"/>
          <w:spacing w:val="-1"/>
        </w:rPr>
        <w:t>o</w:t>
      </w:r>
      <w:r w:rsidRPr="00191F9C">
        <w:rPr>
          <w:rFonts w:cs="Calibri"/>
        </w:rPr>
        <w:t>sti</w:t>
      </w:r>
      <w:r w:rsidRPr="00191F9C">
        <w:rPr>
          <w:rFonts w:cs="Calibri"/>
          <w:spacing w:val="-12"/>
        </w:rPr>
        <w:t xml:space="preserve"> </w:t>
      </w:r>
      <w:r w:rsidRPr="00191F9C">
        <w:rPr>
          <w:rFonts w:cs="Calibri"/>
        </w:rPr>
        <w:t>Grada</w:t>
      </w:r>
      <w:r w:rsidRPr="00191F9C">
        <w:rPr>
          <w:rFonts w:cs="Calibri"/>
          <w:spacing w:val="-6"/>
        </w:rPr>
        <w:t xml:space="preserve"> </w:t>
      </w:r>
      <w:r w:rsidRPr="00191F9C">
        <w:rPr>
          <w:rFonts w:cs="Calibri"/>
        </w:rPr>
        <w:t>Zagreba</w:t>
      </w:r>
      <w:r w:rsidRPr="00191F9C">
        <w:rPr>
          <w:rFonts w:cs="Calibri"/>
          <w:spacing w:val="-8"/>
        </w:rPr>
        <w:t xml:space="preserve"> </w:t>
      </w:r>
      <w:r w:rsidRPr="00191F9C">
        <w:rPr>
          <w:rFonts w:cs="Calibri"/>
        </w:rPr>
        <w:t>kao</w:t>
      </w:r>
      <w:r w:rsidRPr="00191F9C">
        <w:rPr>
          <w:rFonts w:cs="Calibri"/>
          <w:spacing w:val="-4"/>
        </w:rPr>
        <w:t xml:space="preserve"> </w:t>
      </w:r>
      <w:r w:rsidRPr="00191F9C">
        <w:rPr>
          <w:rFonts w:cs="Calibri"/>
          <w:spacing w:val="-1"/>
        </w:rPr>
        <w:t>a</w:t>
      </w:r>
      <w:r w:rsidRPr="00191F9C">
        <w:rPr>
          <w:rFonts w:cs="Calibri"/>
        </w:rPr>
        <w:t>dministrativno</w:t>
      </w:r>
      <w:r w:rsidRPr="00191F9C">
        <w:rPr>
          <w:rFonts w:cs="Calibri"/>
          <w:spacing w:val="-15"/>
        </w:rPr>
        <w:t xml:space="preserve"> </w:t>
      </w:r>
      <w:r w:rsidRPr="00191F9C">
        <w:rPr>
          <w:rFonts w:cs="Calibri"/>
        </w:rPr>
        <w:t>-</w:t>
      </w:r>
      <w:r w:rsidRPr="00191F9C">
        <w:rPr>
          <w:rFonts w:cs="Calibri"/>
          <w:spacing w:val="-1"/>
        </w:rPr>
        <w:t xml:space="preserve"> </w:t>
      </w:r>
      <w:r w:rsidRPr="00191F9C">
        <w:rPr>
          <w:rFonts w:cs="Calibri"/>
        </w:rPr>
        <w:t>teritorij</w:t>
      </w:r>
      <w:r w:rsidRPr="00191F9C">
        <w:rPr>
          <w:rFonts w:cs="Calibri"/>
          <w:spacing w:val="-1"/>
        </w:rPr>
        <w:t>a</w:t>
      </w:r>
      <w:r w:rsidRPr="00191F9C">
        <w:rPr>
          <w:rFonts w:cs="Calibri"/>
        </w:rPr>
        <w:t>lne</w:t>
      </w:r>
      <w:r w:rsidRPr="00191F9C">
        <w:rPr>
          <w:rFonts w:cs="Calibri"/>
          <w:spacing w:val="-11"/>
        </w:rPr>
        <w:t xml:space="preserve"> </w:t>
      </w:r>
      <w:r w:rsidRPr="00191F9C">
        <w:rPr>
          <w:rFonts w:cs="Calibri"/>
        </w:rPr>
        <w:t>jedinice</w:t>
      </w:r>
      <w:r w:rsidRPr="00191F9C">
        <w:rPr>
          <w:rFonts w:cs="Calibri"/>
          <w:spacing w:val="-8"/>
        </w:rPr>
        <w:t xml:space="preserve"> </w:t>
      </w:r>
      <w:r w:rsidRPr="00191F9C">
        <w:rPr>
          <w:rFonts w:cs="Calibri"/>
        </w:rPr>
        <w:t>statusa županije,</w:t>
      </w:r>
      <w:r w:rsidRPr="00191F9C">
        <w:rPr>
          <w:rFonts w:cs="Calibri"/>
          <w:spacing w:val="-10"/>
        </w:rPr>
        <w:t xml:space="preserve"> Razvojnom </w:t>
      </w:r>
      <w:r w:rsidRPr="00191F9C">
        <w:rPr>
          <w:rFonts w:cs="Calibri"/>
        </w:rPr>
        <w:t>st</w:t>
      </w:r>
      <w:r w:rsidRPr="00191F9C">
        <w:rPr>
          <w:rFonts w:cs="Calibri"/>
          <w:spacing w:val="-1"/>
        </w:rPr>
        <w:t>r</w:t>
      </w:r>
      <w:r w:rsidRPr="00191F9C">
        <w:rPr>
          <w:rFonts w:cs="Calibri"/>
        </w:rPr>
        <w:t>ategijom</w:t>
      </w:r>
      <w:r w:rsidRPr="00191F9C">
        <w:rPr>
          <w:rFonts w:cs="Calibri"/>
          <w:spacing w:val="-11"/>
        </w:rPr>
        <w:t xml:space="preserve"> </w:t>
      </w:r>
      <w:r w:rsidRPr="00191F9C">
        <w:rPr>
          <w:rFonts w:cs="Calibri"/>
        </w:rPr>
        <w:t>se</w:t>
      </w:r>
      <w:r w:rsidRPr="00191F9C">
        <w:rPr>
          <w:rFonts w:cs="Calibri"/>
          <w:spacing w:val="-3"/>
        </w:rPr>
        <w:t xml:space="preserve"> </w:t>
      </w:r>
      <w:r w:rsidRPr="00191F9C">
        <w:rPr>
          <w:rFonts w:cs="Calibri"/>
        </w:rPr>
        <w:t>zasebno</w:t>
      </w:r>
      <w:r w:rsidRPr="00191F9C">
        <w:rPr>
          <w:rFonts w:cs="Calibri"/>
          <w:spacing w:val="-8"/>
        </w:rPr>
        <w:t xml:space="preserve"> </w:t>
      </w:r>
      <w:r w:rsidRPr="00191F9C">
        <w:rPr>
          <w:rFonts w:cs="Calibri"/>
        </w:rPr>
        <w:t>ne</w:t>
      </w:r>
      <w:r w:rsidRPr="00191F9C">
        <w:rPr>
          <w:rFonts w:cs="Calibri"/>
          <w:spacing w:val="-3"/>
        </w:rPr>
        <w:t xml:space="preserve"> </w:t>
      </w:r>
      <w:r w:rsidRPr="00191F9C">
        <w:rPr>
          <w:rFonts w:cs="Calibri"/>
        </w:rPr>
        <w:t>ist</w:t>
      </w:r>
      <w:r w:rsidRPr="00191F9C">
        <w:rPr>
          <w:rFonts w:cs="Calibri"/>
          <w:spacing w:val="2"/>
        </w:rPr>
        <w:t>i</w:t>
      </w:r>
      <w:r w:rsidRPr="00191F9C">
        <w:rPr>
          <w:rFonts w:cs="Calibri"/>
          <w:spacing w:val="1"/>
        </w:rPr>
        <w:t>č</w:t>
      </w:r>
      <w:r w:rsidRPr="00191F9C">
        <w:rPr>
          <w:rFonts w:cs="Calibri"/>
        </w:rPr>
        <w:t>u</w:t>
      </w:r>
      <w:r w:rsidRPr="00191F9C">
        <w:rPr>
          <w:rFonts w:cs="Calibri"/>
          <w:spacing w:val="-5"/>
        </w:rPr>
        <w:t xml:space="preserve"> </w:t>
      </w:r>
      <w:r w:rsidRPr="00191F9C">
        <w:rPr>
          <w:rFonts w:cs="Calibri"/>
        </w:rPr>
        <w:t>p</w:t>
      </w:r>
      <w:r w:rsidRPr="00191F9C">
        <w:rPr>
          <w:rFonts w:cs="Calibri"/>
          <w:spacing w:val="-1"/>
        </w:rPr>
        <w:t>o</w:t>
      </w:r>
      <w:r w:rsidRPr="00191F9C">
        <w:rPr>
          <w:rFonts w:cs="Calibri"/>
        </w:rPr>
        <w:t>se</w:t>
      </w:r>
      <w:r w:rsidRPr="00191F9C">
        <w:rPr>
          <w:rFonts w:cs="Calibri"/>
          <w:spacing w:val="-1"/>
        </w:rPr>
        <w:t>b</w:t>
      </w:r>
      <w:r w:rsidRPr="00191F9C">
        <w:rPr>
          <w:rFonts w:cs="Calibri"/>
        </w:rPr>
        <w:t>na</w:t>
      </w:r>
      <w:r w:rsidRPr="00191F9C">
        <w:rPr>
          <w:rFonts w:cs="Calibri"/>
          <w:spacing w:val="-8"/>
        </w:rPr>
        <w:t xml:space="preserve"> </w:t>
      </w:r>
      <w:r w:rsidRPr="00191F9C">
        <w:rPr>
          <w:rFonts w:cs="Calibri"/>
        </w:rPr>
        <w:t>podru</w:t>
      </w:r>
      <w:r w:rsidRPr="00191F9C">
        <w:rPr>
          <w:rFonts w:cs="Calibri"/>
          <w:spacing w:val="1"/>
        </w:rPr>
        <w:t>č</w:t>
      </w:r>
      <w:r w:rsidRPr="00191F9C">
        <w:rPr>
          <w:rFonts w:cs="Calibri"/>
        </w:rPr>
        <w:t>j</w:t>
      </w:r>
      <w:r w:rsidRPr="00191F9C">
        <w:rPr>
          <w:rFonts w:cs="Calibri"/>
          <w:spacing w:val="-1"/>
        </w:rPr>
        <w:t xml:space="preserve">a </w:t>
      </w:r>
      <w:r w:rsidRPr="00191F9C">
        <w:rPr>
          <w:rFonts w:cs="Calibri"/>
        </w:rPr>
        <w:t>u</w:t>
      </w:r>
      <w:r w:rsidRPr="00191F9C">
        <w:rPr>
          <w:rFonts w:cs="Calibri"/>
          <w:spacing w:val="-10"/>
        </w:rPr>
        <w:t xml:space="preserve"> </w:t>
      </w:r>
      <w:r w:rsidRPr="00191F9C">
        <w:rPr>
          <w:rFonts w:cs="Calibri"/>
        </w:rPr>
        <w:t>smislu</w:t>
      </w:r>
      <w:r w:rsidRPr="00191F9C">
        <w:rPr>
          <w:rFonts w:cs="Calibri"/>
          <w:spacing w:val="-6"/>
        </w:rPr>
        <w:t xml:space="preserve"> </w:t>
      </w:r>
      <w:r w:rsidRPr="00191F9C">
        <w:rPr>
          <w:rFonts w:cs="Calibri"/>
        </w:rPr>
        <w:t>u</w:t>
      </w:r>
      <w:r w:rsidRPr="00191F9C">
        <w:rPr>
          <w:rFonts w:cs="Calibri"/>
          <w:spacing w:val="-1"/>
        </w:rPr>
        <w:t xml:space="preserve"> </w:t>
      </w:r>
      <w:r w:rsidRPr="00191F9C">
        <w:rPr>
          <w:rFonts w:cs="Calibri"/>
        </w:rPr>
        <w:t>kojem</w:t>
      </w:r>
      <w:r w:rsidRPr="00191F9C">
        <w:rPr>
          <w:rFonts w:cs="Calibri"/>
          <w:spacing w:val="-6"/>
        </w:rPr>
        <w:t xml:space="preserve"> </w:t>
      </w:r>
      <w:r w:rsidRPr="00191F9C">
        <w:rPr>
          <w:rFonts w:cs="Calibri"/>
        </w:rPr>
        <w:t>se</w:t>
      </w:r>
      <w:r w:rsidRPr="00191F9C">
        <w:rPr>
          <w:rFonts w:cs="Calibri"/>
          <w:spacing w:val="-2"/>
        </w:rPr>
        <w:t xml:space="preserve"> </w:t>
      </w:r>
      <w:r w:rsidRPr="00191F9C">
        <w:rPr>
          <w:rFonts w:cs="Calibri"/>
        </w:rPr>
        <w:t>ona</w:t>
      </w:r>
      <w:r w:rsidRPr="00191F9C">
        <w:rPr>
          <w:rFonts w:cs="Calibri"/>
          <w:spacing w:val="-4"/>
        </w:rPr>
        <w:t xml:space="preserve"> </w:t>
      </w:r>
      <w:r w:rsidRPr="00191F9C">
        <w:rPr>
          <w:rFonts w:cs="Calibri"/>
        </w:rPr>
        <w:t>javljaju u</w:t>
      </w:r>
      <w:r w:rsidRPr="00191F9C">
        <w:rPr>
          <w:rFonts w:cs="Calibri"/>
          <w:spacing w:val="-1"/>
        </w:rPr>
        <w:t xml:space="preserve"> </w:t>
      </w:r>
      <w:r w:rsidRPr="00191F9C">
        <w:rPr>
          <w:rFonts w:cs="Calibri"/>
        </w:rPr>
        <w:t>drugim</w:t>
      </w:r>
      <w:r w:rsidRPr="00191F9C">
        <w:rPr>
          <w:rFonts w:cs="Calibri"/>
          <w:spacing w:val="-7"/>
        </w:rPr>
        <w:t xml:space="preserve"> </w:t>
      </w:r>
      <w:r w:rsidRPr="00191F9C">
        <w:rPr>
          <w:rFonts w:cs="Calibri"/>
        </w:rPr>
        <w:t>hrvatskim</w:t>
      </w:r>
      <w:r w:rsidRPr="00191F9C">
        <w:rPr>
          <w:rFonts w:cs="Calibri"/>
          <w:spacing w:val="-9"/>
        </w:rPr>
        <w:t xml:space="preserve"> </w:t>
      </w:r>
      <w:r w:rsidRPr="00191F9C">
        <w:rPr>
          <w:rFonts w:cs="Calibri"/>
        </w:rPr>
        <w:t>žup</w:t>
      </w:r>
      <w:r w:rsidRPr="00191F9C">
        <w:rPr>
          <w:rFonts w:cs="Calibri"/>
          <w:spacing w:val="-1"/>
        </w:rPr>
        <w:t>a</w:t>
      </w:r>
      <w:r w:rsidRPr="00191F9C">
        <w:rPr>
          <w:rFonts w:cs="Calibri"/>
        </w:rPr>
        <w:t>nijama</w:t>
      </w:r>
      <w:r w:rsidRPr="00191F9C">
        <w:rPr>
          <w:rFonts w:cs="Calibri"/>
          <w:spacing w:val="-11"/>
        </w:rPr>
        <w:t xml:space="preserve"> </w:t>
      </w:r>
      <w:r w:rsidRPr="00191F9C">
        <w:rPr>
          <w:rFonts w:cs="Calibri"/>
        </w:rPr>
        <w:t>(npr.</w:t>
      </w:r>
      <w:r w:rsidRPr="00191F9C">
        <w:rPr>
          <w:rFonts w:cs="Calibri"/>
          <w:spacing w:val="-5"/>
        </w:rPr>
        <w:t xml:space="preserve"> </w:t>
      </w:r>
      <w:r w:rsidRPr="00191F9C">
        <w:rPr>
          <w:rFonts w:cs="Calibri"/>
        </w:rPr>
        <w:t>potpomognuta</w:t>
      </w:r>
      <w:r w:rsidRPr="00191F9C">
        <w:rPr>
          <w:rFonts w:cs="Calibri"/>
          <w:spacing w:val="-14"/>
        </w:rPr>
        <w:t xml:space="preserve"> </w:t>
      </w:r>
      <w:r w:rsidRPr="00191F9C">
        <w:rPr>
          <w:rFonts w:cs="Calibri"/>
        </w:rPr>
        <w:t>podr</w:t>
      </w:r>
      <w:r w:rsidRPr="00191F9C">
        <w:rPr>
          <w:rFonts w:cs="Calibri"/>
          <w:spacing w:val="2"/>
        </w:rPr>
        <w:t>u</w:t>
      </w:r>
      <w:r w:rsidRPr="00191F9C">
        <w:rPr>
          <w:rFonts w:cs="Calibri"/>
          <w:spacing w:val="1"/>
        </w:rPr>
        <w:t>č</w:t>
      </w:r>
      <w:r w:rsidRPr="00191F9C">
        <w:rPr>
          <w:rFonts w:cs="Calibri"/>
        </w:rPr>
        <w:t>ja,</w:t>
      </w:r>
      <w:r w:rsidRPr="00191F9C">
        <w:rPr>
          <w:rFonts w:cs="Calibri"/>
          <w:spacing w:val="-10"/>
        </w:rPr>
        <w:t xml:space="preserve"> </w:t>
      </w:r>
      <w:r w:rsidRPr="00191F9C">
        <w:rPr>
          <w:rFonts w:cs="Calibri"/>
        </w:rPr>
        <w:t>otoci,</w:t>
      </w:r>
      <w:r w:rsidRPr="00191F9C">
        <w:rPr>
          <w:rFonts w:cs="Calibri"/>
          <w:spacing w:val="-5"/>
        </w:rPr>
        <w:t xml:space="preserve"> </w:t>
      </w:r>
      <w:r w:rsidRPr="00191F9C">
        <w:rPr>
          <w:rFonts w:cs="Calibri"/>
        </w:rPr>
        <w:t>ruralna i urbana područja, g</w:t>
      </w:r>
      <w:r w:rsidRPr="00191F9C">
        <w:rPr>
          <w:rFonts w:cs="Calibri"/>
          <w:spacing w:val="-1"/>
        </w:rPr>
        <w:t>r</w:t>
      </w:r>
      <w:r w:rsidRPr="00191F9C">
        <w:rPr>
          <w:rFonts w:cs="Calibri"/>
        </w:rPr>
        <w:t>ani</w:t>
      </w:r>
      <w:r w:rsidRPr="00191F9C">
        <w:rPr>
          <w:rFonts w:cs="Calibri"/>
          <w:spacing w:val="1"/>
        </w:rPr>
        <w:t>č</w:t>
      </w:r>
      <w:r w:rsidRPr="00191F9C">
        <w:rPr>
          <w:rFonts w:cs="Calibri"/>
        </w:rPr>
        <w:t>na</w:t>
      </w:r>
      <w:r w:rsidRPr="00191F9C">
        <w:rPr>
          <w:rFonts w:cs="Calibri"/>
          <w:spacing w:val="-8"/>
        </w:rPr>
        <w:t xml:space="preserve"> </w:t>
      </w:r>
      <w:r w:rsidRPr="00191F9C">
        <w:rPr>
          <w:rFonts w:cs="Calibri"/>
        </w:rPr>
        <w:t>pod</w:t>
      </w:r>
      <w:r w:rsidRPr="00191F9C">
        <w:rPr>
          <w:rFonts w:cs="Calibri"/>
          <w:spacing w:val="-1"/>
        </w:rPr>
        <w:t>r</w:t>
      </w:r>
      <w:r w:rsidRPr="00191F9C">
        <w:rPr>
          <w:rFonts w:cs="Calibri"/>
        </w:rPr>
        <w:t>u</w:t>
      </w:r>
      <w:r w:rsidRPr="00191F9C">
        <w:rPr>
          <w:rFonts w:cs="Calibri"/>
          <w:spacing w:val="1"/>
        </w:rPr>
        <w:t>č</w:t>
      </w:r>
      <w:r w:rsidRPr="00191F9C">
        <w:rPr>
          <w:rFonts w:cs="Calibri"/>
        </w:rPr>
        <w:t>ja</w:t>
      </w:r>
      <w:r w:rsidRPr="00191F9C">
        <w:rPr>
          <w:rFonts w:cs="Calibri"/>
          <w:spacing w:val="-8"/>
        </w:rPr>
        <w:t xml:space="preserve"> </w:t>
      </w:r>
      <w:r w:rsidRPr="00191F9C">
        <w:rPr>
          <w:rFonts w:cs="Calibri"/>
        </w:rPr>
        <w:t>i drugo,</w:t>
      </w:r>
      <w:r w:rsidRPr="00191F9C">
        <w:rPr>
          <w:rFonts w:cs="Calibri"/>
          <w:spacing w:val="-7"/>
        </w:rPr>
        <w:t xml:space="preserve"> </w:t>
      </w:r>
      <w:r w:rsidRPr="00191F9C">
        <w:rPr>
          <w:rFonts w:cs="Calibri"/>
        </w:rPr>
        <w:t>ovisno</w:t>
      </w:r>
      <w:r w:rsidRPr="00191F9C">
        <w:rPr>
          <w:rFonts w:cs="Calibri"/>
          <w:spacing w:val="-6"/>
        </w:rPr>
        <w:t xml:space="preserve"> </w:t>
      </w:r>
      <w:r w:rsidRPr="00191F9C">
        <w:rPr>
          <w:rFonts w:cs="Calibri"/>
        </w:rPr>
        <w:t>o</w:t>
      </w:r>
      <w:r w:rsidRPr="00191F9C">
        <w:rPr>
          <w:rFonts w:cs="Calibri"/>
          <w:spacing w:val="-1"/>
        </w:rPr>
        <w:t xml:space="preserve"> </w:t>
      </w:r>
      <w:r w:rsidRPr="00191F9C">
        <w:rPr>
          <w:rFonts w:cs="Calibri"/>
        </w:rPr>
        <w:t>posebnostima</w:t>
      </w:r>
      <w:r w:rsidRPr="00191F9C">
        <w:rPr>
          <w:rFonts w:cs="Calibri"/>
          <w:spacing w:val="-15"/>
        </w:rPr>
        <w:t xml:space="preserve"> </w:t>
      </w:r>
      <w:r w:rsidRPr="00191F9C">
        <w:rPr>
          <w:rFonts w:cs="Calibri"/>
        </w:rPr>
        <w:t>županije).</w:t>
      </w:r>
      <w:r w:rsidRPr="00191F9C">
        <w:rPr>
          <w:rFonts w:cs="Calibri"/>
          <w:spacing w:val="-10"/>
        </w:rPr>
        <w:t xml:space="preserve"> </w:t>
      </w:r>
      <w:r w:rsidRPr="00191F9C">
        <w:rPr>
          <w:rFonts w:cs="Calibri"/>
          <w:spacing w:val="-1"/>
        </w:rPr>
        <w:t>P</w:t>
      </w:r>
      <w:r w:rsidRPr="00191F9C">
        <w:rPr>
          <w:rFonts w:cs="Calibri"/>
        </w:rPr>
        <w:t>odr</w:t>
      </w:r>
      <w:r w:rsidRPr="00191F9C">
        <w:rPr>
          <w:rFonts w:cs="Calibri"/>
          <w:spacing w:val="1"/>
        </w:rPr>
        <w:t>uč</w:t>
      </w:r>
      <w:r w:rsidRPr="00191F9C">
        <w:rPr>
          <w:rFonts w:cs="Calibri"/>
        </w:rPr>
        <w:t>ja</w:t>
      </w:r>
      <w:r w:rsidRPr="00191F9C">
        <w:rPr>
          <w:rFonts w:cs="Calibri"/>
          <w:spacing w:val="-9"/>
        </w:rPr>
        <w:t xml:space="preserve"> </w:t>
      </w:r>
      <w:r w:rsidRPr="00191F9C">
        <w:rPr>
          <w:rFonts w:cs="Calibri"/>
        </w:rPr>
        <w:t>s</w:t>
      </w:r>
      <w:r w:rsidRPr="00191F9C">
        <w:rPr>
          <w:rFonts w:cs="Calibri"/>
          <w:spacing w:val="-1"/>
        </w:rPr>
        <w:t xml:space="preserve"> </w:t>
      </w:r>
      <w:r w:rsidRPr="00191F9C">
        <w:rPr>
          <w:rFonts w:cs="Calibri"/>
        </w:rPr>
        <w:t>at</w:t>
      </w:r>
      <w:r w:rsidRPr="00191F9C">
        <w:rPr>
          <w:rFonts w:cs="Calibri"/>
          <w:spacing w:val="-1"/>
        </w:rPr>
        <w:t>r</w:t>
      </w:r>
      <w:r w:rsidRPr="00191F9C">
        <w:rPr>
          <w:rFonts w:cs="Calibri"/>
        </w:rPr>
        <w:t>ibutima posebnosti,</w:t>
      </w:r>
      <w:r w:rsidRPr="00191F9C">
        <w:rPr>
          <w:rFonts w:cs="Calibri"/>
          <w:spacing w:val="-12"/>
        </w:rPr>
        <w:t xml:space="preserve"> </w:t>
      </w:r>
      <w:r w:rsidRPr="00191F9C">
        <w:rPr>
          <w:rFonts w:cs="Calibri"/>
        </w:rPr>
        <w:t>za</w:t>
      </w:r>
      <w:r w:rsidRPr="00191F9C">
        <w:rPr>
          <w:rFonts w:cs="Calibri"/>
          <w:spacing w:val="-2"/>
        </w:rPr>
        <w:t xml:space="preserve"> </w:t>
      </w:r>
      <w:r w:rsidRPr="00191F9C">
        <w:rPr>
          <w:rFonts w:cs="Calibri"/>
        </w:rPr>
        <w:t>koje</w:t>
      </w:r>
      <w:r w:rsidRPr="00191F9C">
        <w:rPr>
          <w:rFonts w:cs="Calibri"/>
          <w:spacing w:val="-5"/>
        </w:rPr>
        <w:t xml:space="preserve"> </w:t>
      </w:r>
      <w:r w:rsidRPr="00191F9C">
        <w:rPr>
          <w:rFonts w:cs="Calibri"/>
        </w:rPr>
        <w:t>se</w:t>
      </w:r>
      <w:r w:rsidRPr="00191F9C">
        <w:rPr>
          <w:rFonts w:cs="Calibri"/>
          <w:spacing w:val="-3"/>
        </w:rPr>
        <w:t xml:space="preserve"> </w:t>
      </w:r>
      <w:r w:rsidRPr="00191F9C">
        <w:rPr>
          <w:rFonts w:cs="Calibri"/>
        </w:rPr>
        <w:t>mjerama</w:t>
      </w:r>
      <w:r w:rsidRPr="00191F9C">
        <w:rPr>
          <w:rFonts w:cs="Calibri"/>
          <w:spacing w:val="-9"/>
        </w:rPr>
        <w:t xml:space="preserve"> </w:t>
      </w:r>
      <w:r w:rsidRPr="00191F9C">
        <w:rPr>
          <w:rFonts w:cs="Calibri"/>
        </w:rPr>
        <w:t>u</w:t>
      </w:r>
      <w:r w:rsidRPr="00191F9C">
        <w:rPr>
          <w:rFonts w:cs="Calibri"/>
          <w:spacing w:val="1"/>
        </w:rPr>
        <w:t>t</w:t>
      </w:r>
      <w:r w:rsidRPr="00191F9C">
        <w:rPr>
          <w:rFonts w:cs="Calibri"/>
        </w:rPr>
        <w:t>v</w:t>
      </w:r>
      <w:r w:rsidRPr="00191F9C">
        <w:rPr>
          <w:rFonts w:cs="Calibri"/>
          <w:spacing w:val="1"/>
        </w:rPr>
        <w:t>r</w:t>
      </w:r>
      <w:r w:rsidRPr="00191F9C">
        <w:rPr>
          <w:rFonts w:cs="Calibri"/>
        </w:rPr>
        <w:t>đuje</w:t>
      </w:r>
      <w:r w:rsidRPr="00191F9C">
        <w:rPr>
          <w:rFonts w:cs="Calibri"/>
          <w:spacing w:val="-8"/>
        </w:rPr>
        <w:t xml:space="preserve"> </w:t>
      </w:r>
      <w:r w:rsidRPr="00191F9C">
        <w:rPr>
          <w:rFonts w:cs="Calibri"/>
        </w:rPr>
        <w:t>pose</w:t>
      </w:r>
      <w:r w:rsidRPr="00191F9C">
        <w:rPr>
          <w:rFonts w:cs="Calibri"/>
          <w:spacing w:val="-1"/>
        </w:rPr>
        <w:t>b</w:t>
      </w:r>
      <w:r w:rsidRPr="00191F9C">
        <w:rPr>
          <w:rFonts w:cs="Calibri"/>
        </w:rPr>
        <w:t>an</w:t>
      </w:r>
      <w:r w:rsidRPr="00191F9C">
        <w:rPr>
          <w:rFonts w:cs="Calibri"/>
          <w:spacing w:val="-8"/>
        </w:rPr>
        <w:t xml:space="preserve"> </w:t>
      </w:r>
      <w:r w:rsidRPr="00191F9C">
        <w:rPr>
          <w:rFonts w:cs="Calibri"/>
        </w:rPr>
        <w:t>sklop</w:t>
      </w:r>
      <w:r w:rsidRPr="00191F9C">
        <w:rPr>
          <w:rFonts w:cs="Calibri"/>
          <w:spacing w:val="-5"/>
        </w:rPr>
        <w:t xml:space="preserve"> </w:t>
      </w:r>
      <w:r w:rsidRPr="00191F9C">
        <w:rPr>
          <w:rFonts w:cs="Calibri"/>
          <w:spacing w:val="-1"/>
        </w:rPr>
        <w:t>p</w:t>
      </w:r>
      <w:r w:rsidRPr="00191F9C">
        <w:rPr>
          <w:rFonts w:cs="Calibri"/>
        </w:rPr>
        <w:t>l</w:t>
      </w:r>
      <w:r w:rsidRPr="00191F9C">
        <w:rPr>
          <w:rFonts w:cs="Calibri"/>
          <w:spacing w:val="-1"/>
        </w:rPr>
        <w:t>a</w:t>
      </w:r>
      <w:r w:rsidRPr="00191F9C">
        <w:rPr>
          <w:rFonts w:cs="Calibri"/>
        </w:rPr>
        <w:t>niranih</w:t>
      </w:r>
      <w:r w:rsidRPr="00191F9C">
        <w:rPr>
          <w:rFonts w:cs="Calibri"/>
          <w:spacing w:val="-10"/>
        </w:rPr>
        <w:t xml:space="preserve"> </w:t>
      </w:r>
      <w:r w:rsidRPr="00191F9C">
        <w:rPr>
          <w:rFonts w:cs="Calibri"/>
        </w:rPr>
        <w:t>prioritetnih</w:t>
      </w:r>
      <w:r w:rsidRPr="00191F9C">
        <w:rPr>
          <w:rFonts w:cs="Calibri"/>
          <w:spacing w:val="-10"/>
        </w:rPr>
        <w:t xml:space="preserve"> </w:t>
      </w:r>
      <w:r w:rsidRPr="00191F9C">
        <w:rPr>
          <w:rFonts w:cs="Calibri"/>
        </w:rPr>
        <w:t>aktiv</w:t>
      </w:r>
      <w:r w:rsidRPr="00191F9C">
        <w:rPr>
          <w:rFonts w:cs="Calibri"/>
          <w:spacing w:val="-1"/>
        </w:rPr>
        <w:t>n</w:t>
      </w:r>
      <w:r w:rsidRPr="00191F9C">
        <w:rPr>
          <w:rFonts w:cs="Calibri"/>
        </w:rPr>
        <w:t>osti jesu</w:t>
      </w:r>
      <w:r w:rsidRPr="00191F9C">
        <w:rPr>
          <w:rFonts w:cs="Calibri"/>
          <w:spacing w:val="-4"/>
        </w:rPr>
        <w:t xml:space="preserve"> </w:t>
      </w:r>
      <w:r w:rsidRPr="00191F9C">
        <w:rPr>
          <w:rFonts w:cs="Calibri"/>
        </w:rPr>
        <w:t>Donji</w:t>
      </w:r>
      <w:r w:rsidRPr="00191F9C">
        <w:rPr>
          <w:rFonts w:cs="Calibri"/>
          <w:spacing w:val="-5"/>
        </w:rPr>
        <w:t xml:space="preserve"> </w:t>
      </w:r>
      <w:r w:rsidRPr="00191F9C">
        <w:rPr>
          <w:rFonts w:cs="Calibri"/>
        </w:rPr>
        <w:t>g</w:t>
      </w:r>
      <w:r w:rsidRPr="00191F9C">
        <w:rPr>
          <w:rFonts w:cs="Calibri"/>
          <w:spacing w:val="-1"/>
        </w:rPr>
        <w:t>r</w:t>
      </w:r>
      <w:r w:rsidRPr="00191F9C">
        <w:rPr>
          <w:rFonts w:cs="Calibri"/>
        </w:rPr>
        <w:t>ad,</w:t>
      </w:r>
      <w:r w:rsidRPr="00191F9C">
        <w:rPr>
          <w:rFonts w:cs="Calibri"/>
          <w:spacing w:val="-5"/>
        </w:rPr>
        <w:t xml:space="preserve"> </w:t>
      </w:r>
      <w:r w:rsidRPr="00191F9C">
        <w:rPr>
          <w:rFonts w:cs="Calibri"/>
        </w:rPr>
        <w:t>Medve</w:t>
      </w:r>
      <w:r w:rsidRPr="00191F9C">
        <w:rPr>
          <w:rFonts w:cs="Calibri"/>
          <w:spacing w:val="1"/>
        </w:rPr>
        <w:t>d</w:t>
      </w:r>
      <w:r w:rsidRPr="00191F9C">
        <w:rPr>
          <w:rFonts w:cs="Calibri"/>
        </w:rPr>
        <w:t>nica</w:t>
      </w:r>
      <w:r w:rsidRPr="00191F9C">
        <w:rPr>
          <w:rFonts w:cs="Calibri"/>
          <w:spacing w:val="-12"/>
        </w:rPr>
        <w:t xml:space="preserve"> </w:t>
      </w:r>
      <w:r w:rsidRPr="00191F9C">
        <w:rPr>
          <w:rFonts w:cs="Calibri"/>
        </w:rPr>
        <w:t>i Sava,</w:t>
      </w:r>
      <w:r w:rsidRPr="00191F9C">
        <w:rPr>
          <w:rFonts w:cs="Calibri"/>
          <w:spacing w:val="-6"/>
        </w:rPr>
        <w:t xml:space="preserve"> </w:t>
      </w:r>
      <w:r w:rsidRPr="00191F9C">
        <w:rPr>
          <w:rFonts w:cs="Calibri"/>
        </w:rPr>
        <w:t>te</w:t>
      </w:r>
      <w:r w:rsidRPr="00191F9C">
        <w:rPr>
          <w:rFonts w:cs="Calibri"/>
          <w:spacing w:val="-2"/>
        </w:rPr>
        <w:t xml:space="preserve"> </w:t>
      </w:r>
      <w:r w:rsidRPr="00191F9C">
        <w:rPr>
          <w:rFonts w:cs="Calibri"/>
        </w:rPr>
        <w:t>ruralni</w:t>
      </w:r>
      <w:r w:rsidRPr="00191F9C">
        <w:rPr>
          <w:rFonts w:cs="Calibri"/>
          <w:spacing w:val="-6"/>
        </w:rPr>
        <w:t xml:space="preserve"> </w:t>
      </w:r>
      <w:r w:rsidRPr="00191F9C">
        <w:rPr>
          <w:rFonts w:cs="Calibri"/>
        </w:rPr>
        <w:t>p</w:t>
      </w:r>
      <w:r w:rsidRPr="00191F9C">
        <w:rPr>
          <w:rFonts w:cs="Calibri"/>
          <w:spacing w:val="-1"/>
        </w:rPr>
        <w:t>r</w:t>
      </w:r>
      <w:r w:rsidRPr="00191F9C">
        <w:rPr>
          <w:rFonts w:cs="Calibri"/>
        </w:rPr>
        <w:t>ostor</w:t>
      </w:r>
      <w:r w:rsidRPr="00191F9C">
        <w:rPr>
          <w:rFonts w:cs="Calibri"/>
          <w:spacing w:val="-7"/>
        </w:rPr>
        <w:t xml:space="preserve"> </w:t>
      </w:r>
      <w:r w:rsidRPr="00191F9C">
        <w:rPr>
          <w:rFonts w:cs="Calibri"/>
        </w:rPr>
        <w:t>Grada</w:t>
      </w:r>
      <w:r w:rsidRPr="00191F9C">
        <w:rPr>
          <w:rFonts w:cs="Calibri"/>
          <w:spacing w:val="-6"/>
        </w:rPr>
        <w:t xml:space="preserve"> </w:t>
      </w:r>
      <w:r w:rsidRPr="00191F9C">
        <w:rPr>
          <w:rFonts w:cs="Calibri"/>
        </w:rPr>
        <w:t>Zagreba.</w:t>
      </w:r>
      <w:r w:rsidRPr="00191F9C">
        <w:rPr>
          <w:rFonts w:cs="Calibri"/>
          <w:spacing w:val="-9"/>
        </w:rPr>
        <w:t xml:space="preserve"> </w:t>
      </w:r>
      <w:r w:rsidRPr="00191F9C">
        <w:rPr>
          <w:rFonts w:cs="Calibri"/>
        </w:rPr>
        <w:t>Ona</w:t>
      </w:r>
      <w:r w:rsidRPr="00191F9C">
        <w:rPr>
          <w:rFonts w:cs="Calibri"/>
          <w:spacing w:val="-4"/>
        </w:rPr>
        <w:t xml:space="preserve"> </w:t>
      </w:r>
      <w:r w:rsidRPr="00191F9C">
        <w:rPr>
          <w:rFonts w:cs="Calibri"/>
        </w:rPr>
        <w:t>nisu</w:t>
      </w:r>
      <w:r w:rsidRPr="00191F9C">
        <w:rPr>
          <w:rFonts w:cs="Calibri"/>
          <w:spacing w:val="-4"/>
        </w:rPr>
        <w:t xml:space="preserve"> </w:t>
      </w:r>
      <w:r w:rsidRPr="00191F9C">
        <w:rPr>
          <w:rFonts w:cs="Calibri"/>
        </w:rPr>
        <w:t>izdvojena kao</w:t>
      </w:r>
      <w:r w:rsidRPr="00191F9C">
        <w:rPr>
          <w:rFonts w:cs="Calibri"/>
          <w:spacing w:val="-4"/>
        </w:rPr>
        <w:t xml:space="preserve"> </w:t>
      </w:r>
      <w:r w:rsidRPr="00191F9C">
        <w:rPr>
          <w:rFonts w:cs="Calibri"/>
        </w:rPr>
        <w:t>poseb</w:t>
      </w:r>
      <w:r w:rsidRPr="00191F9C">
        <w:rPr>
          <w:rFonts w:cs="Calibri"/>
          <w:spacing w:val="-1"/>
        </w:rPr>
        <w:t>n</w:t>
      </w:r>
      <w:r w:rsidRPr="00191F9C">
        <w:rPr>
          <w:rFonts w:cs="Calibri"/>
        </w:rPr>
        <w:t>a</w:t>
      </w:r>
      <w:r w:rsidRPr="00191F9C">
        <w:rPr>
          <w:rFonts w:cs="Calibri"/>
          <w:spacing w:val="-8"/>
        </w:rPr>
        <w:t xml:space="preserve"> </w:t>
      </w:r>
      <w:r w:rsidRPr="00191F9C">
        <w:rPr>
          <w:rFonts w:cs="Calibri"/>
        </w:rPr>
        <w:t>podr</w:t>
      </w:r>
      <w:r w:rsidRPr="00191F9C">
        <w:rPr>
          <w:rFonts w:cs="Calibri"/>
          <w:spacing w:val="1"/>
        </w:rPr>
        <w:t>uč</w:t>
      </w:r>
      <w:r w:rsidRPr="00191F9C">
        <w:rPr>
          <w:rFonts w:cs="Calibri"/>
        </w:rPr>
        <w:t>ja</w:t>
      </w:r>
      <w:r w:rsidRPr="00191F9C">
        <w:rPr>
          <w:rFonts w:cs="Calibri"/>
          <w:spacing w:val="-8"/>
        </w:rPr>
        <w:t xml:space="preserve"> </w:t>
      </w:r>
      <w:r w:rsidRPr="00191F9C">
        <w:rPr>
          <w:rFonts w:cs="Calibri"/>
          <w:spacing w:val="-1"/>
        </w:rPr>
        <w:t>u</w:t>
      </w:r>
      <w:r w:rsidRPr="00191F9C">
        <w:rPr>
          <w:rFonts w:cs="Calibri"/>
        </w:rPr>
        <w:t>pravo</w:t>
      </w:r>
      <w:r w:rsidRPr="00191F9C">
        <w:rPr>
          <w:rFonts w:cs="Calibri"/>
          <w:spacing w:val="-7"/>
        </w:rPr>
        <w:t xml:space="preserve"> </w:t>
      </w:r>
      <w:r w:rsidRPr="00191F9C">
        <w:rPr>
          <w:rFonts w:cs="Calibri"/>
        </w:rPr>
        <w:t>zbog</w:t>
      </w:r>
      <w:r w:rsidRPr="00191F9C">
        <w:rPr>
          <w:rFonts w:cs="Calibri"/>
          <w:spacing w:val="-5"/>
        </w:rPr>
        <w:t xml:space="preserve"> </w:t>
      </w:r>
      <w:r w:rsidRPr="00191F9C">
        <w:rPr>
          <w:rFonts w:cs="Calibri"/>
        </w:rPr>
        <w:t>njihove</w:t>
      </w:r>
      <w:r w:rsidRPr="00191F9C">
        <w:rPr>
          <w:rFonts w:cs="Calibri"/>
          <w:spacing w:val="-7"/>
        </w:rPr>
        <w:t xml:space="preserve"> </w:t>
      </w:r>
      <w:r w:rsidRPr="00191F9C">
        <w:rPr>
          <w:rFonts w:cs="Calibri"/>
        </w:rPr>
        <w:t>int</w:t>
      </w:r>
      <w:r w:rsidRPr="00191F9C">
        <w:rPr>
          <w:rFonts w:cs="Calibri"/>
          <w:spacing w:val="-1"/>
        </w:rPr>
        <w:t>e</w:t>
      </w:r>
      <w:r w:rsidRPr="00191F9C">
        <w:rPr>
          <w:rFonts w:cs="Calibri"/>
        </w:rPr>
        <w:t>griranosti</w:t>
      </w:r>
      <w:r w:rsidRPr="00191F9C">
        <w:rPr>
          <w:rFonts w:cs="Calibri"/>
          <w:spacing w:val="-13"/>
        </w:rPr>
        <w:t xml:space="preserve"> </w:t>
      </w:r>
      <w:r w:rsidRPr="00191F9C">
        <w:rPr>
          <w:rFonts w:cs="Calibri"/>
        </w:rPr>
        <w:t>u</w:t>
      </w:r>
      <w:r w:rsidRPr="00191F9C">
        <w:rPr>
          <w:rFonts w:cs="Calibri"/>
          <w:spacing w:val="-2"/>
        </w:rPr>
        <w:t xml:space="preserve"> </w:t>
      </w:r>
      <w:r w:rsidRPr="00191F9C">
        <w:rPr>
          <w:rFonts w:cs="Calibri"/>
        </w:rPr>
        <w:t>ukupan</w:t>
      </w:r>
      <w:r w:rsidRPr="00191F9C">
        <w:rPr>
          <w:rFonts w:cs="Calibri"/>
          <w:spacing w:val="-7"/>
        </w:rPr>
        <w:t xml:space="preserve"> </w:t>
      </w:r>
      <w:r w:rsidRPr="00191F9C">
        <w:rPr>
          <w:rFonts w:cs="Calibri"/>
        </w:rPr>
        <w:t>prostor</w:t>
      </w:r>
      <w:r w:rsidRPr="00191F9C">
        <w:rPr>
          <w:rFonts w:cs="Calibri"/>
          <w:spacing w:val="-7"/>
        </w:rPr>
        <w:t xml:space="preserve"> </w:t>
      </w:r>
      <w:r w:rsidRPr="00191F9C">
        <w:rPr>
          <w:rFonts w:cs="Calibri"/>
        </w:rPr>
        <w:t>Grada</w:t>
      </w:r>
      <w:r w:rsidRPr="00191F9C">
        <w:rPr>
          <w:rFonts w:cs="Calibri"/>
          <w:spacing w:val="-6"/>
        </w:rPr>
        <w:t xml:space="preserve"> </w:t>
      </w:r>
      <w:r w:rsidRPr="00191F9C">
        <w:rPr>
          <w:rFonts w:cs="Calibri"/>
        </w:rPr>
        <w:t>i sudjelovanja</w:t>
      </w:r>
      <w:r w:rsidRPr="00191F9C">
        <w:rPr>
          <w:rFonts w:cs="Calibri"/>
          <w:spacing w:val="-13"/>
        </w:rPr>
        <w:t xml:space="preserve"> </w:t>
      </w:r>
      <w:r w:rsidRPr="00191F9C">
        <w:rPr>
          <w:rFonts w:cs="Calibri"/>
        </w:rPr>
        <w:t>u</w:t>
      </w:r>
      <w:r w:rsidRPr="00191F9C">
        <w:rPr>
          <w:rFonts w:cs="Calibri"/>
          <w:spacing w:val="-1"/>
        </w:rPr>
        <w:t xml:space="preserve"> </w:t>
      </w:r>
      <w:r w:rsidRPr="00191F9C">
        <w:rPr>
          <w:rFonts w:cs="Calibri"/>
        </w:rPr>
        <w:t>formiranju</w:t>
      </w:r>
      <w:r w:rsidRPr="00191F9C">
        <w:rPr>
          <w:rFonts w:cs="Calibri"/>
          <w:spacing w:val="-10"/>
        </w:rPr>
        <w:t xml:space="preserve"> </w:t>
      </w:r>
      <w:r w:rsidRPr="00191F9C">
        <w:rPr>
          <w:rFonts w:cs="Calibri"/>
        </w:rPr>
        <w:t>njegova</w:t>
      </w:r>
      <w:r w:rsidRPr="00191F9C">
        <w:rPr>
          <w:rFonts w:cs="Calibri"/>
          <w:spacing w:val="-8"/>
        </w:rPr>
        <w:t xml:space="preserve"> </w:t>
      </w:r>
      <w:r w:rsidRPr="00191F9C">
        <w:rPr>
          <w:rFonts w:cs="Calibri"/>
        </w:rPr>
        <w:t>identiteta. Ove strateške zone zahtijevaju integrirani pristup u aktivnostima, programima i projektima usmjerenima ka revitalizaciji i aktiviranju razvojnih potencijala.</w:t>
      </w:r>
    </w:p>
    <w:p w14:paraId="7FD76EFB" w14:textId="77777777" w:rsidR="00072476" w:rsidRPr="00191F9C" w:rsidRDefault="00072476" w:rsidP="00465B26">
      <w:pPr>
        <w:widowControl w:val="0"/>
        <w:autoSpaceDE w:val="0"/>
        <w:autoSpaceDN w:val="0"/>
        <w:adjustRightInd w:val="0"/>
        <w:spacing w:before="31" w:after="200" w:line="240" w:lineRule="auto"/>
        <w:ind w:right="1"/>
        <w:jc w:val="both"/>
        <w:rPr>
          <w:rFonts w:cs="Calibri"/>
          <w:highlight w:val="yellow"/>
        </w:rPr>
      </w:pPr>
      <w:r w:rsidRPr="00191F9C">
        <w:rPr>
          <w:rFonts w:cs="Calibri"/>
          <w:b/>
          <w:bCs/>
        </w:rPr>
        <w:t>Donji</w:t>
      </w:r>
      <w:r w:rsidRPr="00191F9C">
        <w:rPr>
          <w:rFonts w:cs="Calibri"/>
          <w:b/>
          <w:bCs/>
          <w:spacing w:val="6"/>
        </w:rPr>
        <w:t xml:space="preserve"> </w:t>
      </w:r>
      <w:r w:rsidRPr="00191F9C">
        <w:rPr>
          <w:rFonts w:cs="Calibri"/>
          <w:b/>
          <w:bCs/>
        </w:rPr>
        <w:t>grad.</w:t>
      </w:r>
      <w:r w:rsidRPr="00191F9C">
        <w:rPr>
          <w:rFonts w:cs="Calibri"/>
          <w:bCs/>
        </w:rPr>
        <w:t xml:space="preserve"> Demografska kretanja koja pokazuju da središnji dio grada doživljava pad broja stanovnika, dok se porast odvija u sesvetskom području i naseljima oko gradske zaobilaznice, upućuju na to da je posebnu pažnju potrebno posvetiti urbanoj i demografskoj obnovi središta grada. Obnova povijesne jezgre, posebice blokovske strukture Donjega grada, od posebnog je značenja za identitet Grada i za uravnoteženi proces urbanog rasta. Donji grad nužno treba redefiniciju vlastitog identiteta i namjene te potrebnu zaštitu i obnovu graditeljskog nasljeđa.</w:t>
      </w:r>
    </w:p>
    <w:p w14:paraId="06C97D70" w14:textId="77777777" w:rsidR="00072476" w:rsidRDefault="00072476" w:rsidP="00465B26">
      <w:pPr>
        <w:widowControl w:val="0"/>
        <w:autoSpaceDE w:val="0"/>
        <w:autoSpaceDN w:val="0"/>
        <w:adjustRightInd w:val="0"/>
        <w:spacing w:after="200" w:line="240" w:lineRule="auto"/>
        <w:ind w:right="1"/>
        <w:jc w:val="both"/>
        <w:rPr>
          <w:rFonts w:cs="Calibri"/>
          <w:bCs/>
        </w:rPr>
      </w:pPr>
      <w:r w:rsidRPr="00191F9C">
        <w:rPr>
          <w:rFonts w:cs="Calibri"/>
          <w:bCs/>
        </w:rPr>
        <w:t>Najizraženiji problemi Donjega grada su: propadanje korištenja i pročelja gradskih poteza, izgrađenog tkiva i unutrašnjosti blokova, prostorno smanjenje zone trgovine i usluga s koncentracijom javnog i društvenog života, zasićenje prometom i parkiranjem, ali i neadekvatan odnos dijela populacije koji se ponajviše odražava u devastaciji pročelja grafitima. Uz navedene probleme, potencijalne zapreke za obnovu Donjega grada su: kompleksni vlasnički odnosi, nedostatak intersektorske sinergije, depopulacija, promjene potrošačkih navika, mogući otpor stanovništva prema promjenama. Mogućnosti i smjernice za revitalizaciju trebaju inzistirati na prometnim rješenjima za bolji javni prijevoz, na rasterećivanju prometa smanjivanjem korištenja osobnih automobila, na rješavanju prometa u mirovanju za potrebe stanara, te na povećanju i konsolidaciji zona s centralnim obilježjima.</w:t>
      </w:r>
    </w:p>
    <w:p w14:paraId="7ADDD4AD" w14:textId="77777777" w:rsidR="00072476" w:rsidRDefault="00072476" w:rsidP="00465B26">
      <w:pPr>
        <w:widowControl w:val="0"/>
        <w:autoSpaceDE w:val="0"/>
        <w:autoSpaceDN w:val="0"/>
        <w:adjustRightInd w:val="0"/>
        <w:spacing w:after="200" w:line="240" w:lineRule="auto"/>
        <w:ind w:right="1"/>
        <w:jc w:val="both"/>
        <w:rPr>
          <w:rFonts w:cs="Calibri"/>
          <w:bCs/>
        </w:rPr>
      </w:pPr>
      <w:r>
        <w:rPr>
          <w:rFonts w:cs="Calibri"/>
          <w:bCs/>
        </w:rPr>
        <w:t>Nakon razornog potresa 22. ožujka 2020.g. koji je pogodio Grad Zagreb na vrhuncu krize nastale zbog širenja zaraze koronavirusom naprijed istaknuti problemi Donjeg grada intenzivirali su se. Oštećeno je oko 26 000 zgrada, od čega veći dio potpada pod Donji grad što je rezultiralo, pored već ionako zapuštenih brojnih građevina, velikim oštećenjima povijesne jezgre Donjeg grada te pojačanim trendom iseljavanja građana iz centra grada nakon potresa. Stoga, prioritet u rješavanju problema Donjeg grada mora biti obnova objekata i infrastrukture oštećene potresom uz istovremeno očuvanje povijesne jezgre i kulturne baštine te istovremeno poticanje stanovanja u središtu grada.</w:t>
      </w:r>
    </w:p>
    <w:p w14:paraId="2B34EA62" w14:textId="77777777" w:rsidR="00072476" w:rsidRPr="00C24157" w:rsidRDefault="00072476" w:rsidP="00465B26">
      <w:pPr>
        <w:spacing w:after="0" w:line="240" w:lineRule="auto"/>
        <w:jc w:val="both"/>
        <w:rPr>
          <w:rFonts w:cs="Calibri"/>
        </w:rPr>
      </w:pPr>
      <w:r w:rsidRPr="0063199D">
        <w:rPr>
          <w:rFonts w:cs="Calibri"/>
        </w:rPr>
        <w:t>Što se tiče javnih zgrada, prema podacima Gradskih ureda, od sveukupno oštećenih 66 objekata kulturne djelatnosti i 28 prostora Kn</w:t>
      </w:r>
      <w:r w:rsidRPr="00EB7E96">
        <w:rPr>
          <w:rFonts w:cs="Calibri"/>
        </w:rPr>
        <w:t>jižnica grada Zagreba u nadležnosti Gradskog ureda za kulturu čak 31 ih je označeno sa žutom ili crvenom naljepnicom. Određeni broj najvećih gradskih kulturn</w:t>
      </w:r>
      <w:r w:rsidRPr="00F04CE4">
        <w:rPr>
          <w:rFonts w:cs="Calibri"/>
        </w:rPr>
        <w:t>ih ustanova</w:t>
      </w:r>
      <w:r w:rsidRPr="00202302">
        <w:rPr>
          <w:rFonts w:cs="Calibri"/>
        </w:rPr>
        <w:t xml:space="preserve"> smještenih u zaštićenim kulturnim dobrima (Hrvatski prirodoslovni muzej, Arheološki muzej, Muzej za umjetnost i obrt, Umjetnički paviljon, Etnografski muzej, Muzej </w:t>
      </w:r>
      <w:r w:rsidRPr="00D50C62">
        <w:rPr>
          <w:rFonts w:cs="Calibri"/>
        </w:rPr>
        <w:t>grada Zagreba)</w:t>
      </w:r>
      <w:r w:rsidRPr="000F3670">
        <w:rPr>
          <w:rFonts w:cs="Calibri"/>
        </w:rPr>
        <w:t xml:space="preserve"> pretrpjelo je ozbiljna oštećenja te su izgledni višemilijunski iznosi potrebni za sanaciju</w:t>
      </w:r>
      <w:r w:rsidRPr="00EF6133">
        <w:rPr>
          <w:rFonts w:cs="Calibri"/>
        </w:rPr>
        <w:t>. Domovi za starije pretrpjeli su oštećenja koja nisu dovela u pitanje uporabljivost objekata, ali su nužne sanacije. Od odgojno obrazovnih objekata četiri su proglašena neuporabljivim (od čega dvije osnovne i dvije srednje škole) dok je ukupno 36 obje</w:t>
      </w:r>
      <w:r w:rsidRPr="00C24157">
        <w:rPr>
          <w:rFonts w:cs="Calibri"/>
        </w:rPr>
        <w:t xml:space="preserve">kata dobilo žutu oznaku – privremeno neuporabljivo (od čega 11 vrtića, devet srednjih škola i 16 osnovnih škola). </w:t>
      </w:r>
    </w:p>
    <w:p w14:paraId="28107D0E" w14:textId="77777777" w:rsidR="00072476" w:rsidRDefault="00072476" w:rsidP="00465B26">
      <w:pPr>
        <w:spacing w:after="0" w:line="240" w:lineRule="auto"/>
        <w:jc w:val="both"/>
        <w:rPr>
          <w:rFonts w:cs="Calibri"/>
        </w:rPr>
      </w:pPr>
      <w:r w:rsidRPr="0063199D">
        <w:rPr>
          <w:rFonts w:cs="Calibri"/>
        </w:rPr>
        <w:t>Šteta nakon zagrebačkog potresa procijenjena je na 11,6 milijardi eura, a potrebe za rekonstruk</w:t>
      </w:r>
      <w:r w:rsidRPr="00EB7E96">
        <w:rPr>
          <w:rFonts w:cs="Calibri"/>
        </w:rPr>
        <w:t>cijom i op</w:t>
      </w:r>
      <w:r w:rsidRPr="00F04CE4">
        <w:rPr>
          <w:rFonts w:cs="Calibri"/>
        </w:rPr>
        <w:t>oravkom na cijelom potresom pogođenom području iznose približno 17,469 milijardi EUR. Potrebe za rekonstrukcijom i oporavkom veće su od štete i gubitaka jer uključuju, kao prvo, primjenu prist</w:t>
      </w:r>
      <w:r w:rsidRPr="00202302">
        <w:rPr>
          <w:rFonts w:cs="Calibri"/>
        </w:rPr>
        <w:t>upa izgradnji po principu „build back better</w:t>
      </w:r>
      <w:r w:rsidRPr="00D50C62">
        <w:rPr>
          <w:rFonts w:cs="Calibri"/>
        </w:rPr>
        <w:t>“</w:t>
      </w:r>
      <w:r w:rsidRPr="000F3670">
        <w:rPr>
          <w:rFonts w:cs="Calibri"/>
        </w:rPr>
        <w:t xml:space="preserve"> (podizanje stupnja otpornosti kod obnove oštećene infrastrukture u svrhu smanjenja budućih rizika od potresa, uključ</w:t>
      </w:r>
      <w:r w:rsidRPr="00EF6133">
        <w:rPr>
          <w:rFonts w:cs="Calibri"/>
        </w:rPr>
        <w:t>ivši funkcionalna poboljšanja i energetsku učinkovitost) i, kao drugo, nastavak proizvodnje, pružanje usluga i pristup robama i uslugama.</w:t>
      </w:r>
    </w:p>
    <w:p w14:paraId="1B9A588E" w14:textId="44794EDF" w:rsidR="00072476" w:rsidRPr="00C24157" w:rsidRDefault="00072476" w:rsidP="00465B26">
      <w:pPr>
        <w:spacing w:after="0" w:line="240" w:lineRule="auto"/>
        <w:jc w:val="both"/>
        <w:rPr>
          <w:rFonts w:cs="Calibri"/>
        </w:rPr>
      </w:pPr>
      <w:r>
        <w:rPr>
          <w:rFonts w:cs="Calibri"/>
        </w:rPr>
        <w:t xml:space="preserve">Sukladno </w:t>
      </w:r>
      <w:r w:rsidRPr="006A3839">
        <w:rPr>
          <w:rFonts w:cs="Calibri"/>
        </w:rPr>
        <w:t>Zakon</w:t>
      </w:r>
      <w:r>
        <w:rPr>
          <w:rFonts w:cs="Calibri"/>
        </w:rPr>
        <w:t>u</w:t>
      </w:r>
      <w:r w:rsidRPr="006A3839">
        <w:rPr>
          <w:rFonts w:cs="Calibri"/>
        </w:rPr>
        <w:t xml:space="preserve"> o obnovi zgrada oštećenih potresom na području Grada Zagreba, Zagrebačke županije i Krapinsko-zagorske županije</w:t>
      </w:r>
      <w:r>
        <w:rPr>
          <w:rFonts w:cs="Calibri"/>
        </w:rPr>
        <w:t xml:space="preserve"> (NN br. 102/20</w:t>
      </w:r>
      <w:r w:rsidR="00D23D10" w:rsidRPr="00D23D10">
        <w:rPr>
          <w:rFonts w:cs="Calibri"/>
        </w:rPr>
        <w:t>, 10/21, 117/21</w:t>
      </w:r>
      <w:r>
        <w:rPr>
          <w:rFonts w:cs="Calibri"/>
        </w:rPr>
        <w:t xml:space="preserve">), </w:t>
      </w:r>
      <w:r w:rsidR="00D23D10">
        <w:rPr>
          <w:rFonts w:cs="Calibri"/>
        </w:rPr>
        <w:t xml:space="preserve"> donesen je </w:t>
      </w:r>
      <w:r>
        <w:rPr>
          <w:rFonts w:cs="Calibri"/>
        </w:rPr>
        <w:t>P</w:t>
      </w:r>
      <w:r w:rsidRPr="006A3839">
        <w:rPr>
          <w:rFonts w:cs="Calibri"/>
        </w:rPr>
        <w:t xml:space="preserve">rogram mjera obnove zgrada oštećenih potresom na području </w:t>
      </w:r>
      <w:r w:rsidR="00D23D10">
        <w:rPr>
          <w:rFonts w:cs="Calibri"/>
        </w:rPr>
        <w:t>G</w:t>
      </w:r>
      <w:r w:rsidRPr="006A3839">
        <w:rPr>
          <w:rFonts w:cs="Calibri"/>
        </w:rPr>
        <w:t xml:space="preserve">rada </w:t>
      </w:r>
      <w:r>
        <w:rPr>
          <w:rFonts w:cs="Calibri"/>
        </w:rPr>
        <w:t>Z</w:t>
      </w:r>
      <w:r w:rsidRPr="006A3839">
        <w:rPr>
          <w:rFonts w:cs="Calibri"/>
        </w:rPr>
        <w:t xml:space="preserve">agreba, </w:t>
      </w:r>
      <w:r>
        <w:rPr>
          <w:rFonts w:cs="Calibri"/>
        </w:rPr>
        <w:t>K</w:t>
      </w:r>
      <w:r w:rsidRPr="006A3839">
        <w:rPr>
          <w:rFonts w:cs="Calibri"/>
        </w:rPr>
        <w:t>rapinsko-zagorske županije</w:t>
      </w:r>
      <w:r w:rsidR="00D23D10">
        <w:rPr>
          <w:rFonts w:cs="Calibri"/>
        </w:rPr>
        <w:t>,</w:t>
      </w:r>
      <w:r w:rsidRPr="006A3839">
        <w:rPr>
          <w:rFonts w:cs="Calibri"/>
        </w:rPr>
        <w:t xml:space="preserve">  </w:t>
      </w:r>
      <w:r>
        <w:rPr>
          <w:rFonts w:cs="Calibri"/>
        </w:rPr>
        <w:t>Z</w:t>
      </w:r>
      <w:r w:rsidRPr="006A3839">
        <w:rPr>
          <w:rFonts w:cs="Calibri"/>
        </w:rPr>
        <w:t>agrebačke županije</w:t>
      </w:r>
      <w:r>
        <w:rPr>
          <w:rFonts w:cs="Calibri"/>
        </w:rPr>
        <w:t>,</w:t>
      </w:r>
      <w:r w:rsidR="00D23D10">
        <w:rPr>
          <w:rFonts w:cs="Calibri"/>
        </w:rPr>
        <w:t xml:space="preserve"> </w:t>
      </w:r>
      <w:r w:rsidR="00D23D10" w:rsidRPr="00D23D10">
        <w:rPr>
          <w:rFonts w:cs="Calibri"/>
        </w:rPr>
        <w:t>Sisačko-moslavačke županije i Karlovačke županije</w:t>
      </w:r>
      <w:r w:rsidR="00D23D10">
        <w:rPr>
          <w:rFonts w:cs="Calibri"/>
        </w:rPr>
        <w:t>,</w:t>
      </w:r>
      <w:r>
        <w:rPr>
          <w:rFonts w:cs="Calibri"/>
        </w:rPr>
        <w:t xml:space="preserve"> kao i </w:t>
      </w:r>
      <w:r w:rsidRPr="006A3839">
        <w:rPr>
          <w:rFonts w:cs="Calibri"/>
        </w:rPr>
        <w:t>Program cjelovite</w:t>
      </w:r>
      <w:r>
        <w:rPr>
          <w:rFonts w:cs="Calibri"/>
        </w:rPr>
        <w:t xml:space="preserve"> sanacije,</w:t>
      </w:r>
      <w:r w:rsidRPr="006A3839">
        <w:rPr>
          <w:rFonts w:cs="Calibri"/>
        </w:rPr>
        <w:t xml:space="preserve"> obnove i urban</w:t>
      </w:r>
      <w:r>
        <w:rPr>
          <w:rFonts w:cs="Calibri"/>
        </w:rPr>
        <w:t>e</w:t>
      </w:r>
      <w:r w:rsidRPr="006A3839">
        <w:rPr>
          <w:rFonts w:cs="Calibri"/>
        </w:rPr>
        <w:t xml:space="preserve"> regeneracij</w:t>
      </w:r>
      <w:r>
        <w:rPr>
          <w:rFonts w:cs="Calibri"/>
        </w:rPr>
        <w:t>e</w:t>
      </w:r>
      <w:r w:rsidRPr="006A3839">
        <w:rPr>
          <w:rFonts w:cs="Calibri"/>
        </w:rPr>
        <w:t xml:space="preserve"> povijesne jezgre Zagreba </w:t>
      </w:r>
      <w:r>
        <w:rPr>
          <w:rFonts w:cs="Calibri"/>
        </w:rPr>
        <w:t>od strane</w:t>
      </w:r>
      <w:r w:rsidRPr="006A3839">
        <w:rPr>
          <w:rFonts w:cs="Calibri"/>
        </w:rPr>
        <w:t xml:space="preserve"> profesionalne platforme stručnjaka i znanstvenika</w:t>
      </w:r>
      <w:r>
        <w:rPr>
          <w:rFonts w:cs="Calibri"/>
        </w:rPr>
        <w:t>.</w:t>
      </w:r>
    </w:p>
    <w:p w14:paraId="0B440A98" w14:textId="77777777" w:rsidR="00072476" w:rsidRDefault="00072476" w:rsidP="00072476">
      <w:pPr>
        <w:spacing w:after="0"/>
        <w:jc w:val="both"/>
        <w:rPr>
          <w:rFonts w:ascii="Times New Roman" w:hAnsi="Times New Roman" w:cs="Times New Roman"/>
          <w:sz w:val="24"/>
          <w:szCs w:val="24"/>
        </w:rPr>
      </w:pPr>
    </w:p>
    <w:tbl>
      <w:tblPr>
        <w:tblpPr w:leftFromText="180" w:rightFromText="180" w:vertAnchor="text" w:horzAnchor="margin" w:tblpY="37"/>
        <w:tblW w:w="5156" w:type="pct"/>
        <w:shd w:val="clear" w:color="auto" w:fill="D9D9D9"/>
        <w:tblLook w:val="01E0" w:firstRow="1" w:lastRow="1" w:firstColumn="1" w:lastColumn="1" w:noHBand="0" w:noVBand="0"/>
      </w:tblPr>
      <w:tblGrid>
        <w:gridCol w:w="4677"/>
        <w:gridCol w:w="4678"/>
      </w:tblGrid>
      <w:tr w:rsidR="00072476" w:rsidRPr="00191F9C" w14:paraId="45956DF9" w14:textId="77777777" w:rsidTr="0061125B">
        <w:trPr>
          <w:trHeight w:val="2979"/>
        </w:trPr>
        <w:tc>
          <w:tcPr>
            <w:tcW w:w="2500" w:type="pct"/>
            <w:shd w:val="clear" w:color="auto" w:fill="D9D9D9"/>
          </w:tcPr>
          <w:p w14:paraId="4C5715E0"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br w:type="page"/>
              <w:t>RAZVOJNI PROBLEMI</w:t>
            </w:r>
          </w:p>
          <w:p w14:paraId="43EF161B"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Zapuštenost brojnih građevina i velika oštećenja povijesne jezgre Donjeg grada nakon potresa</w:t>
            </w:r>
          </w:p>
          <w:p w14:paraId="462FDA95"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Potreba za očuvanjem zelenih površina</w:t>
            </w:r>
          </w:p>
          <w:p w14:paraId="34E158A0"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Dotrajao sustav komunalne odvodnje</w:t>
            </w:r>
          </w:p>
          <w:p w14:paraId="4411CB71"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Trend iseljavanja građana nakon potresa</w:t>
            </w:r>
          </w:p>
          <w:p w14:paraId="79B6754E"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Prostorno smanjenje zone trgovine i usluga</w:t>
            </w:r>
          </w:p>
          <w:p w14:paraId="67BF2792"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Prometna saturacija</w:t>
            </w:r>
          </w:p>
          <w:p w14:paraId="2B5DFE28"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Opterećenje javnih površina prometom u mirovanju</w:t>
            </w:r>
          </w:p>
          <w:p w14:paraId="4FEC1082"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Zapuštenost građevinskog fonda</w:t>
            </w:r>
          </w:p>
          <w:p w14:paraId="2E422C1C"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Nedostatak sportsko-rekreativnih sadržaja</w:t>
            </w:r>
          </w:p>
          <w:p w14:paraId="3BA302B1"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Vandalizam</w:t>
            </w:r>
          </w:p>
          <w:p w14:paraId="77AB15F1"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Niska razina uključenosti građana u prostorni razvoj</w:t>
            </w:r>
          </w:p>
          <w:p w14:paraId="7975AFFD" w14:textId="77777777" w:rsidR="00072476" w:rsidRPr="00191F9C" w:rsidRDefault="00072476" w:rsidP="00072476">
            <w:pPr>
              <w:spacing w:before="60" w:beforeAutospacing="1" w:after="60" w:afterAutospacing="1" w:line="240" w:lineRule="auto"/>
              <w:ind w:right="-2"/>
              <w:rPr>
                <w:rFonts w:eastAsia="Times New Roman" w:cs="Calibri"/>
                <w:b/>
                <w:sz w:val="18"/>
                <w:szCs w:val="18"/>
                <w:lang w:eastAsia="hr-HR"/>
              </w:rPr>
            </w:pPr>
          </w:p>
        </w:tc>
        <w:tc>
          <w:tcPr>
            <w:tcW w:w="2500" w:type="pct"/>
            <w:shd w:val="clear" w:color="auto" w:fill="99CCFF"/>
          </w:tcPr>
          <w:p w14:paraId="32ED7D6A"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p w14:paraId="5BF112C3"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Obnova objekata i infrastrukture oštećene potresom uz istovremeno očuvanje povijesne jezgre i kulturne baštine</w:t>
            </w:r>
          </w:p>
          <w:p w14:paraId="4A69B914"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Revitalizacija brownfield područja</w:t>
            </w:r>
          </w:p>
          <w:p w14:paraId="54EDFFDE"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Unaprjeđenje sustava komunalne odvodnje</w:t>
            </w:r>
          </w:p>
          <w:p w14:paraId="497DCC0D" w14:textId="77777777" w:rsidR="00072476" w:rsidRPr="00EB7E9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Unaprjeđenje sustava zelene infrastrukture Grada (analiza postojećih i potreba za novim)</w:t>
            </w:r>
          </w:p>
          <w:p w14:paraId="7A09F7D8"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Unaprjeđenje kvalitete življenja (osnaživanje umjetnosti i kulture, unaprjeđenje sportske infrastrukture)</w:t>
            </w:r>
          </w:p>
          <w:p w14:paraId="6B761399" w14:textId="77777777" w:rsidR="00072476" w:rsidRPr="00EB7E9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Promocija i brendiranje Grada Zagreba kao europskog kulturnog središta i city break destinacije</w:t>
            </w:r>
          </w:p>
          <w:p w14:paraId="2BDAD7C8"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Poticati stanovanje u središtu grada</w:t>
            </w:r>
          </w:p>
          <w:p w14:paraId="0594EF99"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Proširiti zone s obilježjima socijalnog prostora</w:t>
            </w:r>
          </w:p>
          <w:p w14:paraId="3DB86F30" w14:textId="77777777" w:rsidR="00072476" w:rsidRPr="00191F9C" w:rsidRDefault="00072476" w:rsidP="00072476">
            <w:pPr>
              <w:spacing w:before="60" w:after="60" w:line="240" w:lineRule="auto"/>
              <w:ind w:left="284" w:right="432"/>
              <w:rPr>
                <w:rFonts w:eastAsia="Arial Unicode MS" w:cs="Calibri"/>
                <w:sz w:val="18"/>
                <w:szCs w:val="18"/>
              </w:rPr>
            </w:pPr>
            <w:r w:rsidRPr="00191F9C">
              <w:rPr>
                <w:rFonts w:eastAsia="Arial Unicode MS" w:cs="Calibri"/>
                <w:sz w:val="18"/>
                <w:szCs w:val="18"/>
              </w:rPr>
              <w:t>grada</w:t>
            </w:r>
          </w:p>
          <w:p w14:paraId="678E5D86" w14:textId="77777777" w:rsidR="0007247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Poboljšanje sustava gradskog prijevoza uz istovremeno promicanje nulte stope onečišćenja</w:t>
            </w:r>
          </w:p>
          <w:p w14:paraId="5BA6DCC2" w14:textId="77777777" w:rsidR="00072476" w:rsidRPr="00EB7E96"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Pr>
                <w:rFonts w:eastAsia="Arial Unicode MS" w:cs="Calibri"/>
                <w:sz w:val="18"/>
                <w:szCs w:val="18"/>
              </w:rPr>
              <w:t>Osigurati skladnu ravnotežu svih korisnika javnih prometnica (javni prijevoz, osobni automobil, pješaci i biciklisti)</w:t>
            </w:r>
          </w:p>
          <w:p w14:paraId="2B6FDAB7"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Rješavati promet u mirovanju za stanare (blokovske garaže)</w:t>
            </w:r>
          </w:p>
          <w:p w14:paraId="7D2668F5" w14:textId="77777777" w:rsidR="00072476" w:rsidRPr="00191F9C" w:rsidRDefault="00072476" w:rsidP="00165C16">
            <w:pPr>
              <w:numPr>
                <w:ilvl w:val="0"/>
                <w:numId w:val="1"/>
              </w:numPr>
              <w:tabs>
                <w:tab w:val="num" w:pos="284"/>
              </w:tabs>
              <w:spacing w:before="60" w:after="60" w:line="240" w:lineRule="auto"/>
              <w:ind w:left="284" w:right="432" w:hanging="284"/>
              <w:rPr>
                <w:rFonts w:eastAsia="Arial Unicode MS" w:cs="Calibri"/>
                <w:sz w:val="18"/>
                <w:szCs w:val="18"/>
              </w:rPr>
            </w:pPr>
            <w:r w:rsidRPr="00191F9C">
              <w:rPr>
                <w:rFonts w:eastAsia="Arial Unicode MS" w:cs="Calibri"/>
                <w:sz w:val="18"/>
                <w:szCs w:val="18"/>
              </w:rPr>
              <w:t>Uspostaviti partnerski odnos poslovnim i civilnim sektorom u planiranju i provedbi obnove</w:t>
            </w:r>
          </w:p>
        </w:tc>
      </w:tr>
    </w:tbl>
    <w:p w14:paraId="10A8C3C0" w14:textId="2C69C83D" w:rsidR="00072476" w:rsidRPr="00EB1E92" w:rsidRDefault="00072476" w:rsidP="00072476">
      <w:pPr>
        <w:widowControl w:val="0"/>
        <w:autoSpaceDE w:val="0"/>
        <w:autoSpaceDN w:val="0"/>
        <w:adjustRightInd w:val="0"/>
        <w:spacing w:before="31" w:after="200" w:line="240" w:lineRule="auto"/>
        <w:ind w:right="137"/>
        <w:jc w:val="both"/>
        <w:rPr>
          <w:rFonts w:eastAsia="PMingLiU" w:cs="Calibri"/>
        </w:rPr>
      </w:pPr>
      <w:r w:rsidRPr="00191F9C">
        <w:rPr>
          <w:rFonts w:eastAsia="PMingLiU" w:cs="Calibri"/>
          <w:b/>
          <w:bCs/>
        </w:rPr>
        <w:br/>
      </w:r>
      <w:r w:rsidRPr="00EB1E92">
        <w:rPr>
          <w:rFonts w:eastAsia="PMingLiU" w:cs="Calibri"/>
          <w:b/>
          <w:bCs/>
        </w:rPr>
        <w:t>Medvednica.</w:t>
      </w:r>
      <w:r w:rsidRPr="00EB1E92">
        <w:rPr>
          <w:rFonts w:eastAsia="PMingLiU" w:cs="Calibri"/>
          <w:b/>
          <w:bCs/>
          <w:spacing w:val="22"/>
        </w:rPr>
        <w:t xml:space="preserve"> </w:t>
      </w:r>
      <w:r w:rsidR="00312100" w:rsidRPr="000471EE">
        <w:rPr>
          <w:rFonts w:eastAsia="PMingLiU" w:cs="Calibri"/>
        </w:rPr>
        <w:t xml:space="preserve">Sjeverno od </w:t>
      </w:r>
      <w:r w:rsidRPr="00EB1E92">
        <w:rPr>
          <w:rFonts w:eastAsia="PMingLiU" w:cs="Calibri"/>
        </w:rPr>
        <w:t>Grada</w:t>
      </w:r>
      <w:r w:rsidRPr="000471EE">
        <w:rPr>
          <w:rFonts w:eastAsia="PMingLiU" w:cs="Calibri"/>
        </w:rPr>
        <w:t xml:space="preserve"> </w:t>
      </w:r>
      <w:r w:rsidRPr="00EB1E92">
        <w:rPr>
          <w:rFonts w:eastAsia="PMingLiU" w:cs="Calibri"/>
        </w:rPr>
        <w:t>Zagreba,</w:t>
      </w:r>
      <w:r w:rsidRPr="000471EE">
        <w:rPr>
          <w:rFonts w:eastAsia="PMingLiU" w:cs="Calibri"/>
        </w:rPr>
        <w:t xml:space="preserve"> </w:t>
      </w:r>
      <w:r w:rsidR="00312100" w:rsidRPr="000471EE">
        <w:rPr>
          <w:rFonts w:eastAsia="PMingLiU" w:cs="Calibri"/>
        </w:rPr>
        <w:t>nalazi se planina Medvednica na kojoj su u sklopu Parka prirode Medvednica očuvane</w:t>
      </w:r>
      <w:r w:rsidR="00312100" w:rsidRPr="000471EE" w:rsidDel="00312100">
        <w:rPr>
          <w:rFonts w:eastAsia="PMingLiU" w:cs="Calibri"/>
        </w:rPr>
        <w:t xml:space="preserve"> </w:t>
      </w:r>
      <w:r w:rsidR="00312100" w:rsidRPr="000471EE">
        <w:rPr>
          <w:rFonts w:eastAsia="PMingLiU" w:cs="Calibri"/>
        </w:rPr>
        <w:t>izuzetne prirodne, krajobrazne i kulturno-povijesne vrijednosti .</w:t>
      </w:r>
      <w:r w:rsidRPr="000471EE">
        <w:rPr>
          <w:rFonts w:eastAsia="PMingLiU" w:cs="Calibri"/>
        </w:rPr>
        <w:t xml:space="preserve">Od 17938 ha ukupne površine Parka prirode Medvednica, na teritoriju Grada Zagreba nalazi se 8.439 ha (13,1% površine Grada). </w:t>
      </w:r>
      <w:r w:rsidRPr="0061125B">
        <w:rPr>
          <w:rFonts w:eastAsia="PMingLiU" w:cs="Calibri"/>
          <w:spacing w:val="1"/>
        </w:rPr>
        <w:t xml:space="preserve">Preostalih 9.499 ha </w:t>
      </w:r>
      <w:r w:rsidR="0067241E">
        <w:rPr>
          <w:rFonts w:eastAsia="PMingLiU" w:cs="Calibri"/>
          <w:spacing w:val="1"/>
        </w:rPr>
        <w:t xml:space="preserve">rasprostire se </w:t>
      </w:r>
      <w:r w:rsidRPr="0061125B">
        <w:rPr>
          <w:rFonts w:eastAsia="PMingLiU" w:cs="Calibri"/>
          <w:spacing w:val="1"/>
        </w:rPr>
        <w:t>u Zagreb</w:t>
      </w:r>
      <w:r w:rsidRPr="00EB1E92">
        <w:rPr>
          <w:rFonts w:eastAsia="PMingLiU" w:cs="Calibri"/>
          <w:spacing w:val="1"/>
        </w:rPr>
        <w:t>ač</w:t>
      </w:r>
      <w:r w:rsidRPr="0061125B">
        <w:rPr>
          <w:rFonts w:eastAsia="PMingLiU" w:cs="Calibri"/>
          <w:spacing w:val="1"/>
        </w:rPr>
        <w:t>koj i Krapinsko-zagorskoj županiji. Granicu na zagreb</w:t>
      </w:r>
      <w:r w:rsidRPr="00EB1E92">
        <w:rPr>
          <w:rFonts w:eastAsia="PMingLiU" w:cs="Calibri"/>
          <w:spacing w:val="1"/>
        </w:rPr>
        <w:t>ač</w:t>
      </w:r>
      <w:r w:rsidRPr="0061125B">
        <w:rPr>
          <w:rFonts w:eastAsia="PMingLiU" w:cs="Calibri"/>
          <w:spacing w:val="1"/>
        </w:rPr>
        <w:t xml:space="preserve">koj strani Parka u pravilu </w:t>
      </w:r>
      <w:r w:rsidRPr="00EB1E92">
        <w:rPr>
          <w:rFonts w:eastAsia="PMingLiU" w:cs="Calibri"/>
          <w:spacing w:val="1"/>
        </w:rPr>
        <w:t>č</w:t>
      </w:r>
      <w:r w:rsidRPr="0061125B">
        <w:rPr>
          <w:rFonts w:eastAsia="PMingLiU" w:cs="Calibri"/>
          <w:spacing w:val="1"/>
        </w:rPr>
        <w:t>ini granica šume (ujedno i granica GUP-a grada Zagreba, osim na krajnjem</w:t>
      </w:r>
      <w:r w:rsidRPr="00EB1E92">
        <w:rPr>
          <w:rFonts w:eastAsia="PMingLiU" w:cs="Calibri"/>
          <w:spacing w:val="7"/>
        </w:rPr>
        <w:t xml:space="preserve"> </w:t>
      </w:r>
      <w:r w:rsidRPr="00EB1E92">
        <w:rPr>
          <w:rFonts w:eastAsia="PMingLiU" w:cs="Calibri"/>
        </w:rPr>
        <w:t>sj</w:t>
      </w:r>
      <w:r w:rsidRPr="00EB1E92">
        <w:rPr>
          <w:rFonts w:eastAsia="PMingLiU" w:cs="Calibri"/>
          <w:spacing w:val="-1"/>
        </w:rPr>
        <w:t>ev</w:t>
      </w:r>
      <w:r w:rsidRPr="00EB1E92">
        <w:rPr>
          <w:rFonts w:eastAsia="PMingLiU" w:cs="Calibri"/>
        </w:rPr>
        <w:t>eroist</w:t>
      </w:r>
      <w:r w:rsidRPr="00EB1E92">
        <w:rPr>
          <w:rFonts w:eastAsia="PMingLiU" w:cs="Calibri"/>
          <w:spacing w:val="1"/>
        </w:rPr>
        <w:t>oč</w:t>
      </w:r>
      <w:r w:rsidRPr="00EB1E92">
        <w:rPr>
          <w:rFonts w:eastAsia="PMingLiU" w:cs="Calibri"/>
        </w:rPr>
        <w:t>n</w:t>
      </w:r>
      <w:r w:rsidRPr="00EB1E92">
        <w:rPr>
          <w:rFonts w:eastAsia="PMingLiU" w:cs="Calibri"/>
          <w:spacing w:val="-1"/>
        </w:rPr>
        <w:t>o</w:t>
      </w:r>
      <w:r w:rsidRPr="00EB1E92">
        <w:rPr>
          <w:rFonts w:eastAsia="PMingLiU" w:cs="Calibri"/>
        </w:rPr>
        <w:t>m dijelu</w:t>
      </w:r>
      <w:r w:rsidRPr="00EB1E92">
        <w:rPr>
          <w:rFonts w:eastAsia="PMingLiU" w:cs="Calibri"/>
          <w:spacing w:val="10"/>
        </w:rPr>
        <w:t xml:space="preserve"> </w:t>
      </w:r>
      <w:r w:rsidRPr="00EB1E92">
        <w:rPr>
          <w:rFonts w:eastAsia="PMingLiU" w:cs="Calibri"/>
        </w:rPr>
        <w:t>gdje</w:t>
      </w:r>
      <w:r w:rsidRPr="00EB1E92">
        <w:rPr>
          <w:rFonts w:eastAsia="PMingLiU" w:cs="Calibri"/>
          <w:spacing w:val="11"/>
        </w:rPr>
        <w:t xml:space="preserve"> </w:t>
      </w:r>
      <w:r w:rsidRPr="00EB1E92">
        <w:rPr>
          <w:rFonts w:eastAsia="PMingLiU" w:cs="Calibri"/>
        </w:rPr>
        <w:t>je</w:t>
      </w:r>
      <w:r w:rsidRPr="00EB1E92">
        <w:rPr>
          <w:rFonts w:eastAsia="PMingLiU" w:cs="Calibri"/>
          <w:spacing w:val="13"/>
        </w:rPr>
        <w:t xml:space="preserve"> </w:t>
      </w:r>
      <w:r w:rsidRPr="00EB1E92">
        <w:rPr>
          <w:rFonts w:eastAsia="PMingLiU" w:cs="Calibri"/>
        </w:rPr>
        <w:t>u</w:t>
      </w:r>
      <w:r w:rsidRPr="00EB1E92">
        <w:rPr>
          <w:rFonts w:eastAsia="PMingLiU" w:cs="Calibri"/>
          <w:spacing w:val="14"/>
        </w:rPr>
        <w:t xml:space="preserve"> </w:t>
      </w:r>
      <w:r w:rsidRPr="00EB1E92">
        <w:rPr>
          <w:rFonts w:eastAsia="PMingLiU" w:cs="Calibri"/>
        </w:rPr>
        <w:t>Park</w:t>
      </w:r>
      <w:r w:rsidRPr="00EB1E92">
        <w:rPr>
          <w:rFonts w:eastAsia="PMingLiU" w:cs="Calibri"/>
          <w:spacing w:val="10"/>
        </w:rPr>
        <w:t xml:space="preserve"> </w:t>
      </w:r>
      <w:r w:rsidRPr="00EB1E92">
        <w:rPr>
          <w:rFonts w:eastAsia="PMingLiU" w:cs="Calibri"/>
        </w:rPr>
        <w:t>prirode</w:t>
      </w:r>
      <w:r w:rsidRPr="00EB1E92">
        <w:rPr>
          <w:rFonts w:eastAsia="PMingLiU" w:cs="Calibri"/>
          <w:spacing w:val="8"/>
        </w:rPr>
        <w:t xml:space="preserve"> </w:t>
      </w:r>
      <w:r w:rsidRPr="00EB1E92">
        <w:rPr>
          <w:rFonts w:eastAsia="PMingLiU" w:cs="Calibri"/>
        </w:rPr>
        <w:t>uklju</w:t>
      </w:r>
      <w:r w:rsidRPr="00EB1E92">
        <w:rPr>
          <w:rFonts w:eastAsia="PMingLiU" w:cs="Calibri"/>
          <w:spacing w:val="1"/>
        </w:rPr>
        <w:t>č</w:t>
      </w:r>
      <w:r w:rsidRPr="00EB1E92">
        <w:rPr>
          <w:rFonts w:eastAsia="PMingLiU" w:cs="Calibri"/>
        </w:rPr>
        <w:t>en</w:t>
      </w:r>
      <w:r w:rsidRPr="00EB1E92">
        <w:rPr>
          <w:rFonts w:eastAsia="PMingLiU" w:cs="Calibri"/>
          <w:spacing w:val="7"/>
        </w:rPr>
        <w:t xml:space="preserve"> </w:t>
      </w:r>
      <w:r w:rsidRPr="00EB1E92">
        <w:rPr>
          <w:rFonts w:eastAsia="PMingLiU" w:cs="Calibri"/>
        </w:rPr>
        <w:t>šumski</w:t>
      </w:r>
      <w:r w:rsidRPr="00EB1E92">
        <w:rPr>
          <w:rFonts w:eastAsia="PMingLiU" w:cs="Calibri"/>
          <w:spacing w:val="7"/>
        </w:rPr>
        <w:t xml:space="preserve"> </w:t>
      </w:r>
      <w:r w:rsidRPr="00EB1E92">
        <w:rPr>
          <w:rFonts w:eastAsia="PMingLiU" w:cs="Calibri"/>
        </w:rPr>
        <w:t>i</w:t>
      </w:r>
      <w:r w:rsidRPr="00EB1E92">
        <w:rPr>
          <w:rFonts w:eastAsia="PMingLiU" w:cs="Calibri"/>
          <w:spacing w:val="14"/>
        </w:rPr>
        <w:t xml:space="preserve"> </w:t>
      </w:r>
      <w:r w:rsidRPr="00EB1E92">
        <w:rPr>
          <w:rFonts w:eastAsia="PMingLiU" w:cs="Calibri"/>
        </w:rPr>
        <w:t>ruralni</w:t>
      </w:r>
      <w:r w:rsidRPr="00EB1E92">
        <w:rPr>
          <w:rFonts w:eastAsia="PMingLiU" w:cs="Calibri"/>
          <w:spacing w:val="9"/>
        </w:rPr>
        <w:t xml:space="preserve"> </w:t>
      </w:r>
      <w:r w:rsidRPr="00EB1E92">
        <w:rPr>
          <w:rFonts w:eastAsia="PMingLiU" w:cs="Calibri"/>
        </w:rPr>
        <w:t>krajobraz</w:t>
      </w:r>
      <w:r w:rsidRPr="00EB1E92">
        <w:rPr>
          <w:rFonts w:eastAsia="PMingLiU" w:cs="Calibri"/>
          <w:spacing w:val="6"/>
        </w:rPr>
        <w:t xml:space="preserve"> </w:t>
      </w:r>
      <w:r w:rsidRPr="00EB1E92">
        <w:rPr>
          <w:rFonts w:eastAsia="PMingLiU" w:cs="Calibri"/>
        </w:rPr>
        <w:t>s naseljem</w:t>
      </w:r>
      <w:r w:rsidRPr="00EB1E92">
        <w:rPr>
          <w:rFonts w:eastAsia="PMingLiU" w:cs="Calibri"/>
          <w:spacing w:val="-9"/>
        </w:rPr>
        <w:t xml:space="preserve"> </w:t>
      </w:r>
      <w:r w:rsidRPr="00EB1E92">
        <w:rPr>
          <w:rFonts w:eastAsia="PMingLiU" w:cs="Calibri"/>
        </w:rPr>
        <w:t>Planina</w:t>
      </w:r>
      <w:r w:rsidRPr="00EB1E92">
        <w:rPr>
          <w:rFonts w:eastAsia="PMingLiU" w:cs="Calibri"/>
          <w:spacing w:val="-7"/>
        </w:rPr>
        <w:t xml:space="preserve"> </w:t>
      </w:r>
      <w:r w:rsidRPr="00EB1E92">
        <w:rPr>
          <w:rFonts w:eastAsia="PMingLiU" w:cs="Calibri"/>
        </w:rPr>
        <w:t>Gornja). Sa</w:t>
      </w:r>
      <w:r w:rsidRPr="00EB1E92">
        <w:rPr>
          <w:rFonts w:eastAsia="PMingLiU" w:cs="Calibri"/>
          <w:spacing w:val="9"/>
        </w:rPr>
        <w:t xml:space="preserve"> </w:t>
      </w:r>
      <w:r w:rsidRPr="00EB1E92">
        <w:rPr>
          <w:rFonts w:eastAsia="PMingLiU" w:cs="Calibri"/>
        </w:rPr>
        <w:t>stajališta</w:t>
      </w:r>
      <w:r w:rsidRPr="00EB1E92">
        <w:rPr>
          <w:rFonts w:eastAsia="PMingLiU" w:cs="Calibri"/>
          <w:spacing w:val="1"/>
        </w:rPr>
        <w:t xml:space="preserve"> oč</w:t>
      </w:r>
      <w:r w:rsidRPr="00EB1E92">
        <w:rPr>
          <w:rFonts w:eastAsia="PMingLiU" w:cs="Calibri"/>
        </w:rPr>
        <w:t>uvanja</w:t>
      </w:r>
      <w:r w:rsidRPr="00EB1E92">
        <w:rPr>
          <w:rFonts w:eastAsia="PMingLiU" w:cs="Calibri"/>
          <w:spacing w:val="3"/>
        </w:rPr>
        <w:t xml:space="preserve"> </w:t>
      </w:r>
      <w:r w:rsidRPr="00EB1E92">
        <w:rPr>
          <w:rFonts w:eastAsia="PMingLiU" w:cs="Calibri"/>
        </w:rPr>
        <w:t>biološke</w:t>
      </w:r>
      <w:r w:rsidRPr="00EB1E92">
        <w:rPr>
          <w:rFonts w:eastAsia="PMingLiU" w:cs="Calibri"/>
          <w:spacing w:val="4"/>
        </w:rPr>
        <w:t xml:space="preserve"> </w:t>
      </w:r>
      <w:r w:rsidRPr="00EB1E92">
        <w:rPr>
          <w:rFonts w:eastAsia="PMingLiU" w:cs="Calibri"/>
        </w:rPr>
        <w:t>raz</w:t>
      </w:r>
      <w:r w:rsidRPr="00EB1E92">
        <w:rPr>
          <w:rFonts w:eastAsia="PMingLiU" w:cs="Calibri"/>
          <w:spacing w:val="-1"/>
        </w:rPr>
        <w:t>n</w:t>
      </w:r>
      <w:r w:rsidRPr="00EB1E92">
        <w:rPr>
          <w:rFonts w:eastAsia="PMingLiU" w:cs="Calibri"/>
        </w:rPr>
        <w:t>olikos</w:t>
      </w:r>
      <w:r w:rsidRPr="00EB1E92">
        <w:rPr>
          <w:rFonts w:eastAsia="PMingLiU" w:cs="Calibri"/>
          <w:spacing w:val="-1"/>
        </w:rPr>
        <w:t>t</w:t>
      </w:r>
      <w:r w:rsidRPr="00EB1E92">
        <w:rPr>
          <w:rFonts w:eastAsia="PMingLiU" w:cs="Calibri"/>
        </w:rPr>
        <w:t>i, u</w:t>
      </w:r>
      <w:r w:rsidRPr="00EB1E92">
        <w:rPr>
          <w:rFonts w:eastAsia="PMingLiU" w:cs="Calibri"/>
          <w:spacing w:val="11"/>
        </w:rPr>
        <w:t xml:space="preserve"> </w:t>
      </w:r>
      <w:r w:rsidRPr="00EB1E92">
        <w:rPr>
          <w:rFonts w:eastAsia="PMingLiU" w:cs="Calibri"/>
        </w:rPr>
        <w:t>Parku</w:t>
      </w:r>
      <w:r w:rsidRPr="00EB1E92">
        <w:rPr>
          <w:rFonts w:eastAsia="PMingLiU" w:cs="Calibri"/>
          <w:spacing w:val="6"/>
        </w:rPr>
        <w:t xml:space="preserve"> </w:t>
      </w:r>
      <w:r w:rsidRPr="00EB1E92">
        <w:rPr>
          <w:rFonts w:eastAsia="PMingLiU" w:cs="Calibri"/>
        </w:rPr>
        <w:t>prirode</w:t>
      </w:r>
      <w:r w:rsidRPr="00EB1E92">
        <w:rPr>
          <w:rFonts w:eastAsia="PMingLiU" w:cs="Calibri"/>
          <w:spacing w:val="3"/>
        </w:rPr>
        <w:t xml:space="preserve"> </w:t>
      </w:r>
      <w:r w:rsidRPr="00EB1E92">
        <w:rPr>
          <w:rFonts w:eastAsia="PMingLiU" w:cs="Calibri"/>
        </w:rPr>
        <w:t>Medvedni</w:t>
      </w:r>
      <w:r w:rsidRPr="00EB1E92">
        <w:rPr>
          <w:rFonts w:eastAsia="PMingLiU" w:cs="Calibri"/>
          <w:spacing w:val="2"/>
        </w:rPr>
        <w:t>c</w:t>
      </w:r>
      <w:r w:rsidRPr="00EB1E92">
        <w:rPr>
          <w:rFonts w:eastAsia="PMingLiU" w:cs="Calibri"/>
        </w:rPr>
        <w:t>a obitava</w:t>
      </w:r>
      <w:r w:rsidRPr="00EB1E92">
        <w:rPr>
          <w:rFonts w:eastAsia="PMingLiU" w:cs="Calibri"/>
          <w:spacing w:val="5"/>
        </w:rPr>
        <w:t xml:space="preserve"> </w:t>
      </w:r>
      <w:r w:rsidRPr="00EB1E92">
        <w:rPr>
          <w:rFonts w:eastAsia="PMingLiU" w:cs="Calibri"/>
        </w:rPr>
        <w:t>veliki</w:t>
      </w:r>
      <w:r w:rsidRPr="00EB1E92">
        <w:rPr>
          <w:rFonts w:eastAsia="PMingLiU" w:cs="Calibri"/>
          <w:spacing w:val="7"/>
        </w:rPr>
        <w:t xml:space="preserve"> </w:t>
      </w:r>
      <w:r w:rsidRPr="00EB1E92">
        <w:rPr>
          <w:rFonts w:eastAsia="PMingLiU" w:cs="Calibri"/>
        </w:rPr>
        <w:t>br</w:t>
      </w:r>
      <w:r w:rsidRPr="00EB1E92">
        <w:rPr>
          <w:rFonts w:eastAsia="PMingLiU" w:cs="Calibri"/>
          <w:spacing w:val="-1"/>
        </w:rPr>
        <w:t>o</w:t>
      </w:r>
      <w:r w:rsidRPr="00EB1E92">
        <w:rPr>
          <w:rFonts w:eastAsia="PMingLiU" w:cs="Calibri"/>
        </w:rPr>
        <w:t>j zašti</w:t>
      </w:r>
      <w:r w:rsidRPr="00EB1E92">
        <w:rPr>
          <w:rFonts w:eastAsia="PMingLiU" w:cs="Calibri"/>
          <w:spacing w:val="1"/>
        </w:rPr>
        <w:t>ć</w:t>
      </w:r>
      <w:r w:rsidRPr="00EB1E92">
        <w:rPr>
          <w:rFonts w:eastAsia="PMingLiU" w:cs="Calibri"/>
        </w:rPr>
        <w:t>e</w:t>
      </w:r>
      <w:r w:rsidRPr="00EB1E92">
        <w:rPr>
          <w:rFonts w:eastAsia="PMingLiU" w:cs="Calibri"/>
          <w:spacing w:val="-1"/>
        </w:rPr>
        <w:t>n</w:t>
      </w:r>
      <w:r w:rsidRPr="00EB1E92">
        <w:rPr>
          <w:rFonts w:eastAsia="PMingLiU" w:cs="Calibri"/>
        </w:rPr>
        <w:t>ih,</w:t>
      </w:r>
      <w:r w:rsidRPr="00EB1E92">
        <w:rPr>
          <w:rFonts w:eastAsia="PMingLiU" w:cs="Calibri"/>
          <w:spacing w:val="1"/>
        </w:rPr>
        <w:t xml:space="preserve"> </w:t>
      </w:r>
      <w:r w:rsidRPr="00EB1E92">
        <w:rPr>
          <w:rFonts w:eastAsia="PMingLiU" w:cs="Calibri"/>
        </w:rPr>
        <w:t>ugroženih</w:t>
      </w:r>
      <w:r w:rsidRPr="00EB1E92">
        <w:rPr>
          <w:rFonts w:eastAsia="PMingLiU" w:cs="Calibri"/>
          <w:spacing w:val="2"/>
        </w:rPr>
        <w:t xml:space="preserve"> </w:t>
      </w:r>
      <w:r w:rsidRPr="00EB1E92">
        <w:rPr>
          <w:rFonts w:eastAsia="PMingLiU" w:cs="Calibri"/>
        </w:rPr>
        <w:t>i</w:t>
      </w:r>
      <w:r w:rsidRPr="00EB1E92">
        <w:rPr>
          <w:rFonts w:eastAsia="PMingLiU" w:cs="Calibri"/>
          <w:spacing w:val="11"/>
        </w:rPr>
        <w:t xml:space="preserve"> </w:t>
      </w:r>
      <w:r w:rsidRPr="00EB1E92">
        <w:rPr>
          <w:rFonts w:eastAsia="PMingLiU" w:cs="Calibri"/>
        </w:rPr>
        <w:t>endemi</w:t>
      </w:r>
      <w:r w:rsidRPr="00EB1E92">
        <w:rPr>
          <w:rFonts w:eastAsia="PMingLiU" w:cs="Calibri"/>
          <w:spacing w:val="1"/>
        </w:rPr>
        <w:t>č</w:t>
      </w:r>
      <w:r w:rsidRPr="00EB1E92">
        <w:rPr>
          <w:rFonts w:eastAsia="PMingLiU" w:cs="Calibri"/>
        </w:rPr>
        <w:t>nih vrsta i</w:t>
      </w:r>
      <w:r w:rsidRPr="00EB1E92">
        <w:t xml:space="preserve"> </w:t>
      </w:r>
      <w:r w:rsidRPr="00EB1E92">
        <w:rPr>
          <w:rFonts w:eastAsia="PMingLiU" w:cs="Calibri"/>
        </w:rPr>
        <w:t>predstavlja područje značajne biološke vrijednosti, sa zaštićenih 8</w:t>
      </w:r>
      <w:r w:rsidR="0067241E">
        <w:rPr>
          <w:rFonts w:eastAsia="PMingLiU" w:cs="Calibri"/>
        </w:rPr>
        <w:t xml:space="preserve"> posebnih rezervata šumske vegetacije</w:t>
      </w:r>
      <w:r w:rsidRPr="00EB1E92">
        <w:rPr>
          <w:rFonts w:eastAsia="PMingLiU" w:cs="Calibri"/>
        </w:rPr>
        <w:t>.</w:t>
      </w:r>
      <w:r w:rsidRPr="00EB1E92">
        <w:rPr>
          <w:rFonts w:eastAsia="PMingLiU" w:cs="Calibri"/>
          <w:spacing w:val="7"/>
        </w:rPr>
        <w:t xml:space="preserve"> </w:t>
      </w:r>
      <w:r w:rsidRPr="00EB1E92">
        <w:rPr>
          <w:rFonts w:eastAsia="PMingLiU" w:cs="Calibri"/>
        </w:rPr>
        <w:t>Medvednica je</w:t>
      </w:r>
      <w:r w:rsidRPr="00EB1E92">
        <w:rPr>
          <w:rFonts w:eastAsia="PMingLiU" w:cs="Calibri"/>
          <w:spacing w:val="11"/>
        </w:rPr>
        <w:t xml:space="preserve"> </w:t>
      </w:r>
      <w:r w:rsidRPr="00EB1E92">
        <w:rPr>
          <w:rFonts w:eastAsia="PMingLiU" w:cs="Calibri"/>
        </w:rPr>
        <w:t>ujedno</w:t>
      </w:r>
      <w:r w:rsidRPr="00EB1E92">
        <w:rPr>
          <w:rFonts w:eastAsia="PMingLiU" w:cs="Calibri"/>
          <w:spacing w:val="6"/>
        </w:rPr>
        <w:t xml:space="preserve"> </w:t>
      </w:r>
      <w:r w:rsidRPr="00EB1E92">
        <w:rPr>
          <w:rFonts w:eastAsia="PMingLiU" w:cs="Calibri"/>
        </w:rPr>
        <w:t>od</w:t>
      </w:r>
      <w:r w:rsidRPr="00EB1E92">
        <w:rPr>
          <w:rFonts w:eastAsia="PMingLiU" w:cs="Calibri"/>
          <w:spacing w:val="10"/>
        </w:rPr>
        <w:t xml:space="preserve"> </w:t>
      </w:r>
      <w:r w:rsidRPr="00EB1E92">
        <w:rPr>
          <w:rFonts w:eastAsia="PMingLiU" w:cs="Calibri"/>
        </w:rPr>
        <w:t>n</w:t>
      </w:r>
      <w:r w:rsidRPr="00EB1E92">
        <w:rPr>
          <w:rFonts w:eastAsia="PMingLiU" w:cs="Calibri"/>
          <w:spacing w:val="-1"/>
        </w:rPr>
        <w:t>a</w:t>
      </w:r>
      <w:r w:rsidRPr="00EB1E92">
        <w:rPr>
          <w:rFonts w:eastAsia="PMingLiU" w:cs="Calibri"/>
        </w:rPr>
        <w:t>cionalne</w:t>
      </w:r>
      <w:r w:rsidRPr="00EB1E92">
        <w:rPr>
          <w:rFonts w:eastAsia="PMingLiU" w:cs="Calibri"/>
          <w:spacing w:val="1"/>
        </w:rPr>
        <w:t xml:space="preserve"> </w:t>
      </w:r>
      <w:r w:rsidRPr="00EB1E92">
        <w:rPr>
          <w:rFonts w:eastAsia="PMingLiU" w:cs="Calibri"/>
        </w:rPr>
        <w:t>važnosti</w:t>
      </w:r>
      <w:r w:rsidRPr="00EB1E92">
        <w:rPr>
          <w:rFonts w:eastAsia="PMingLiU" w:cs="Calibri"/>
          <w:spacing w:val="4"/>
        </w:rPr>
        <w:t xml:space="preserve"> </w:t>
      </w:r>
      <w:r w:rsidR="0019262D">
        <w:rPr>
          <w:rFonts w:eastAsia="PMingLiU" w:cs="Calibri"/>
          <w:spacing w:val="4"/>
        </w:rPr>
        <w:t xml:space="preserve">i </w:t>
      </w:r>
      <w:r w:rsidRPr="00EB1E92">
        <w:rPr>
          <w:rFonts w:eastAsia="PMingLiU" w:cs="Calibri"/>
        </w:rPr>
        <w:t>sastavni</w:t>
      </w:r>
      <w:r w:rsidRPr="00EB1E92">
        <w:rPr>
          <w:rFonts w:eastAsia="PMingLiU" w:cs="Calibri"/>
          <w:spacing w:val="-8"/>
        </w:rPr>
        <w:t xml:space="preserve"> </w:t>
      </w:r>
      <w:r w:rsidRPr="00EB1E92">
        <w:rPr>
          <w:rFonts w:eastAsia="PMingLiU" w:cs="Calibri"/>
        </w:rPr>
        <w:t>dio</w:t>
      </w:r>
      <w:r w:rsidRPr="00EB1E92">
        <w:rPr>
          <w:rFonts w:eastAsia="PMingLiU" w:cs="Calibri"/>
          <w:spacing w:val="-4"/>
        </w:rPr>
        <w:t xml:space="preserve"> </w:t>
      </w:r>
      <w:r w:rsidRPr="00EB1E92">
        <w:rPr>
          <w:rFonts w:eastAsia="PMingLiU" w:cs="Calibri"/>
        </w:rPr>
        <w:t>ekološke</w:t>
      </w:r>
      <w:r w:rsidRPr="00EB1E92">
        <w:rPr>
          <w:rFonts w:eastAsia="PMingLiU" w:cs="Calibri"/>
          <w:spacing w:val="-10"/>
        </w:rPr>
        <w:t xml:space="preserve"> </w:t>
      </w:r>
      <w:r w:rsidRPr="00EB1E92">
        <w:rPr>
          <w:rFonts w:eastAsia="PMingLiU" w:cs="Calibri"/>
        </w:rPr>
        <w:t>mreže</w:t>
      </w:r>
      <w:r w:rsidRPr="00EB1E92">
        <w:rPr>
          <w:rFonts w:eastAsia="PMingLiU" w:cs="Calibri"/>
          <w:spacing w:val="-6"/>
        </w:rPr>
        <w:t xml:space="preserve"> </w:t>
      </w:r>
      <w:r w:rsidRPr="00EB1E92">
        <w:rPr>
          <w:rFonts w:eastAsia="PMingLiU" w:cs="Calibri"/>
        </w:rPr>
        <w:t>Natura</w:t>
      </w:r>
      <w:r w:rsidRPr="00EB1E92">
        <w:rPr>
          <w:rFonts w:eastAsia="PMingLiU" w:cs="Calibri"/>
          <w:spacing w:val="-7"/>
        </w:rPr>
        <w:t xml:space="preserve"> </w:t>
      </w:r>
      <w:r w:rsidRPr="00EB1E92">
        <w:rPr>
          <w:rFonts w:eastAsia="PMingLiU" w:cs="Calibri"/>
        </w:rPr>
        <w:t>2000. Sama</w:t>
      </w:r>
      <w:r w:rsidRPr="00EB1E92">
        <w:rPr>
          <w:rFonts w:eastAsia="PMingLiU" w:cs="Calibri"/>
          <w:spacing w:val="4"/>
        </w:rPr>
        <w:t xml:space="preserve"> </w:t>
      </w:r>
      <w:r w:rsidRPr="00EB1E92">
        <w:rPr>
          <w:rFonts w:eastAsia="PMingLiU" w:cs="Calibri"/>
          <w:spacing w:val="1"/>
        </w:rPr>
        <w:t>č</w:t>
      </w:r>
      <w:r w:rsidRPr="00EB1E92">
        <w:rPr>
          <w:rFonts w:eastAsia="PMingLiU" w:cs="Calibri"/>
        </w:rPr>
        <w:t>injenica</w:t>
      </w:r>
      <w:r w:rsidRPr="00EB1E92">
        <w:rPr>
          <w:rFonts w:eastAsia="PMingLiU" w:cs="Calibri"/>
          <w:spacing w:val="1"/>
        </w:rPr>
        <w:t xml:space="preserve"> </w:t>
      </w:r>
      <w:r w:rsidRPr="00EB1E92">
        <w:rPr>
          <w:rFonts w:eastAsia="PMingLiU" w:cs="Calibri"/>
        </w:rPr>
        <w:t>postojanja Parka</w:t>
      </w:r>
      <w:r w:rsidRPr="00EB1E92">
        <w:rPr>
          <w:rFonts w:eastAsia="PMingLiU" w:cs="Calibri"/>
          <w:spacing w:val="4"/>
        </w:rPr>
        <w:t xml:space="preserve"> </w:t>
      </w:r>
      <w:r w:rsidRPr="00EB1E92">
        <w:rPr>
          <w:rFonts w:eastAsia="PMingLiU" w:cs="Calibri"/>
        </w:rPr>
        <w:t>prirode</w:t>
      </w:r>
      <w:r w:rsidRPr="00EB1E92">
        <w:rPr>
          <w:rFonts w:eastAsia="PMingLiU" w:cs="Calibri"/>
          <w:spacing w:val="3"/>
        </w:rPr>
        <w:t xml:space="preserve"> </w:t>
      </w:r>
      <w:r w:rsidRPr="00EB1E92">
        <w:rPr>
          <w:rFonts w:eastAsia="PMingLiU" w:cs="Calibri"/>
        </w:rPr>
        <w:t>unutar</w:t>
      </w:r>
      <w:r w:rsidRPr="00EB1E92">
        <w:rPr>
          <w:rFonts w:eastAsia="PMingLiU" w:cs="Calibri"/>
          <w:spacing w:val="4"/>
        </w:rPr>
        <w:t xml:space="preserve"> </w:t>
      </w:r>
      <w:r w:rsidRPr="00EB1E92">
        <w:rPr>
          <w:rFonts w:eastAsia="PMingLiU" w:cs="Calibri"/>
        </w:rPr>
        <w:t>granica</w:t>
      </w:r>
      <w:r w:rsidRPr="00EB1E92">
        <w:rPr>
          <w:rFonts w:eastAsia="PMingLiU" w:cs="Calibri"/>
          <w:spacing w:val="3"/>
        </w:rPr>
        <w:t xml:space="preserve"> </w:t>
      </w:r>
      <w:r w:rsidRPr="00EB1E92">
        <w:rPr>
          <w:rFonts w:eastAsia="PMingLiU" w:cs="Calibri"/>
        </w:rPr>
        <w:t>Grada,</w:t>
      </w:r>
      <w:r w:rsidRPr="00EB1E92">
        <w:rPr>
          <w:rFonts w:eastAsia="PMingLiU" w:cs="Calibri"/>
          <w:spacing w:val="3"/>
        </w:rPr>
        <w:t xml:space="preserve"> </w:t>
      </w:r>
      <w:r w:rsidRPr="00EB1E92">
        <w:rPr>
          <w:rFonts w:eastAsia="PMingLiU" w:cs="Calibri"/>
        </w:rPr>
        <w:t>te</w:t>
      </w:r>
      <w:r w:rsidRPr="00EB1E92">
        <w:rPr>
          <w:rFonts w:eastAsia="PMingLiU" w:cs="Calibri"/>
          <w:spacing w:val="8"/>
        </w:rPr>
        <w:t xml:space="preserve"> </w:t>
      </w:r>
      <w:r w:rsidRPr="00EB1E92">
        <w:rPr>
          <w:rFonts w:eastAsia="PMingLiU" w:cs="Calibri"/>
        </w:rPr>
        <w:t>zn</w:t>
      </w:r>
      <w:r w:rsidRPr="00EB1E92">
        <w:rPr>
          <w:rFonts w:eastAsia="PMingLiU" w:cs="Calibri"/>
          <w:spacing w:val="1"/>
        </w:rPr>
        <w:t>ač</w:t>
      </w:r>
      <w:r w:rsidRPr="00EB1E92">
        <w:rPr>
          <w:rFonts w:eastAsia="PMingLiU" w:cs="Calibri"/>
        </w:rPr>
        <w:t>enje</w:t>
      </w:r>
      <w:r w:rsidRPr="00EB1E92">
        <w:rPr>
          <w:rFonts w:eastAsia="PMingLiU" w:cs="Calibri"/>
          <w:spacing w:val="1"/>
        </w:rPr>
        <w:t xml:space="preserve"> </w:t>
      </w:r>
      <w:r w:rsidRPr="00EB1E92">
        <w:rPr>
          <w:rFonts w:eastAsia="PMingLiU" w:cs="Calibri"/>
        </w:rPr>
        <w:t>usluga ekosustava</w:t>
      </w:r>
      <w:r w:rsidRPr="00EB1E92">
        <w:rPr>
          <w:rFonts w:eastAsia="PMingLiU" w:cs="Calibri"/>
          <w:spacing w:val="-6"/>
        </w:rPr>
        <w:t xml:space="preserve"> </w:t>
      </w:r>
      <w:r w:rsidRPr="00EB1E92">
        <w:rPr>
          <w:rFonts w:eastAsia="PMingLiU" w:cs="Calibri"/>
        </w:rPr>
        <w:t>Medvednic</w:t>
      </w:r>
      <w:r w:rsidRPr="00EB1E92">
        <w:rPr>
          <w:rFonts w:eastAsia="PMingLiU" w:cs="Calibri"/>
          <w:spacing w:val="1"/>
        </w:rPr>
        <w:t>e</w:t>
      </w:r>
      <w:r w:rsidRPr="00EB1E92">
        <w:rPr>
          <w:rFonts w:eastAsia="PMingLiU" w:cs="Calibri"/>
        </w:rPr>
        <w:t>,</w:t>
      </w:r>
      <w:r w:rsidRPr="00EB1E92">
        <w:rPr>
          <w:rFonts w:eastAsia="PMingLiU" w:cs="Calibri"/>
          <w:spacing w:val="-7"/>
        </w:rPr>
        <w:t xml:space="preserve"> </w:t>
      </w:r>
      <w:r w:rsidRPr="00EB1E92">
        <w:rPr>
          <w:rFonts w:eastAsia="PMingLiU" w:cs="Calibri"/>
        </w:rPr>
        <w:t>koje</w:t>
      </w:r>
      <w:r w:rsidRPr="00EB1E92">
        <w:rPr>
          <w:rFonts w:eastAsia="PMingLiU" w:cs="Calibri"/>
          <w:spacing w:val="1"/>
        </w:rPr>
        <w:t xml:space="preserve"> </w:t>
      </w:r>
      <w:r w:rsidRPr="00EB1E92">
        <w:rPr>
          <w:rFonts w:eastAsia="PMingLiU" w:cs="Calibri"/>
        </w:rPr>
        <w:t>su</w:t>
      </w:r>
      <w:r w:rsidRPr="00EB1E92">
        <w:rPr>
          <w:rFonts w:eastAsia="PMingLiU" w:cs="Calibri"/>
          <w:spacing w:val="3"/>
        </w:rPr>
        <w:t xml:space="preserve"> </w:t>
      </w:r>
      <w:r w:rsidRPr="00EB1E92">
        <w:rPr>
          <w:rFonts w:eastAsia="PMingLiU" w:cs="Calibri"/>
        </w:rPr>
        <w:t>brojne</w:t>
      </w:r>
      <w:r w:rsidRPr="00EB1E92">
        <w:rPr>
          <w:rFonts w:eastAsia="PMingLiU" w:cs="Calibri"/>
          <w:spacing w:val="-1"/>
        </w:rPr>
        <w:t xml:space="preserve"> </w:t>
      </w:r>
      <w:r w:rsidRPr="00EB1E92">
        <w:rPr>
          <w:rFonts w:eastAsia="PMingLiU" w:cs="Calibri"/>
        </w:rPr>
        <w:t>i</w:t>
      </w:r>
      <w:r w:rsidRPr="00EB1E92">
        <w:rPr>
          <w:rFonts w:eastAsia="PMingLiU" w:cs="Calibri"/>
          <w:spacing w:val="4"/>
        </w:rPr>
        <w:t xml:space="preserve"> </w:t>
      </w:r>
      <w:r w:rsidRPr="00EB1E92">
        <w:rPr>
          <w:rFonts w:eastAsia="PMingLiU" w:cs="Calibri"/>
        </w:rPr>
        <w:t>uklju</w:t>
      </w:r>
      <w:r w:rsidRPr="00EB1E92">
        <w:rPr>
          <w:rFonts w:eastAsia="PMingLiU" w:cs="Calibri"/>
          <w:spacing w:val="1"/>
        </w:rPr>
        <w:t>č</w:t>
      </w:r>
      <w:r w:rsidRPr="00EB1E92">
        <w:rPr>
          <w:rFonts w:eastAsia="PMingLiU" w:cs="Calibri"/>
        </w:rPr>
        <w:t>uju</w:t>
      </w:r>
      <w:r w:rsidRPr="00EB1E92">
        <w:rPr>
          <w:rFonts w:eastAsia="PMingLiU" w:cs="Calibri"/>
          <w:spacing w:val="-4"/>
        </w:rPr>
        <w:t xml:space="preserve"> </w:t>
      </w:r>
      <w:r w:rsidRPr="00EB1E92">
        <w:rPr>
          <w:rFonts w:eastAsia="PMingLiU" w:cs="Calibri"/>
        </w:rPr>
        <w:t>usluge</w:t>
      </w:r>
      <w:r w:rsidRPr="00EB1E92">
        <w:rPr>
          <w:rFonts w:eastAsia="PMingLiU" w:cs="Calibri"/>
          <w:spacing w:val="-1"/>
        </w:rPr>
        <w:t xml:space="preserve"> </w:t>
      </w:r>
      <w:r w:rsidRPr="00EB1E92">
        <w:rPr>
          <w:rFonts w:eastAsia="PMingLiU" w:cs="Calibri"/>
        </w:rPr>
        <w:t>opskrbe</w:t>
      </w:r>
      <w:r w:rsidRPr="00EB1E92">
        <w:rPr>
          <w:rFonts w:eastAsia="PMingLiU" w:cs="Calibri"/>
          <w:spacing w:val="-3"/>
        </w:rPr>
        <w:t xml:space="preserve"> </w:t>
      </w:r>
      <w:r w:rsidRPr="00EB1E92">
        <w:rPr>
          <w:rFonts w:eastAsia="PMingLiU" w:cs="Calibri"/>
        </w:rPr>
        <w:t>(hranom,</w:t>
      </w:r>
      <w:r w:rsidRPr="00EB1E92">
        <w:rPr>
          <w:rFonts w:eastAsia="PMingLiU" w:cs="Calibri"/>
          <w:spacing w:val="-4"/>
        </w:rPr>
        <w:t xml:space="preserve"> </w:t>
      </w:r>
      <w:r w:rsidRPr="00EB1E92">
        <w:rPr>
          <w:rFonts w:eastAsia="PMingLiU" w:cs="Calibri"/>
        </w:rPr>
        <w:t>drvnom</w:t>
      </w:r>
      <w:r w:rsidRPr="00EB1E92">
        <w:rPr>
          <w:rFonts w:eastAsia="PMingLiU" w:cs="Calibri"/>
          <w:spacing w:val="-2"/>
        </w:rPr>
        <w:t xml:space="preserve"> </w:t>
      </w:r>
      <w:r w:rsidRPr="00EB1E92">
        <w:rPr>
          <w:rFonts w:eastAsia="PMingLiU" w:cs="Calibri"/>
        </w:rPr>
        <w:t>masom, vodom,</w:t>
      </w:r>
      <w:r w:rsidRPr="00EB1E92">
        <w:rPr>
          <w:rFonts w:eastAsia="PMingLiU" w:cs="Calibri"/>
          <w:spacing w:val="3"/>
        </w:rPr>
        <w:t xml:space="preserve"> </w:t>
      </w:r>
      <w:r w:rsidRPr="00EB1E92">
        <w:rPr>
          <w:rFonts w:eastAsia="PMingLiU" w:cs="Calibri"/>
        </w:rPr>
        <w:t>ljekovitim</w:t>
      </w:r>
      <w:r w:rsidRPr="00EB1E92">
        <w:rPr>
          <w:rFonts w:eastAsia="PMingLiU" w:cs="Calibri"/>
          <w:spacing w:val="1"/>
        </w:rPr>
        <w:t xml:space="preserve"> </w:t>
      </w:r>
      <w:r w:rsidRPr="00EB1E92">
        <w:rPr>
          <w:rFonts w:eastAsia="PMingLiU" w:cs="Calibri"/>
        </w:rPr>
        <w:t>biljk</w:t>
      </w:r>
      <w:r w:rsidRPr="00EB1E92">
        <w:rPr>
          <w:rFonts w:eastAsia="PMingLiU" w:cs="Calibri"/>
          <w:spacing w:val="-1"/>
        </w:rPr>
        <w:t>a</w:t>
      </w:r>
      <w:r w:rsidRPr="00EB1E92">
        <w:rPr>
          <w:rFonts w:eastAsia="PMingLiU" w:cs="Calibri"/>
        </w:rPr>
        <w:t>ma),</w:t>
      </w:r>
      <w:r w:rsidRPr="00EB1E92">
        <w:rPr>
          <w:rFonts w:eastAsia="PMingLiU" w:cs="Calibri"/>
          <w:spacing w:val="2"/>
        </w:rPr>
        <w:t xml:space="preserve"> </w:t>
      </w:r>
      <w:r w:rsidRPr="00EB1E92">
        <w:rPr>
          <w:rFonts w:eastAsia="PMingLiU" w:cs="Calibri"/>
        </w:rPr>
        <w:t>zatim</w:t>
      </w:r>
      <w:r w:rsidRPr="00EB1E92">
        <w:rPr>
          <w:rFonts w:eastAsia="PMingLiU" w:cs="Calibri"/>
          <w:spacing w:val="5"/>
        </w:rPr>
        <w:t xml:space="preserve"> </w:t>
      </w:r>
      <w:r w:rsidRPr="00EB1E92">
        <w:rPr>
          <w:rFonts w:eastAsia="PMingLiU" w:cs="Calibri"/>
        </w:rPr>
        <w:t>usluge</w:t>
      </w:r>
      <w:r w:rsidRPr="00EB1E92">
        <w:rPr>
          <w:rFonts w:eastAsia="PMingLiU" w:cs="Calibri"/>
          <w:spacing w:val="4"/>
        </w:rPr>
        <w:t xml:space="preserve"> </w:t>
      </w:r>
      <w:r w:rsidRPr="00EB1E92">
        <w:rPr>
          <w:rFonts w:eastAsia="PMingLiU" w:cs="Calibri"/>
        </w:rPr>
        <w:t>r</w:t>
      </w:r>
      <w:r w:rsidRPr="00EB1E92">
        <w:rPr>
          <w:rFonts w:eastAsia="PMingLiU" w:cs="Calibri"/>
          <w:spacing w:val="-1"/>
        </w:rPr>
        <w:t>e</w:t>
      </w:r>
      <w:r w:rsidRPr="00EB1E92">
        <w:rPr>
          <w:rFonts w:eastAsia="PMingLiU" w:cs="Calibri"/>
        </w:rPr>
        <w:t>gulacije (l</w:t>
      </w:r>
      <w:r w:rsidRPr="00EB1E92">
        <w:rPr>
          <w:rFonts w:eastAsia="PMingLiU" w:cs="Calibri"/>
          <w:spacing w:val="-1"/>
        </w:rPr>
        <w:t>o</w:t>
      </w:r>
      <w:r w:rsidRPr="00EB1E92">
        <w:rPr>
          <w:rFonts w:eastAsia="PMingLiU" w:cs="Calibri"/>
          <w:spacing w:val="1"/>
        </w:rPr>
        <w:t>k</w:t>
      </w:r>
      <w:r w:rsidRPr="00EB1E92">
        <w:rPr>
          <w:rFonts w:eastAsia="PMingLiU" w:cs="Calibri"/>
        </w:rPr>
        <w:t>alna</w:t>
      </w:r>
      <w:r w:rsidRPr="00EB1E92">
        <w:rPr>
          <w:rFonts w:eastAsia="PMingLiU" w:cs="Calibri"/>
          <w:spacing w:val="3"/>
        </w:rPr>
        <w:t xml:space="preserve"> </w:t>
      </w:r>
      <w:r w:rsidRPr="00EB1E92">
        <w:rPr>
          <w:rFonts w:eastAsia="PMingLiU" w:cs="Calibri"/>
        </w:rPr>
        <w:t>klima,</w:t>
      </w:r>
      <w:r w:rsidRPr="00EB1E92">
        <w:rPr>
          <w:rFonts w:eastAsia="PMingLiU" w:cs="Calibri"/>
          <w:spacing w:val="5"/>
        </w:rPr>
        <w:t xml:space="preserve"> </w:t>
      </w:r>
      <w:r w:rsidRPr="00EB1E92">
        <w:rPr>
          <w:rFonts w:eastAsia="PMingLiU" w:cs="Calibri"/>
        </w:rPr>
        <w:t>regulac</w:t>
      </w:r>
      <w:r w:rsidRPr="00EB1E92">
        <w:rPr>
          <w:rFonts w:eastAsia="PMingLiU" w:cs="Calibri"/>
          <w:spacing w:val="-1"/>
        </w:rPr>
        <w:t>i</w:t>
      </w:r>
      <w:r w:rsidRPr="00EB1E92">
        <w:rPr>
          <w:rFonts w:eastAsia="PMingLiU" w:cs="Calibri"/>
        </w:rPr>
        <w:t>ja poplava, kvaliteta</w:t>
      </w:r>
      <w:r w:rsidRPr="00EB1E92">
        <w:rPr>
          <w:rFonts w:eastAsia="PMingLiU" w:cs="Calibri"/>
          <w:spacing w:val="42"/>
        </w:rPr>
        <w:t xml:space="preserve"> </w:t>
      </w:r>
      <w:r w:rsidRPr="00EB1E92">
        <w:rPr>
          <w:rFonts w:eastAsia="PMingLiU" w:cs="Calibri"/>
        </w:rPr>
        <w:t>zr</w:t>
      </w:r>
      <w:r w:rsidRPr="00EB1E92">
        <w:rPr>
          <w:rFonts w:eastAsia="PMingLiU" w:cs="Calibri"/>
          <w:spacing w:val="-1"/>
        </w:rPr>
        <w:t>a</w:t>
      </w:r>
      <w:r w:rsidRPr="00EB1E92">
        <w:rPr>
          <w:rFonts w:eastAsia="PMingLiU" w:cs="Calibri"/>
          <w:spacing w:val="1"/>
        </w:rPr>
        <w:t>k</w:t>
      </w:r>
      <w:r w:rsidRPr="00EB1E92">
        <w:rPr>
          <w:rFonts w:eastAsia="PMingLiU" w:cs="Calibri"/>
        </w:rPr>
        <w:t>a,</w:t>
      </w:r>
      <w:r w:rsidRPr="00EB1E92">
        <w:rPr>
          <w:rFonts w:eastAsia="PMingLiU" w:cs="Calibri"/>
          <w:spacing w:val="44"/>
        </w:rPr>
        <w:t xml:space="preserve"> </w:t>
      </w:r>
      <w:r w:rsidRPr="00EB1E92">
        <w:rPr>
          <w:rFonts w:eastAsia="PMingLiU" w:cs="Calibri"/>
        </w:rPr>
        <w:t>skladiš</w:t>
      </w:r>
      <w:r w:rsidRPr="00EB1E92">
        <w:rPr>
          <w:rFonts w:eastAsia="PMingLiU" w:cs="Calibri"/>
          <w:spacing w:val="-1"/>
        </w:rPr>
        <w:t>t</w:t>
      </w:r>
      <w:r w:rsidRPr="00EB1E92">
        <w:rPr>
          <w:rFonts w:eastAsia="PMingLiU" w:cs="Calibri"/>
        </w:rPr>
        <w:t>enje</w:t>
      </w:r>
      <w:r w:rsidRPr="00EB1E92">
        <w:rPr>
          <w:rFonts w:eastAsia="PMingLiU" w:cs="Calibri"/>
          <w:spacing w:val="39"/>
        </w:rPr>
        <w:t xml:space="preserve"> </w:t>
      </w:r>
      <w:r w:rsidRPr="00EB1E92">
        <w:rPr>
          <w:rFonts w:eastAsia="PMingLiU" w:cs="Calibri"/>
        </w:rPr>
        <w:t>uglj</w:t>
      </w:r>
      <w:r w:rsidRPr="00EB1E92">
        <w:rPr>
          <w:rFonts w:eastAsia="PMingLiU" w:cs="Calibri"/>
          <w:spacing w:val="2"/>
        </w:rPr>
        <w:t>i</w:t>
      </w:r>
      <w:r w:rsidRPr="00EB1E92">
        <w:rPr>
          <w:rFonts w:eastAsia="PMingLiU" w:cs="Calibri"/>
          <w:spacing w:val="1"/>
        </w:rPr>
        <w:t>č</w:t>
      </w:r>
      <w:r w:rsidRPr="00EB1E92">
        <w:rPr>
          <w:rFonts w:eastAsia="PMingLiU" w:cs="Calibri"/>
          <w:spacing w:val="-1"/>
        </w:rPr>
        <w:t>n</w:t>
      </w:r>
      <w:r w:rsidRPr="00EB1E92">
        <w:rPr>
          <w:rFonts w:eastAsia="PMingLiU" w:cs="Calibri"/>
        </w:rPr>
        <w:t>og</w:t>
      </w:r>
      <w:r w:rsidRPr="00EB1E92">
        <w:rPr>
          <w:rFonts w:eastAsia="PMingLiU" w:cs="Calibri"/>
          <w:spacing w:val="42"/>
        </w:rPr>
        <w:t xml:space="preserve"> </w:t>
      </w:r>
      <w:r w:rsidRPr="00EB1E92">
        <w:rPr>
          <w:rFonts w:eastAsia="PMingLiU" w:cs="Calibri"/>
        </w:rPr>
        <w:t>dioksida</w:t>
      </w:r>
      <w:r w:rsidRPr="00EB1E92">
        <w:rPr>
          <w:rFonts w:eastAsia="PMingLiU" w:cs="Calibri"/>
          <w:spacing w:val="41"/>
        </w:rPr>
        <w:t xml:space="preserve"> </w:t>
      </w:r>
      <w:r w:rsidRPr="00EB1E92">
        <w:rPr>
          <w:rFonts w:eastAsia="PMingLiU" w:cs="Calibri"/>
        </w:rPr>
        <w:t>i</w:t>
      </w:r>
      <w:r w:rsidRPr="00EB1E92">
        <w:rPr>
          <w:rFonts w:eastAsia="PMingLiU" w:cs="Calibri"/>
          <w:spacing w:val="51"/>
        </w:rPr>
        <w:t xml:space="preserve"> </w:t>
      </w:r>
      <w:r w:rsidRPr="00EB1E92">
        <w:rPr>
          <w:rFonts w:eastAsia="PMingLiU" w:cs="Calibri"/>
        </w:rPr>
        <w:t>on</w:t>
      </w:r>
      <w:r w:rsidRPr="00EB1E92">
        <w:rPr>
          <w:rFonts w:eastAsia="PMingLiU" w:cs="Calibri"/>
          <w:spacing w:val="-1"/>
        </w:rPr>
        <w:t>e</w:t>
      </w:r>
      <w:r w:rsidRPr="00EB1E92">
        <w:rPr>
          <w:rFonts w:eastAsia="PMingLiU" w:cs="Calibri"/>
          <w:spacing w:val="1"/>
        </w:rPr>
        <w:t>č</w:t>
      </w:r>
      <w:r w:rsidRPr="00EB1E92">
        <w:rPr>
          <w:rFonts w:eastAsia="PMingLiU" w:cs="Calibri"/>
        </w:rPr>
        <w:t>i</w:t>
      </w:r>
      <w:r w:rsidRPr="00EB1E92">
        <w:rPr>
          <w:rFonts w:eastAsia="PMingLiU" w:cs="Calibri"/>
          <w:spacing w:val="1"/>
        </w:rPr>
        <w:t>š</w:t>
      </w:r>
      <w:r w:rsidRPr="00EB1E92">
        <w:rPr>
          <w:rFonts w:eastAsia="PMingLiU" w:cs="Calibri"/>
          <w:spacing w:val="-1"/>
        </w:rPr>
        <w:t>ć</w:t>
      </w:r>
      <w:r w:rsidRPr="00EB1E92">
        <w:rPr>
          <w:rFonts w:eastAsia="PMingLiU" w:cs="Calibri"/>
        </w:rPr>
        <w:t>uju</w:t>
      </w:r>
      <w:r w:rsidRPr="00EB1E92">
        <w:rPr>
          <w:rFonts w:eastAsia="PMingLiU" w:cs="Calibri"/>
          <w:spacing w:val="1"/>
        </w:rPr>
        <w:t>ć</w:t>
      </w:r>
      <w:r w:rsidRPr="00EB1E92">
        <w:rPr>
          <w:rFonts w:eastAsia="PMingLiU" w:cs="Calibri"/>
        </w:rPr>
        <w:t>ih</w:t>
      </w:r>
      <w:r w:rsidRPr="00EB1E92">
        <w:rPr>
          <w:rFonts w:eastAsia="PMingLiU" w:cs="Calibri"/>
          <w:spacing w:val="37"/>
        </w:rPr>
        <w:t xml:space="preserve"> </w:t>
      </w:r>
      <w:r w:rsidRPr="00EB1E92">
        <w:rPr>
          <w:rFonts w:eastAsia="PMingLiU" w:cs="Calibri"/>
        </w:rPr>
        <w:t>tvari,</w:t>
      </w:r>
      <w:r w:rsidRPr="00EB1E92">
        <w:rPr>
          <w:rFonts w:eastAsia="PMingLiU" w:cs="Calibri"/>
          <w:spacing w:val="44"/>
        </w:rPr>
        <w:t xml:space="preserve"> </w:t>
      </w:r>
      <w:r w:rsidRPr="00EB1E92">
        <w:rPr>
          <w:rFonts w:eastAsia="PMingLiU" w:cs="Calibri"/>
        </w:rPr>
        <w:t>spre</w:t>
      </w:r>
      <w:r w:rsidRPr="00EB1E92">
        <w:rPr>
          <w:rFonts w:eastAsia="PMingLiU" w:cs="Calibri"/>
          <w:spacing w:val="1"/>
        </w:rPr>
        <w:t>č</w:t>
      </w:r>
      <w:r w:rsidRPr="00EB1E92">
        <w:rPr>
          <w:rFonts w:eastAsia="PMingLiU" w:cs="Calibri"/>
        </w:rPr>
        <w:t>avanje</w:t>
      </w:r>
      <w:r w:rsidRPr="00EB1E92">
        <w:rPr>
          <w:rFonts w:eastAsia="PMingLiU" w:cs="Calibri"/>
          <w:spacing w:val="37"/>
        </w:rPr>
        <w:t xml:space="preserve"> </w:t>
      </w:r>
      <w:r w:rsidRPr="00EB1E92">
        <w:rPr>
          <w:rFonts w:eastAsia="PMingLiU" w:cs="Calibri"/>
        </w:rPr>
        <w:t>erozije, održavanje</w:t>
      </w:r>
      <w:r w:rsidRPr="00EB1E92">
        <w:rPr>
          <w:rFonts w:eastAsia="PMingLiU" w:cs="Calibri"/>
          <w:spacing w:val="-10"/>
        </w:rPr>
        <w:t xml:space="preserve"> </w:t>
      </w:r>
      <w:r w:rsidRPr="00EB1E92">
        <w:rPr>
          <w:rFonts w:eastAsia="PMingLiU" w:cs="Calibri"/>
        </w:rPr>
        <w:t>plodnosti</w:t>
      </w:r>
      <w:r w:rsidRPr="00EB1E92">
        <w:rPr>
          <w:rFonts w:eastAsia="PMingLiU" w:cs="Calibri"/>
          <w:spacing w:val="-8"/>
        </w:rPr>
        <w:t xml:space="preserve"> </w:t>
      </w:r>
      <w:r w:rsidRPr="00EB1E92">
        <w:rPr>
          <w:rFonts w:eastAsia="PMingLiU" w:cs="Calibri"/>
          <w:spacing w:val="-1"/>
        </w:rPr>
        <w:t>t</w:t>
      </w:r>
      <w:r w:rsidRPr="00EB1E92">
        <w:rPr>
          <w:rFonts w:eastAsia="PMingLiU" w:cs="Calibri"/>
        </w:rPr>
        <w:t>l</w:t>
      </w:r>
      <w:r w:rsidRPr="00EB1E92">
        <w:rPr>
          <w:rFonts w:eastAsia="PMingLiU" w:cs="Calibri"/>
          <w:spacing w:val="-1"/>
        </w:rPr>
        <w:t>a</w:t>
      </w:r>
      <w:r w:rsidRPr="00EB1E92">
        <w:rPr>
          <w:rFonts w:eastAsia="PMingLiU" w:cs="Calibri"/>
        </w:rPr>
        <w:t>,</w:t>
      </w:r>
      <w:r w:rsidRPr="00EB1E92">
        <w:rPr>
          <w:rFonts w:eastAsia="PMingLiU" w:cs="Calibri"/>
          <w:spacing w:val="-2"/>
        </w:rPr>
        <w:t xml:space="preserve"> </w:t>
      </w:r>
      <w:r w:rsidRPr="00EB1E92">
        <w:rPr>
          <w:rFonts w:eastAsia="PMingLiU" w:cs="Calibri"/>
        </w:rPr>
        <w:t>oprašivan</w:t>
      </w:r>
      <w:r w:rsidRPr="00EB1E92">
        <w:rPr>
          <w:rFonts w:eastAsia="PMingLiU" w:cs="Calibri"/>
          <w:spacing w:val="-1"/>
        </w:rPr>
        <w:t>j</w:t>
      </w:r>
      <w:r w:rsidRPr="00EB1E92">
        <w:rPr>
          <w:rFonts w:eastAsia="PMingLiU" w:cs="Calibri"/>
        </w:rPr>
        <w:t>e</w:t>
      </w:r>
      <w:r w:rsidRPr="00EB1E92">
        <w:rPr>
          <w:rFonts w:eastAsia="PMingLiU" w:cs="Calibri"/>
          <w:spacing w:val="-9"/>
        </w:rPr>
        <w:t xml:space="preserve"> </w:t>
      </w:r>
      <w:r w:rsidRPr="00EB1E92">
        <w:rPr>
          <w:rFonts w:eastAsia="PMingLiU" w:cs="Calibri"/>
        </w:rPr>
        <w:t>biljak</w:t>
      </w:r>
      <w:r w:rsidRPr="00EB1E92">
        <w:rPr>
          <w:rFonts w:eastAsia="PMingLiU" w:cs="Calibri"/>
          <w:spacing w:val="-1"/>
        </w:rPr>
        <w:t>a</w:t>
      </w:r>
      <w:r w:rsidRPr="00EB1E92">
        <w:rPr>
          <w:rFonts w:eastAsia="PMingLiU" w:cs="Calibri"/>
        </w:rPr>
        <w:t>,</w:t>
      </w:r>
      <w:r w:rsidRPr="00EB1E92">
        <w:rPr>
          <w:rFonts w:eastAsia="PMingLiU" w:cs="Calibri"/>
          <w:spacing w:val="-5"/>
        </w:rPr>
        <w:t xml:space="preserve"> </w:t>
      </w:r>
      <w:r w:rsidRPr="00EB1E92">
        <w:rPr>
          <w:rFonts w:eastAsia="PMingLiU" w:cs="Calibri"/>
        </w:rPr>
        <w:t>bi</w:t>
      </w:r>
      <w:r w:rsidRPr="00EB1E92">
        <w:rPr>
          <w:rFonts w:eastAsia="PMingLiU" w:cs="Calibri"/>
          <w:spacing w:val="-1"/>
        </w:rPr>
        <w:t>o</w:t>
      </w:r>
      <w:r w:rsidRPr="00EB1E92">
        <w:rPr>
          <w:rFonts w:eastAsia="PMingLiU" w:cs="Calibri"/>
        </w:rPr>
        <w:t>loška</w:t>
      </w:r>
      <w:r w:rsidRPr="00EB1E92">
        <w:rPr>
          <w:rFonts w:eastAsia="PMingLiU" w:cs="Calibri"/>
          <w:spacing w:val="-8"/>
        </w:rPr>
        <w:t xml:space="preserve"> </w:t>
      </w:r>
      <w:r w:rsidRPr="00EB1E92">
        <w:rPr>
          <w:rFonts w:eastAsia="PMingLiU" w:cs="Calibri"/>
        </w:rPr>
        <w:t>kontr</w:t>
      </w:r>
      <w:r w:rsidRPr="00EB1E92">
        <w:rPr>
          <w:rFonts w:eastAsia="PMingLiU" w:cs="Calibri"/>
          <w:spacing w:val="-1"/>
        </w:rPr>
        <w:t>o</w:t>
      </w:r>
      <w:r w:rsidRPr="00EB1E92">
        <w:rPr>
          <w:rFonts w:eastAsia="PMingLiU" w:cs="Calibri"/>
        </w:rPr>
        <w:t>la,</w:t>
      </w:r>
      <w:r w:rsidRPr="00EB1E92">
        <w:rPr>
          <w:rFonts w:eastAsia="PMingLiU" w:cs="Calibri"/>
          <w:spacing w:val="-6"/>
        </w:rPr>
        <w:t xml:space="preserve"> </w:t>
      </w:r>
      <w:r w:rsidRPr="00EB1E92">
        <w:rPr>
          <w:rFonts w:eastAsia="PMingLiU" w:cs="Calibri"/>
        </w:rPr>
        <w:t>pro</w:t>
      </w:r>
      <w:r w:rsidRPr="00EB1E92">
        <w:rPr>
          <w:rFonts w:eastAsia="PMingLiU" w:cs="Calibri"/>
          <w:spacing w:val="1"/>
        </w:rPr>
        <w:t>č</w:t>
      </w:r>
      <w:r w:rsidRPr="00EB1E92">
        <w:rPr>
          <w:rFonts w:eastAsia="PMingLiU" w:cs="Calibri"/>
          <w:spacing w:val="-1"/>
        </w:rPr>
        <w:t>i</w:t>
      </w:r>
      <w:r w:rsidRPr="00EB1E92">
        <w:rPr>
          <w:rFonts w:eastAsia="PMingLiU" w:cs="Calibri"/>
          <w:spacing w:val="1"/>
        </w:rPr>
        <w:t>šć</w:t>
      </w:r>
      <w:r w:rsidRPr="00EB1E92">
        <w:rPr>
          <w:rFonts w:eastAsia="PMingLiU" w:cs="Calibri"/>
        </w:rPr>
        <w:t>avanje</w:t>
      </w:r>
      <w:r w:rsidRPr="00EB1E92">
        <w:rPr>
          <w:rFonts w:eastAsia="PMingLiU" w:cs="Calibri"/>
          <w:spacing w:val="-12"/>
        </w:rPr>
        <w:t xml:space="preserve"> </w:t>
      </w:r>
      <w:r w:rsidRPr="00EB1E92">
        <w:rPr>
          <w:rFonts w:eastAsia="PMingLiU" w:cs="Calibri"/>
        </w:rPr>
        <w:t>voda), kulturne, sportske i zdravstvene</w:t>
      </w:r>
      <w:r w:rsidRPr="00EB1E92">
        <w:rPr>
          <w:rFonts w:eastAsia="PMingLiU" w:cs="Calibri"/>
          <w:spacing w:val="30"/>
        </w:rPr>
        <w:t xml:space="preserve"> </w:t>
      </w:r>
      <w:r w:rsidRPr="00EB1E92">
        <w:rPr>
          <w:rFonts w:eastAsia="PMingLiU" w:cs="Calibri"/>
        </w:rPr>
        <w:t>usluge</w:t>
      </w:r>
      <w:r w:rsidRPr="00EB1E92">
        <w:rPr>
          <w:rFonts w:eastAsia="PMingLiU" w:cs="Calibri"/>
          <w:spacing w:val="32"/>
        </w:rPr>
        <w:t xml:space="preserve"> </w:t>
      </w:r>
      <w:r w:rsidRPr="00EB1E92">
        <w:rPr>
          <w:rFonts w:eastAsia="PMingLiU" w:cs="Calibri"/>
        </w:rPr>
        <w:t>(rekreacija</w:t>
      </w:r>
      <w:r w:rsidRPr="00EB1E92">
        <w:rPr>
          <w:rFonts w:eastAsia="PMingLiU" w:cs="Calibri"/>
          <w:spacing w:val="28"/>
        </w:rPr>
        <w:t xml:space="preserve"> </w:t>
      </w:r>
      <w:r w:rsidRPr="00EB1E92">
        <w:rPr>
          <w:rFonts w:eastAsia="PMingLiU" w:cs="Calibri"/>
        </w:rPr>
        <w:t>te</w:t>
      </w:r>
      <w:r w:rsidRPr="00EB1E92">
        <w:rPr>
          <w:rFonts w:eastAsia="PMingLiU" w:cs="Calibri"/>
          <w:spacing w:val="37"/>
        </w:rPr>
        <w:t xml:space="preserve"> </w:t>
      </w:r>
      <w:r w:rsidRPr="00EB1E92">
        <w:rPr>
          <w:rFonts w:eastAsia="PMingLiU" w:cs="Calibri"/>
        </w:rPr>
        <w:t>time</w:t>
      </w:r>
      <w:r w:rsidRPr="00EB1E92">
        <w:rPr>
          <w:rFonts w:eastAsia="PMingLiU" w:cs="Calibri"/>
          <w:spacing w:val="35"/>
        </w:rPr>
        <w:t xml:space="preserve"> </w:t>
      </w:r>
      <w:r w:rsidRPr="00EB1E92">
        <w:rPr>
          <w:rFonts w:eastAsia="PMingLiU" w:cs="Calibri"/>
        </w:rPr>
        <w:t>povezano</w:t>
      </w:r>
      <w:r w:rsidRPr="00EB1E92">
        <w:rPr>
          <w:rFonts w:eastAsia="PMingLiU" w:cs="Calibri"/>
          <w:spacing w:val="29"/>
        </w:rPr>
        <w:t xml:space="preserve"> </w:t>
      </w:r>
      <w:r w:rsidRPr="00EB1E92">
        <w:rPr>
          <w:rFonts w:eastAsia="PMingLiU" w:cs="Calibri"/>
          <w:spacing w:val="1"/>
        </w:rPr>
        <w:t>f</w:t>
      </w:r>
      <w:r w:rsidRPr="00EB1E92">
        <w:rPr>
          <w:rFonts w:eastAsia="PMingLiU" w:cs="Calibri"/>
        </w:rPr>
        <w:t>iz</w:t>
      </w:r>
      <w:r w:rsidRPr="00EB1E92">
        <w:rPr>
          <w:rFonts w:eastAsia="PMingLiU" w:cs="Calibri"/>
          <w:spacing w:val="1"/>
        </w:rPr>
        <w:t>i</w:t>
      </w:r>
      <w:r w:rsidRPr="00EB1E92">
        <w:rPr>
          <w:rFonts w:eastAsia="PMingLiU" w:cs="Calibri"/>
          <w:spacing w:val="-1"/>
        </w:rPr>
        <w:t>č</w:t>
      </w:r>
      <w:r w:rsidRPr="00EB1E92">
        <w:rPr>
          <w:rFonts w:eastAsia="PMingLiU" w:cs="Calibri"/>
        </w:rPr>
        <w:t>ko</w:t>
      </w:r>
      <w:r w:rsidRPr="00EB1E92">
        <w:rPr>
          <w:rFonts w:eastAsia="PMingLiU" w:cs="Calibri"/>
          <w:spacing w:val="33"/>
        </w:rPr>
        <w:t xml:space="preserve"> </w:t>
      </w:r>
      <w:r w:rsidRPr="00EB1E92">
        <w:rPr>
          <w:rFonts w:eastAsia="PMingLiU" w:cs="Calibri"/>
        </w:rPr>
        <w:t>i</w:t>
      </w:r>
      <w:r w:rsidRPr="00EB1E92">
        <w:rPr>
          <w:rFonts w:eastAsia="PMingLiU" w:cs="Calibri"/>
          <w:spacing w:val="39"/>
        </w:rPr>
        <w:t xml:space="preserve"> </w:t>
      </w:r>
      <w:r w:rsidRPr="00EB1E92">
        <w:rPr>
          <w:rFonts w:eastAsia="PMingLiU" w:cs="Calibri"/>
        </w:rPr>
        <w:t>psi</w:t>
      </w:r>
      <w:r w:rsidRPr="00EB1E92">
        <w:rPr>
          <w:rFonts w:eastAsia="PMingLiU" w:cs="Calibri"/>
          <w:spacing w:val="-1"/>
        </w:rPr>
        <w:t>h</w:t>
      </w:r>
      <w:r w:rsidRPr="00EB1E92">
        <w:rPr>
          <w:rFonts w:eastAsia="PMingLiU" w:cs="Calibri"/>
        </w:rPr>
        <w:t>i</w:t>
      </w:r>
      <w:r w:rsidRPr="00EB1E92">
        <w:rPr>
          <w:rFonts w:eastAsia="PMingLiU" w:cs="Calibri"/>
          <w:spacing w:val="1"/>
        </w:rPr>
        <w:t>č</w:t>
      </w:r>
      <w:r w:rsidRPr="00EB1E92">
        <w:rPr>
          <w:rFonts w:eastAsia="PMingLiU" w:cs="Calibri"/>
        </w:rPr>
        <w:t>ko</w:t>
      </w:r>
      <w:r w:rsidRPr="00EB1E92">
        <w:rPr>
          <w:rFonts w:eastAsia="PMingLiU" w:cs="Calibri"/>
          <w:spacing w:val="31"/>
        </w:rPr>
        <w:t xml:space="preserve"> </w:t>
      </w:r>
      <w:r w:rsidRPr="00EB1E92">
        <w:rPr>
          <w:rFonts w:eastAsia="PMingLiU" w:cs="Calibri"/>
        </w:rPr>
        <w:t>zdravlje,</w:t>
      </w:r>
      <w:r w:rsidRPr="00EB1E92">
        <w:rPr>
          <w:rFonts w:eastAsia="PMingLiU" w:cs="Calibri"/>
          <w:spacing w:val="30"/>
        </w:rPr>
        <w:t xml:space="preserve"> </w:t>
      </w:r>
      <w:r w:rsidRPr="00EB1E92">
        <w:rPr>
          <w:rFonts w:eastAsia="PMingLiU" w:cs="Calibri"/>
        </w:rPr>
        <w:t>estetsko</w:t>
      </w:r>
      <w:r w:rsidRPr="00EB1E92">
        <w:rPr>
          <w:rFonts w:eastAsia="PMingLiU" w:cs="Calibri"/>
          <w:spacing w:val="29"/>
        </w:rPr>
        <w:t xml:space="preserve"> </w:t>
      </w:r>
      <w:r w:rsidRPr="00EB1E92">
        <w:rPr>
          <w:rFonts w:eastAsia="PMingLiU" w:cs="Calibri"/>
        </w:rPr>
        <w:t>uživanje, turizam)</w:t>
      </w:r>
      <w:r w:rsidRPr="00EB1E92">
        <w:rPr>
          <w:rFonts w:eastAsia="PMingLiU" w:cs="Calibri"/>
          <w:spacing w:val="5"/>
        </w:rPr>
        <w:t xml:space="preserve"> </w:t>
      </w:r>
      <w:r w:rsidRPr="00EB1E92">
        <w:rPr>
          <w:rFonts w:eastAsia="PMingLiU" w:cs="Calibri"/>
        </w:rPr>
        <w:t>i</w:t>
      </w:r>
      <w:r w:rsidRPr="00EB1E92">
        <w:rPr>
          <w:rFonts w:eastAsia="PMingLiU" w:cs="Calibri"/>
          <w:spacing w:val="10"/>
        </w:rPr>
        <w:t xml:space="preserve"> </w:t>
      </w:r>
      <w:r w:rsidR="0019262D">
        <w:rPr>
          <w:rFonts w:eastAsia="PMingLiU" w:cs="Calibri"/>
          <w:spacing w:val="10"/>
        </w:rPr>
        <w:t xml:space="preserve">ostale </w:t>
      </w:r>
      <w:r w:rsidRPr="00EB1E92">
        <w:rPr>
          <w:rFonts w:eastAsia="PMingLiU" w:cs="Calibri"/>
        </w:rPr>
        <w:t>usluge</w:t>
      </w:r>
      <w:r w:rsidRPr="00EB1E92">
        <w:rPr>
          <w:rFonts w:eastAsia="PMingLiU" w:cs="Calibri"/>
          <w:spacing w:val="6"/>
        </w:rPr>
        <w:t xml:space="preserve"> </w:t>
      </w:r>
      <w:r w:rsidRPr="00EB1E92">
        <w:rPr>
          <w:rFonts w:eastAsia="PMingLiU" w:cs="Calibri"/>
        </w:rPr>
        <w:t>poput</w:t>
      </w:r>
      <w:r w:rsidRPr="00EB1E92">
        <w:rPr>
          <w:rFonts w:eastAsia="PMingLiU" w:cs="Calibri"/>
          <w:spacing w:val="6"/>
        </w:rPr>
        <w:t xml:space="preserve"> </w:t>
      </w:r>
      <w:r w:rsidRPr="00EB1E92">
        <w:rPr>
          <w:rFonts w:eastAsia="PMingLiU" w:cs="Calibri"/>
        </w:rPr>
        <w:t>osigurav</w:t>
      </w:r>
      <w:r w:rsidRPr="00EB1E92">
        <w:rPr>
          <w:rFonts w:eastAsia="PMingLiU" w:cs="Calibri"/>
          <w:spacing w:val="-1"/>
        </w:rPr>
        <w:t>a</w:t>
      </w:r>
      <w:r w:rsidRPr="00EB1E92">
        <w:rPr>
          <w:rFonts w:eastAsia="PMingLiU" w:cs="Calibri"/>
        </w:rPr>
        <w:t>nja sta</w:t>
      </w:r>
      <w:r w:rsidRPr="00EB1E92">
        <w:rPr>
          <w:rFonts w:eastAsia="PMingLiU" w:cs="Calibri"/>
          <w:spacing w:val="-1"/>
        </w:rPr>
        <w:t>n</w:t>
      </w:r>
      <w:r w:rsidRPr="00EB1E92">
        <w:rPr>
          <w:rFonts w:eastAsia="PMingLiU" w:cs="Calibri"/>
        </w:rPr>
        <w:t>išta</w:t>
      </w:r>
      <w:r w:rsidRPr="00EB1E92">
        <w:rPr>
          <w:rFonts w:eastAsia="PMingLiU" w:cs="Calibri"/>
          <w:spacing w:val="4"/>
        </w:rPr>
        <w:t xml:space="preserve"> </w:t>
      </w:r>
      <w:r w:rsidRPr="00EB1E92">
        <w:rPr>
          <w:rFonts w:eastAsia="PMingLiU" w:cs="Calibri"/>
        </w:rPr>
        <w:t>za</w:t>
      </w:r>
      <w:r w:rsidRPr="00EB1E92">
        <w:rPr>
          <w:rFonts w:eastAsia="PMingLiU" w:cs="Calibri"/>
          <w:spacing w:val="10"/>
        </w:rPr>
        <w:t xml:space="preserve"> </w:t>
      </w:r>
      <w:r w:rsidRPr="00EB1E92">
        <w:rPr>
          <w:rFonts w:eastAsia="PMingLiU" w:cs="Calibri"/>
        </w:rPr>
        <w:t>vrste</w:t>
      </w:r>
      <w:r w:rsidRPr="00EB1E92">
        <w:rPr>
          <w:rFonts w:eastAsia="PMingLiU" w:cs="Calibri"/>
          <w:spacing w:val="7"/>
        </w:rPr>
        <w:t xml:space="preserve"> </w:t>
      </w:r>
      <w:r w:rsidRPr="00EB1E92">
        <w:rPr>
          <w:rFonts w:eastAsia="PMingLiU" w:cs="Calibri"/>
        </w:rPr>
        <w:t>i</w:t>
      </w:r>
      <w:r w:rsidRPr="00EB1E92">
        <w:rPr>
          <w:rFonts w:eastAsia="PMingLiU" w:cs="Calibri"/>
          <w:spacing w:val="12"/>
        </w:rPr>
        <w:t xml:space="preserve"> </w:t>
      </w:r>
      <w:r w:rsidRPr="00EB1E92">
        <w:rPr>
          <w:rFonts w:eastAsia="PMingLiU" w:cs="Calibri"/>
          <w:spacing w:val="2"/>
        </w:rPr>
        <w:t>o</w:t>
      </w:r>
      <w:r w:rsidRPr="00EB1E92">
        <w:rPr>
          <w:rFonts w:eastAsia="PMingLiU" w:cs="Calibri"/>
          <w:spacing w:val="1"/>
        </w:rPr>
        <w:t>č</w:t>
      </w:r>
      <w:r w:rsidRPr="00EB1E92">
        <w:rPr>
          <w:rFonts w:eastAsia="PMingLiU" w:cs="Calibri"/>
        </w:rPr>
        <w:t>uvanja</w:t>
      </w:r>
      <w:r w:rsidRPr="00EB1E92">
        <w:rPr>
          <w:rFonts w:eastAsia="PMingLiU" w:cs="Calibri"/>
          <w:spacing w:val="2"/>
        </w:rPr>
        <w:t xml:space="preserve"> </w:t>
      </w:r>
      <w:r w:rsidRPr="00EB1E92">
        <w:rPr>
          <w:rFonts w:eastAsia="PMingLiU" w:cs="Calibri"/>
        </w:rPr>
        <w:t>biološke raznolik</w:t>
      </w:r>
      <w:r w:rsidRPr="00EB1E92">
        <w:rPr>
          <w:rFonts w:eastAsia="PMingLiU" w:cs="Calibri"/>
          <w:spacing w:val="-1"/>
        </w:rPr>
        <w:t>o</w:t>
      </w:r>
      <w:r w:rsidRPr="00EB1E92">
        <w:rPr>
          <w:rFonts w:eastAsia="PMingLiU" w:cs="Calibri"/>
        </w:rPr>
        <w:t>sti,</w:t>
      </w:r>
      <w:r w:rsidRPr="00EB1E92">
        <w:rPr>
          <w:rFonts w:eastAsia="PMingLiU" w:cs="Calibri"/>
          <w:spacing w:val="2"/>
        </w:rPr>
        <w:t xml:space="preserve"> </w:t>
      </w:r>
      <w:r w:rsidRPr="00EB1E92">
        <w:rPr>
          <w:rFonts w:eastAsia="PMingLiU" w:cs="Calibri"/>
        </w:rPr>
        <w:t>ali</w:t>
      </w:r>
      <w:r w:rsidRPr="00EB1E92">
        <w:rPr>
          <w:rFonts w:eastAsia="PMingLiU" w:cs="Calibri"/>
          <w:spacing w:val="12"/>
        </w:rPr>
        <w:t xml:space="preserve"> </w:t>
      </w:r>
      <w:r w:rsidRPr="00EB1E92">
        <w:rPr>
          <w:rFonts w:eastAsia="PMingLiU" w:cs="Calibri"/>
        </w:rPr>
        <w:t>i</w:t>
      </w:r>
      <w:r w:rsidRPr="00EB1E92">
        <w:rPr>
          <w:rFonts w:eastAsia="PMingLiU" w:cs="Calibri"/>
          <w:spacing w:val="14"/>
        </w:rPr>
        <w:t xml:space="preserve"> </w:t>
      </w:r>
      <w:r w:rsidRPr="00EB1E92">
        <w:rPr>
          <w:rFonts w:eastAsia="PMingLiU" w:cs="Calibri"/>
        </w:rPr>
        <w:t>potr</w:t>
      </w:r>
      <w:r w:rsidRPr="00EB1E92">
        <w:rPr>
          <w:rFonts w:eastAsia="PMingLiU" w:cs="Calibri"/>
          <w:spacing w:val="-1"/>
        </w:rPr>
        <w:t>e</w:t>
      </w:r>
      <w:r w:rsidRPr="00EB1E92">
        <w:rPr>
          <w:rFonts w:eastAsia="PMingLiU" w:cs="Calibri"/>
        </w:rPr>
        <w:t>ba</w:t>
      </w:r>
      <w:r w:rsidRPr="00EB1E92">
        <w:rPr>
          <w:rFonts w:eastAsia="PMingLiU" w:cs="Calibri"/>
          <w:spacing w:val="7"/>
        </w:rPr>
        <w:t xml:space="preserve"> </w:t>
      </w:r>
      <w:r w:rsidRPr="00EB1E92">
        <w:rPr>
          <w:rFonts w:eastAsia="PMingLiU" w:cs="Calibri"/>
        </w:rPr>
        <w:t>pokret</w:t>
      </w:r>
      <w:r w:rsidRPr="00EB1E92">
        <w:rPr>
          <w:rFonts w:eastAsia="PMingLiU" w:cs="Calibri"/>
          <w:spacing w:val="-1"/>
        </w:rPr>
        <w:t>a</w:t>
      </w:r>
      <w:r w:rsidRPr="00EB1E92">
        <w:rPr>
          <w:rFonts w:eastAsia="PMingLiU" w:cs="Calibri"/>
        </w:rPr>
        <w:t>nja</w:t>
      </w:r>
      <w:r w:rsidRPr="00EB1E92">
        <w:rPr>
          <w:rFonts w:eastAsia="PMingLiU" w:cs="Calibri"/>
          <w:spacing w:val="4"/>
        </w:rPr>
        <w:t xml:space="preserve"> </w:t>
      </w:r>
      <w:r w:rsidRPr="00EB1E92">
        <w:rPr>
          <w:rFonts w:eastAsia="PMingLiU" w:cs="Calibri"/>
        </w:rPr>
        <w:t>niza</w:t>
      </w:r>
      <w:r w:rsidRPr="00EB1E92">
        <w:rPr>
          <w:rFonts w:eastAsia="PMingLiU" w:cs="Calibri"/>
          <w:spacing w:val="8"/>
        </w:rPr>
        <w:t xml:space="preserve"> </w:t>
      </w:r>
      <w:r w:rsidRPr="00EB1E92">
        <w:rPr>
          <w:rFonts w:eastAsia="PMingLiU" w:cs="Calibri"/>
        </w:rPr>
        <w:t>k</w:t>
      </w:r>
      <w:r w:rsidRPr="00EB1E92">
        <w:rPr>
          <w:rFonts w:eastAsia="PMingLiU" w:cs="Calibri"/>
          <w:spacing w:val="-1"/>
        </w:rPr>
        <w:t>o</w:t>
      </w:r>
      <w:r w:rsidRPr="00EB1E92">
        <w:rPr>
          <w:rFonts w:eastAsia="PMingLiU" w:cs="Calibri"/>
        </w:rPr>
        <w:t>mpleksnih aktivnosti</w:t>
      </w:r>
      <w:r w:rsidRPr="00EB1E92">
        <w:rPr>
          <w:rFonts w:eastAsia="PMingLiU" w:cs="Calibri"/>
          <w:spacing w:val="5"/>
        </w:rPr>
        <w:t xml:space="preserve"> </w:t>
      </w:r>
      <w:r w:rsidRPr="00EB1E92">
        <w:rPr>
          <w:rFonts w:eastAsia="PMingLiU" w:cs="Calibri"/>
        </w:rPr>
        <w:t>za</w:t>
      </w:r>
      <w:r w:rsidRPr="00EB1E92">
        <w:rPr>
          <w:rFonts w:eastAsia="PMingLiU" w:cs="Calibri"/>
          <w:spacing w:val="12"/>
        </w:rPr>
        <w:t xml:space="preserve"> </w:t>
      </w:r>
      <w:r w:rsidRPr="00EB1E92">
        <w:rPr>
          <w:rFonts w:eastAsia="PMingLiU" w:cs="Calibri"/>
        </w:rPr>
        <w:t>revitaliz</w:t>
      </w:r>
      <w:r w:rsidRPr="00EB1E92">
        <w:rPr>
          <w:rFonts w:eastAsia="PMingLiU" w:cs="Calibri"/>
          <w:spacing w:val="-1"/>
        </w:rPr>
        <w:t>a</w:t>
      </w:r>
      <w:r w:rsidRPr="00EB1E92">
        <w:rPr>
          <w:rFonts w:eastAsia="PMingLiU" w:cs="Calibri"/>
        </w:rPr>
        <w:t>cijom niza vrijednih</w:t>
      </w:r>
      <w:r w:rsidRPr="00EB1E92">
        <w:rPr>
          <w:rFonts w:eastAsia="PMingLiU" w:cs="Calibri"/>
          <w:spacing w:val="-1"/>
        </w:rPr>
        <w:t xml:space="preserve"> </w:t>
      </w:r>
      <w:r w:rsidRPr="00EB1E92">
        <w:rPr>
          <w:rFonts w:eastAsia="PMingLiU" w:cs="Calibri"/>
        </w:rPr>
        <w:t>lokaliteta</w:t>
      </w:r>
      <w:r w:rsidRPr="00EB1E92">
        <w:rPr>
          <w:rFonts w:eastAsia="PMingLiU" w:cs="Calibri"/>
          <w:spacing w:val="-2"/>
        </w:rPr>
        <w:t xml:space="preserve"> </w:t>
      </w:r>
      <w:r w:rsidRPr="00EB1E92">
        <w:rPr>
          <w:rFonts w:eastAsia="PMingLiU" w:cs="Calibri"/>
        </w:rPr>
        <w:t>i</w:t>
      </w:r>
      <w:r w:rsidRPr="00EB1E92">
        <w:rPr>
          <w:rFonts w:eastAsia="PMingLiU" w:cs="Calibri"/>
          <w:spacing w:val="6"/>
        </w:rPr>
        <w:t xml:space="preserve"> </w:t>
      </w:r>
      <w:r w:rsidRPr="00EB1E92">
        <w:rPr>
          <w:rFonts w:eastAsia="PMingLiU" w:cs="Calibri"/>
        </w:rPr>
        <w:t>gra</w:t>
      </w:r>
      <w:r w:rsidRPr="00EB1E92">
        <w:rPr>
          <w:rFonts w:eastAsia="PMingLiU" w:cs="Calibri"/>
          <w:spacing w:val="-1"/>
        </w:rPr>
        <w:t>đ</w:t>
      </w:r>
      <w:r w:rsidRPr="00EB1E92">
        <w:rPr>
          <w:rFonts w:eastAsia="PMingLiU" w:cs="Calibri"/>
        </w:rPr>
        <w:t>evina</w:t>
      </w:r>
      <w:r w:rsidRPr="00EB1E92">
        <w:rPr>
          <w:rFonts w:eastAsia="PMingLiU" w:cs="Calibri"/>
          <w:spacing w:val="-3"/>
        </w:rPr>
        <w:t xml:space="preserve"> </w:t>
      </w:r>
      <w:r w:rsidRPr="00EB1E92">
        <w:rPr>
          <w:rFonts w:eastAsia="PMingLiU" w:cs="Calibri"/>
        </w:rPr>
        <w:t>(Brestovac,</w:t>
      </w:r>
      <w:r w:rsidRPr="00EB1E92">
        <w:rPr>
          <w:rFonts w:eastAsia="PMingLiU" w:cs="Calibri"/>
          <w:spacing w:val="-4"/>
        </w:rPr>
        <w:t xml:space="preserve"> </w:t>
      </w:r>
      <w:r w:rsidRPr="00EB1E92">
        <w:rPr>
          <w:rFonts w:eastAsia="PMingLiU" w:cs="Calibri"/>
        </w:rPr>
        <w:t>Željezni</w:t>
      </w:r>
      <w:r w:rsidRPr="00EB1E92">
        <w:rPr>
          <w:rFonts w:eastAsia="PMingLiU" w:cs="Calibri"/>
          <w:spacing w:val="1"/>
        </w:rPr>
        <w:t>č</w:t>
      </w:r>
      <w:r w:rsidRPr="00EB1E92">
        <w:rPr>
          <w:rFonts w:eastAsia="PMingLiU" w:cs="Calibri"/>
        </w:rPr>
        <w:t>ar,</w:t>
      </w:r>
      <w:r w:rsidRPr="00EB1E92">
        <w:rPr>
          <w:rFonts w:eastAsia="PMingLiU" w:cs="Calibri"/>
          <w:spacing w:val="-4"/>
        </w:rPr>
        <w:t xml:space="preserve"> </w:t>
      </w:r>
      <w:r w:rsidRPr="00EB1E92">
        <w:rPr>
          <w:rFonts w:eastAsia="PMingLiU" w:cs="Calibri"/>
        </w:rPr>
        <w:t>Dom</w:t>
      </w:r>
      <w:r w:rsidRPr="00EB1E92">
        <w:rPr>
          <w:rFonts w:eastAsia="PMingLiU" w:cs="Calibri"/>
          <w:spacing w:val="2"/>
        </w:rPr>
        <w:t xml:space="preserve"> </w:t>
      </w:r>
      <w:r w:rsidRPr="00EB1E92">
        <w:rPr>
          <w:rFonts w:eastAsia="PMingLiU" w:cs="Calibri"/>
        </w:rPr>
        <w:t>sindikat</w:t>
      </w:r>
      <w:r w:rsidRPr="00EB1E92">
        <w:rPr>
          <w:rFonts w:eastAsia="PMingLiU" w:cs="Calibri"/>
          <w:spacing w:val="-1"/>
        </w:rPr>
        <w:t>a</w:t>
      </w:r>
      <w:r w:rsidRPr="00EB1E92">
        <w:rPr>
          <w:rFonts w:eastAsia="PMingLiU" w:cs="Calibri"/>
        </w:rPr>
        <w:t>,</w:t>
      </w:r>
      <w:r w:rsidRPr="00EB1E92">
        <w:rPr>
          <w:rFonts w:eastAsia="PMingLiU" w:cs="Calibri"/>
          <w:spacing w:val="-2"/>
        </w:rPr>
        <w:t xml:space="preserve"> </w:t>
      </w:r>
      <w:r w:rsidRPr="00EB1E92">
        <w:rPr>
          <w:rFonts w:eastAsia="PMingLiU" w:cs="Calibri"/>
        </w:rPr>
        <w:t>Vila</w:t>
      </w:r>
      <w:r w:rsidRPr="00EB1E92">
        <w:rPr>
          <w:rFonts w:eastAsia="PMingLiU" w:cs="Calibri"/>
          <w:spacing w:val="3"/>
        </w:rPr>
        <w:t xml:space="preserve"> </w:t>
      </w:r>
      <w:r w:rsidRPr="00EB1E92">
        <w:rPr>
          <w:rFonts w:eastAsia="PMingLiU" w:cs="Calibri"/>
        </w:rPr>
        <w:t>Rebar, Adolfovac)</w:t>
      </w:r>
      <w:r w:rsidRPr="00EB1E92">
        <w:rPr>
          <w:rFonts w:eastAsia="PMingLiU" w:cs="Calibri"/>
          <w:spacing w:val="31"/>
        </w:rPr>
        <w:t xml:space="preserve"> </w:t>
      </w:r>
      <w:r w:rsidRPr="00EB1E92">
        <w:rPr>
          <w:rFonts w:eastAsia="PMingLiU" w:cs="Calibri"/>
        </w:rPr>
        <w:t>temeljni</w:t>
      </w:r>
      <w:r w:rsidRPr="00EB1E92">
        <w:rPr>
          <w:rFonts w:eastAsia="PMingLiU" w:cs="Calibri"/>
          <w:spacing w:val="30"/>
        </w:rPr>
        <w:t xml:space="preserve"> </w:t>
      </w:r>
      <w:r w:rsidRPr="00EB1E92">
        <w:rPr>
          <w:rFonts w:eastAsia="PMingLiU" w:cs="Calibri"/>
        </w:rPr>
        <w:t>su</w:t>
      </w:r>
      <w:r w:rsidRPr="00EB1E92">
        <w:rPr>
          <w:rFonts w:eastAsia="PMingLiU" w:cs="Calibri"/>
          <w:spacing w:val="35"/>
        </w:rPr>
        <w:t xml:space="preserve"> </w:t>
      </w:r>
      <w:r w:rsidRPr="00EB1E92">
        <w:rPr>
          <w:rFonts w:eastAsia="PMingLiU" w:cs="Calibri"/>
        </w:rPr>
        <w:t>razl</w:t>
      </w:r>
      <w:r w:rsidRPr="00EB1E92">
        <w:rPr>
          <w:rFonts w:eastAsia="PMingLiU" w:cs="Calibri"/>
          <w:spacing w:val="-1"/>
        </w:rPr>
        <w:t>o</w:t>
      </w:r>
      <w:r w:rsidRPr="00EB1E92">
        <w:rPr>
          <w:rFonts w:eastAsia="PMingLiU" w:cs="Calibri"/>
          <w:spacing w:val="1"/>
        </w:rPr>
        <w:t>z</w:t>
      </w:r>
      <w:r w:rsidRPr="00EB1E92">
        <w:rPr>
          <w:rFonts w:eastAsia="PMingLiU" w:cs="Calibri"/>
        </w:rPr>
        <w:t>i</w:t>
      </w:r>
      <w:r w:rsidRPr="00EB1E92">
        <w:rPr>
          <w:rFonts w:eastAsia="PMingLiU" w:cs="Calibri"/>
          <w:spacing w:val="31"/>
        </w:rPr>
        <w:t xml:space="preserve"> </w:t>
      </w:r>
      <w:r w:rsidRPr="00EB1E92">
        <w:rPr>
          <w:rFonts w:eastAsia="PMingLiU" w:cs="Calibri"/>
        </w:rPr>
        <w:t>tretiranja</w:t>
      </w:r>
      <w:r w:rsidRPr="00EB1E92">
        <w:rPr>
          <w:rFonts w:eastAsia="PMingLiU" w:cs="Calibri"/>
          <w:spacing w:val="29"/>
        </w:rPr>
        <w:t xml:space="preserve"> </w:t>
      </w:r>
      <w:r w:rsidRPr="00EB1E92">
        <w:rPr>
          <w:rFonts w:eastAsia="PMingLiU" w:cs="Calibri"/>
        </w:rPr>
        <w:t>Medvednice</w:t>
      </w:r>
      <w:r w:rsidRPr="00EB1E92">
        <w:rPr>
          <w:rFonts w:eastAsia="PMingLiU" w:cs="Calibri"/>
          <w:spacing w:val="26"/>
        </w:rPr>
        <w:t xml:space="preserve"> </w:t>
      </w:r>
      <w:r w:rsidRPr="00EB1E92">
        <w:rPr>
          <w:rFonts w:eastAsia="PMingLiU" w:cs="Calibri"/>
        </w:rPr>
        <w:t>posebnim</w:t>
      </w:r>
      <w:r w:rsidRPr="00EB1E92">
        <w:rPr>
          <w:rFonts w:eastAsia="PMingLiU" w:cs="Calibri"/>
          <w:spacing w:val="29"/>
        </w:rPr>
        <w:t xml:space="preserve"> </w:t>
      </w:r>
      <w:r w:rsidRPr="00EB1E92">
        <w:rPr>
          <w:rFonts w:eastAsia="PMingLiU" w:cs="Calibri"/>
        </w:rPr>
        <w:t>podr</w:t>
      </w:r>
      <w:r w:rsidRPr="00EB1E92">
        <w:rPr>
          <w:rFonts w:eastAsia="PMingLiU" w:cs="Calibri"/>
          <w:spacing w:val="1"/>
        </w:rPr>
        <w:t>uč</w:t>
      </w:r>
      <w:r w:rsidRPr="00EB1E92">
        <w:rPr>
          <w:rFonts w:eastAsia="PMingLiU" w:cs="Calibri"/>
        </w:rPr>
        <w:t>jem</w:t>
      </w:r>
      <w:r w:rsidRPr="00EB1E92">
        <w:rPr>
          <w:rFonts w:eastAsia="PMingLiU" w:cs="Calibri"/>
          <w:spacing w:val="27"/>
        </w:rPr>
        <w:t xml:space="preserve"> </w:t>
      </w:r>
      <w:r w:rsidRPr="00EB1E92">
        <w:rPr>
          <w:rFonts w:eastAsia="PMingLiU" w:cs="Calibri"/>
        </w:rPr>
        <w:t>koje</w:t>
      </w:r>
      <w:r w:rsidRPr="00EB1E92">
        <w:rPr>
          <w:rFonts w:eastAsia="PMingLiU" w:cs="Calibri"/>
          <w:spacing w:val="33"/>
        </w:rPr>
        <w:t xml:space="preserve"> </w:t>
      </w:r>
      <w:r w:rsidRPr="00EB1E92">
        <w:rPr>
          <w:rFonts w:eastAsia="PMingLiU" w:cs="Calibri"/>
        </w:rPr>
        <w:t>kao takvo</w:t>
      </w:r>
      <w:r w:rsidRPr="00EB1E92">
        <w:rPr>
          <w:rFonts w:eastAsia="PMingLiU" w:cs="Calibri"/>
          <w:spacing w:val="-5"/>
        </w:rPr>
        <w:t xml:space="preserve"> </w:t>
      </w:r>
      <w:r w:rsidRPr="00EB1E92">
        <w:rPr>
          <w:rFonts w:eastAsia="PMingLiU" w:cs="Calibri"/>
        </w:rPr>
        <w:t>traži</w:t>
      </w:r>
      <w:r w:rsidRPr="00EB1E92">
        <w:rPr>
          <w:rFonts w:eastAsia="PMingLiU" w:cs="Calibri"/>
          <w:spacing w:val="-4"/>
        </w:rPr>
        <w:t xml:space="preserve"> </w:t>
      </w:r>
      <w:r w:rsidRPr="00EB1E92">
        <w:rPr>
          <w:rFonts w:eastAsia="PMingLiU" w:cs="Calibri"/>
        </w:rPr>
        <w:t>i</w:t>
      </w:r>
      <w:r w:rsidRPr="00EB1E92">
        <w:rPr>
          <w:rFonts w:eastAsia="PMingLiU" w:cs="Calibri"/>
          <w:spacing w:val="-1"/>
        </w:rPr>
        <w:t xml:space="preserve"> </w:t>
      </w:r>
      <w:r w:rsidRPr="00EB1E92">
        <w:rPr>
          <w:rFonts w:eastAsia="PMingLiU" w:cs="Calibri"/>
        </w:rPr>
        <w:t>posebne</w:t>
      </w:r>
      <w:r w:rsidRPr="00EB1E92">
        <w:rPr>
          <w:rFonts w:eastAsia="PMingLiU" w:cs="Calibri"/>
          <w:spacing w:val="-8"/>
        </w:rPr>
        <w:t xml:space="preserve"> </w:t>
      </w:r>
      <w:r w:rsidRPr="00EB1E92">
        <w:rPr>
          <w:rFonts w:eastAsia="PMingLiU" w:cs="Calibri"/>
        </w:rPr>
        <w:t>razvojne</w:t>
      </w:r>
      <w:r w:rsidRPr="00EB1E92">
        <w:rPr>
          <w:rFonts w:eastAsia="PMingLiU" w:cs="Calibri"/>
          <w:spacing w:val="-8"/>
        </w:rPr>
        <w:t xml:space="preserve"> </w:t>
      </w:r>
      <w:r w:rsidRPr="00EB1E92">
        <w:rPr>
          <w:rFonts w:eastAsia="PMingLiU" w:cs="Calibri"/>
        </w:rPr>
        <w:t>programe.</w:t>
      </w:r>
    </w:p>
    <w:p w14:paraId="356A4B82" w14:textId="734850F7" w:rsidR="00072476" w:rsidRPr="00EB1E92" w:rsidRDefault="00072476" w:rsidP="00072476">
      <w:pPr>
        <w:widowControl w:val="0"/>
        <w:autoSpaceDE w:val="0"/>
        <w:autoSpaceDN w:val="0"/>
        <w:adjustRightInd w:val="0"/>
        <w:spacing w:before="31" w:after="200" w:line="240" w:lineRule="auto"/>
        <w:ind w:right="135"/>
        <w:jc w:val="both"/>
        <w:rPr>
          <w:rFonts w:eastAsia="PMingLiU" w:cs="Calibri"/>
        </w:rPr>
      </w:pPr>
      <w:r w:rsidRPr="00EB1E92">
        <w:rPr>
          <w:rFonts w:eastAsia="PMingLiU" w:cs="Calibri"/>
        </w:rPr>
        <w:t>Temeljni</w:t>
      </w:r>
      <w:r w:rsidRPr="00EB1E92">
        <w:rPr>
          <w:rFonts w:eastAsia="PMingLiU" w:cs="Calibri"/>
          <w:spacing w:val="3"/>
        </w:rPr>
        <w:t xml:space="preserve"> </w:t>
      </w:r>
      <w:r w:rsidRPr="00EB1E92">
        <w:rPr>
          <w:rFonts w:eastAsia="PMingLiU" w:cs="Calibri"/>
        </w:rPr>
        <w:t>prostorni</w:t>
      </w:r>
      <w:r w:rsidRPr="00EB1E92">
        <w:rPr>
          <w:rFonts w:eastAsia="PMingLiU" w:cs="Calibri"/>
          <w:spacing w:val="2"/>
        </w:rPr>
        <w:t xml:space="preserve"> </w:t>
      </w:r>
      <w:r w:rsidRPr="00EB1E92">
        <w:rPr>
          <w:rFonts w:eastAsia="PMingLiU" w:cs="Calibri"/>
        </w:rPr>
        <w:t>dok</w:t>
      </w:r>
      <w:r w:rsidRPr="00EB1E92">
        <w:rPr>
          <w:rFonts w:eastAsia="PMingLiU" w:cs="Calibri"/>
          <w:spacing w:val="-1"/>
        </w:rPr>
        <w:t>u</w:t>
      </w:r>
      <w:r w:rsidRPr="00EB1E92">
        <w:rPr>
          <w:rFonts w:eastAsia="PMingLiU" w:cs="Calibri"/>
        </w:rPr>
        <w:t>ment</w:t>
      </w:r>
      <w:r w:rsidR="00AC166B">
        <w:rPr>
          <w:rFonts w:eastAsia="PMingLiU" w:cs="Calibri"/>
        </w:rPr>
        <w:t>i</w:t>
      </w:r>
      <w:r w:rsidRPr="00EB1E92">
        <w:rPr>
          <w:rFonts w:eastAsia="PMingLiU" w:cs="Calibri"/>
          <w:spacing w:val="1"/>
        </w:rPr>
        <w:t xml:space="preserve"> </w:t>
      </w:r>
      <w:r w:rsidRPr="00EB1E92">
        <w:rPr>
          <w:rFonts w:eastAsia="PMingLiU" w:cs="Calibri"/>
        </w:rPr>
        <w:t>kojim</w:t>
      </w:r>
      <w:r w:rsidR="00AC166B">
        <w:rPr>
          <w:rFonts w:eastAsia="PMingLiU" w:cs="Calibri"/>
        </w:rPr>
        <w:t>a</w:t>
      </w:r>
      <w:r w:rsidRPr="00EB1E92">
        <w:rPr>
          <w:rFonts w:eastAsia="PMingLiU" w:cs="Calibri"/>
        </w:rPr>
        <w:t xml:space="preserve"> se uređuje prostor, odnosno dugor</w:t>
      </w:r>
      <w:r w:rsidRPr="00EB1E92">
        <w:rPr>
          <w:rFonts w:eastAsia="PMingLiU" w:cs="Calibri"/>
          <w:spacing w:val="1"/>
        </w:rPr>
        <w:t>oč</w:t>
      </w:r>
      <w:r w:rsidRPr="00EB1E92">
        <w:rPr>
          <w:rFonts w:eastAsia="PMingLiU" w:cs="Calibri"/>
        </w:rPr>
        <w:t>no određuju smjernice zaštite i poseban režim uređivanja</w:t>
      </w:r>
      <w:r w:rsidRPr="00EB1E92">
        <w:rPr>
          <w:rFonts w:eastAsia="PMingLiU" w:cs="Calibri"/>
          <w:spacing w:val="2"/>
        </w:rPr>
        <w:t xml:space="preserve"> </w:t>
      </w:r>
      <w:r w:rsidRPr="00EB1E92">
        <w:rPr>
          <w:rFonts w:eastAsia="PMingLiU" w:cs="Calibri"/>
        </w:rPr>
        <w:t>i</w:t>
      </w:r>
      <w:r w:rsidRPr="00EB1E92">
        <w:rPr>
          <w:rFonts w:eastAsia="PMingLiU" w:cs="Calibri"/>
          <w:spacing w:val="10"/>
        </w:rPr>
        <w:t xml:space="preserve"> </w:t>
      </w:r>
      <w:r w:rsidRPr="00EB1E92">
        <w:rPr>
          <w:rFonts w:eastAsia="PMingLiU" w:cs="Calibri"/>
        </w:rPr>
        <w:t>održivog</w:t>
      </w:r>
      <w:r w:rsidRPr="00EB1E92">
        <w:rPr>
          <w:rFonts w:eastAsia="PMingLiU" w:cs="Calibri"/>
          <w:spacing w:val="4"/>
        </w:rPr>
        <w:t xml:space="preserve"> </w:t>
      </w:r>
      <w:r w:rsidRPr="00EB1E92">
        <w:rPr>
          <w:rFonts w:eastAsia="PMingLiU" w:cs="Calibri"/>
        </w:rPr>
        <w:t>ko</w:t>
      </w:r>
      <w:r w:rsidRPr="00EB1E92">
        <w:rPr>
          <w:rFonts w:eastAsia="PMingLiU" w:cs="Calibri"/>
          <w:spacing w:val="-1"/>
        </w:rPr>
        <w:t>r</w:t>
      </w:r>
      <w:r w:rsidRPr="00EB1E92">
        <w:rPr>
          <w:rFonts w:eastAsia="PMingLiU" w:cs="Calibri"/>
        </w:rPr>
        <w:t>ištenja</w:t>
      </w:r>
      <w:r w:rsidRPr="00EB1E92">
        <w:rPr>
          <w:rFonts w:eastAsia="PMingLiU" w:cs="Calibri"/>
          <w:spacing w:val="2"/>
        </w:rPr>
        <w:t xml:space="preserve"> </w:t>
      </w:r>
      <w:r w:rsidRPr="00EB1E92">
        <w:rPr>
          <w:rFonts w:eastAsia="PMingLiU" w:cs="Calibri"/>
        </w:rPr>
        <w:t>pr</w:t>
      </w:r>
      <w:r w:rsidRPr="00EB1E92">
        <w:rPr>
          <w:rFonts w:eastAsia="PMingLiU" w:cs="Calibri"/>
          <w:spacing w:val="-1"/>
        </w:rPr>
        <w:t>o</w:t>
      </w:r>
      <w:r w:rsidRPr="00EB1E92">
        <w:rPr>
          <w:rFonts w:eastAsia="PMingLiU" w:cs="Calibri"/>
          <w:spacing w:val="1"/>
        </w:rPr>
        <w:t>s</w:t>
      </w:r>
      <w:r w:rsidRPr="00EB1E92">
        <w:rPr>
          <w:rFonts w:eastAsia="PMingLiU" w:cs="Calibri"/>
          <w:spacing w:val="-1"/>
        </w:rPr>
        <w:t>t</w:t>
      </w:r>
      <w:r w:rsidRPr="00EB1E92">
        <w:rPr>
          <w:rFonts w:eastAsia="PMingLiU" w:cs="Calibri"/>
        </w:rPr>
        <w:t>ora</w:t>
      </w:r>
      <w:r w:rsidRPr="00EB1E92">
        <w:rPr>
          <w:rFonts w:eastAsia="PMingLiU" w:cs="Calibri"/>
          <w:spacing w:val="4"/>
        </w:rPr>
        <w:t xml:space="preserve"> </w:t>
      </w:r>
      <w:r w:rsidRPr="00EB1E92">
        <w:rPr>
          <w:rFonts w:eastAsia="PMingLiU" w:cs="Calibri"/>
        </w:rPr>
        <w:t>na</w:t>
      </w:r>
      <w:r w:rsidRPr="00EB1E92">
        <w:rPr>
          <w:rFonts w:eastAsia="PMingLiU" w:cs="Calibri"/>
          <w:spacing w:val="9"/>
        </w:rPr>
        <w:t xml:space="preserve"> </w:t>
      </w:r>
      <w:r w:rsidRPr="00EB1E92">
        <w:rPr>
          <w:rFonts w:eastAsia="PMingLiU" w:cs="Calibri"/>
        </w:rPr>
        <w:t>pod</w:t>
      </w:r>
      <w:r w:rsidRPr="00EB1E92">
        <w:rPr>
          <w:rFonts w:eastAsia="PMingLiU" w:cs="Calibri"/>
          <w:spacing w:val="-1"/>
        </w:rPr>
        <w:t>r</w:t>
      </w:r>
      <w:r w:rsidRPr="00EB1E92">
        <w:rPr>
          <w:rFonts w:eastAsia="PMingLiU" w:cs="Calibri"/>
          <w:spacing w:val="1"/>
        </w:rPr>
        <w:t>uč</w:t>
      </w:r>
      <w:r w:rsidRPr="00EB1E92">
        <w:rPr>
          <w:rFonts w:eastAsia="PMingLiU" w:cs="Calibri"/>
        </w:rPr>
        <w:t>ju</w:t>
      </w:r>
      <w:r w:rsidRPr="00EB1E92">
        <w:rPr>
          <w:rFonts w:eastAsia="PMingLiU" w:cs="Calibri"/>
          <w:spacing w:val="3"/>
        </w:rPr>
        <w:t xml:space="preserve"> </w:t>
      </w:r>
      <w:r w:rsidRPr="00EB1E92">
        <w:rPr>
          <w:rFonts w:eastAsia="PMingLiU" w:cs="Calibri"/>
        </w:rPr>
        <w:t>Parka</w:t>
      </w:r>
      <w:r w:rsidRPr="00EB1E92">
        <w:rPr>
          <w:rFonts w:eastAsia="PMingLiU" w:cs="Calibri"/>
          <w:spacing w:val="5"/>
        </w:rPr>
        <w:t xml:space="preserve"> </w:t>
      </w:r>
      <w:r w:rsidRPr="00EB1E92">
        <w:rPr>
          <w:rFonts w:eastAsia="PMingLiU" w:cs="Calibri"/>
        </w:rPr>
        <w:t>prirode</w:t>
      </w:r>
      <w:r w:rsidRPr="00EB1E92">
        <w:rPr>
          <w:rFonts w:eastAsia="PMingLiU" w:cs="Calibri"/>
          <w:spacing w:val="5"/>
        </w:rPr>
        <w:t xml:space="preserve"> </w:t>
      </w:r>
      <w:r w:rsidRPr="00EB1E92">
        <w:rPr>
          <w:rFonts w:eastAsia="PMingLiU" w:cs="Calibri"/>
        </w:rPr>
        <w:t xml:space="preserve">Medvednica </w:t>
      </w:r>
      <w:r w:rsidR="00AC166B" w:rsidRPr="00AC166B">
        <w:rPr>
          <w:rFonts w:eastAsia="PMingLiU" w:cs="Calibri"/>
        </w:rPr>
        <w:t>su Prostorni plan Parka prirode Medvednica (NN 089/2014),  Urbanistički plan uređenja državnog značaja "Vršna zona" Medvednica (NN 103/2017) i Urbanistički plan uređenja državnog značaja "Skijaški kompleks", Medvednica (NN 103/2017).</w:t>
      </w:r>
      <w:r w:rsidR="00AC166B">
        <w:rPr>
          <w:rFonts w:eastAsia="PMingLiU" w:cs="Calibri"/>
        </w:rPr>
        <w:t xml:space="preserve"> </w:t>
      </w:r>
      <w:r w:rsidR="00AC166B" w:rsidRPr="00AC166B">
        <w:rPr>
          <w:rFonts w:eastAsia="PMingLiU" w:cs="Calibri"/>
        </w:rPr>
        <w:t>Pravilnikom o zaštiti i očuvanju Parka prirode »Medvednica« (NN 21/2020) su propisane mjere zaštite, očuvanja, unapređenja, korištenja i upravljačke zone  Parka prirode Medvednica.</w:t>
      </w:r>
    </w:p>
    <w:p w14:paraId="49DF7AE4" w14:textId="38571369" w:rsidR="00072476" w:rsidRPr="00EB1E92" w:rsidRDefault="00072476" w:rsidP="00072476">
      <w:pPr>
        <w:widowControl w:val="0"/>
        <w:autoSpaceDE w:val="0"/>
        <w:autoSpaceDN w:val="0"/>
        <w:adjustRightInd w:val="0"/>
        <w:spacing w:after="200" w:line="240" w:lineRule="auto"/>
        <w:ind w:right="136"/>
        <w:jc w:val="both"/>
        <w:rPr>
          <w:rFonts w:eastAsia="PMingLiU" w:cs="Calibri"/>
        </w:rPr>
      </w:pPr>
      <w:r w:rsidRPr="00EB1E92">
        <w:rPr>
          <w:rFonts w:eastAsia="PMingLiU" w:cs="Calibri"/>
        </w:rPr>
        <w:t>Parkom</w:t>
      </w:r>
      <w:r w:rsidRPr="00EB1E92">
        <w:rPr>
          <w:rFonts w:eastAsia="PMingLiU" w:cs="Calibri"/>
          <w:spacing w:val="4"/>
        </w:rPr>
        <w:t xml:space="preserve"> </w:t>
      </w:r>
      <w:r w:rsidRPr="00EB1E92">
        <w:rPr>
          <w:rFonts w:eastAsia="PMingLiU" w:cs="Calibri"/>
        </w:rPr>
        <w:t>prirode</w:t>
      </w:r>
      <w:r w:rsidRPr="00EB1E92">
        <w:rPr>
          <w:rFonts w:eastAsia="PMingLiU" w:cs="Calibri"/>
          <w:spacing w:val="5"/>
        </w:rPr>
        <w:t xml:space="preserve"> </w:t>
      </w:r>
      <w:r w:rsidRPr="00EB1E92">
        <w:rPr>
          <w:rFonts w:eastAsia="PMingLiU" w:cs="Calibri"/>
        </w:rPr>
        <w:t>Medv</w:t>
      </w:r>
      <w:r w:rsidRPr="00EB1E92">
        <w:rPr>
          <w:rFonts w:eastAsia="PMingLiU" w:cs="Calibri"/>
          <w:spacing w:val="1"/>
        </w:rPr>
        <w:t>e</w:t>
      </w:r>
      <w:r w:rsidRPr="00EB1E92">
        <w:rPr>
          <w:rFonts w:eastAsia="PMingLiU" w:cs="Calibri"/>
        </w:rPr>
        <w:t xml:space="preserve">dnica upravlja </w:t>
      </w:r>
      <w:r w:rsidR="00572BBA">
        <w:rPr>
          <w:rFonts w:eastAsia="PMingLiU" w:cs="Calibri"/>
        </w:rPr>
        <w:t>J</w:t>
      </w:r>
      <w:r w:rsidRPr="00EB1E92">
        <w:rPr>
          <w:rFonts w:eastAsia="PMingLiU" w:cs="Calibri"/>
        </w:rPr>
        <w:t>avna u</w:t>
      </w:r>
      <w:r w:rsidRPr="00EB1E92">
        <w:rPr>
          <w:rFonts w:eastAsia="PMingLiU" w:cs="Calibri"/>
          <w:spacing w:val="1"/>
        </w:rPr>
        <w:t>s</w:t>
      </w:r>
      <w:r w:rsidRPr="00EB1E92">
        <w:rPr>
          <w:rFonts w:eastAsia="PMingLiU" w:cs="Calibri"/>
        </w:rPr>
        <w:t xml:space="preserve">tanova </w:t>
      </w:r>
      <w:r w:rsidR="00572BBA">
        <w:rPr>
          <w:rFonts w:eastAsia="PMingLiU" w:cs="Calibri"/>
        </w:rPr>
        <w:t xml:space="preserve">Park prirode Medvednica </w:t>
      </w:r>
      <w:r w:rsidRPr="00EB1E92">
        <w:rPr>
          <w:rFonts w:eastAsia="PMingLiU" w:cs="Calibri"/>
        </w:rPr>
        <w:t>u nadležnos</w:t>
      </w:r>
      <w:r w:rsidRPr="00EB1E92">
        <w:rPr>
          <w:rFonts w:eastAsia="PMingLiU" w:cs="Calibri"/>
          <w:spacing w:val="-1"/>
        </w:rPr>
        <w:t>t</w:t>
      </w:r>
      <w:r w:rsidRPr="00EB1E92">
        <w:rPr>
          <w:rFonts w:eastAsia="PMingLiU" w:cs="Calibri"/>
        </w:rPr>
        <w:t>i</w:t>
      </w:r>
      <w:r w:rsidRPr="00EB1E92">
        <w:rPr>
          <w:rFonts w:eastAsia="PMingLiU" w:cs="Calibri"/>
          <w:spacing w:val="61"/>
        </w:rPr>
        <w:t xml:space="preserve"> </w:t>
      </w:r>
      <w:r w:rsidRPr="00EB1E92">
        <w:rPr>
          <w:rFonts w:eastAsia="PMingLiU" w:cs="Calibri"/>
        </w:rPr>
        <w:t>Ministarstva gospodarstva i održivog razvoja</w:t>
      </w:r>
      <w:r w:rsidRPr="00EB1E92">
        <w:rPr>
          <w:rFonts w:eastAsia="PMingLiU" w:cs="Calibri"/>
          <w:spacing w:val="34"/>
        </w:rPr>
        <w:t xml:space="preserve"> </w:t>
      </w:r>
      <w:r w:rsidRPr="00EB1E92">
        <w:rPr>
          <w:rFonts w:eastAsia="PMingLiU" w:cs="Calibri"/>
        </w:rPr>
        <w:t>Republike</w:t>
      </w:r>
      <w:r w:rsidRPr="00EB1E92">
        <w:rPr>
          <w:rFonts w:eastAsia="PMingLiU" w:cs="Calibri"/>
          <w:spacing w:val="31"/>
        </w:rPr>
        <w:t xml:space="preserve"> </w:t>
      </w:r>
      <w:r w:rsidRPr="00EB1E92">
        <w:rPr>
          <w:rFonts w:eastAsia="PMingLiU" w:cs="Calibri"/>
        </w:rPr>
        <w:t>Hrvatske.</w:t>
      </w:r>
      <w:r w:rsidRPr="00EB1E92">
        <w:rPr>
          <w:rFonts w:eastAsia="PMingLiU" w:cs="Calibri"/>
          <w:spacing w:val="32"/>
        </w:rPr>
        <w:t xml:space="preserve"> </w:t>
      </w:r>
      <w:r w:rsidRPr="00EB1E92">
        <w:rPr>
          <w:rFonts w:eastAsia="PMingLiU" w:cs="Calibri"/>
        </w:rPr>
        <w:t>Osniv</w:t>
      </w:r>
      <w:r w:rsidRPr="00EB1E92">
        <w:rPr>
          <w:rFonts w:eastAsia="PMingLiU" w:cs="Calibri"/>
          <w:spacing w:val="1"/>
        </w:rPr>
        <w:t>a</w:t>
      </w:r>
      <w:r w:rsidRPr="00EB1E92">
        <w:rPr>
          <w:rFonts w:eastAsia="PMingLiU" w:cs="Calibri"/>
        </w:rPr>
        <w:t>č</w:t>
      </w:r>
      <w:r w:rsidRPr="00EB1E92">
        <w:rPr>
          <w:rFonts w:eastAsia="PMingLiU" w:cs="Calibri"/>
          <w:spacing w:val="33"/>
        </w:rPr>
        <w:t xml:space="preserve"> </w:t>
      </w:r>
      <w:r w:rsidRPr="00EB1E92">
        <w:rPr>
          <w:rFonts w:eastAsia="PMingLiU" w:cs="Calibri"/>
        </w:rPr>
        <w:t>Ustanove</w:t>
      </w:r>
      <w:r w:rsidRPr="00EB1E92">
        <w:rPr>
          <w:rFonts w:eastAsia="PMingLiU" w:cs="Calibri"/>
          <w:spacing w:val="32"/>
        </w:rPr>
        <w:t xml:space="preserve"> </w:t>
      </w:r>
      <w:r w:rsidRPr="00EB1E92">
        <w:rPr>
          <w:rFonts w:eastAsia="PMingLiU" w:cs="Calibri"/>
        </w:rPr>
        <w:t>je</w:t>
      </w:r>
      <w:r w:rsidRPr="00EB1E92">
        <w:rPr>
          <w:rFonts w:eastAsia="PMingLiU" w:cs="Calibri"/>
          <w:spacing w:val="39"/>
        </w:rPr>
        <w:t xml:space="preserve"> </w:t>
      </w:r>
      <w:r w:rsidRPr="00EB1E92">
        <w:rPr>
          <w:rFonts w:eastAsia="PMingLiU" w:cs="Calibri"/>
        </w:rPr>
        <w:t>Republika</w:t>
      </w:r>
      <w:r w:rsidRPr="00EB1E92">
        <w:rPr>
          <w:rFonts w:eastAsia="PMingLiU" w:cs="Calibri"/>
          <w:spacing w:val="30"/>
        </w:rPr>
        <w:t xml:space="preserve"> </w:t>
      </w:r>
      <w:r w:rsidRPr="00EB1E92">
        <w:rPr>
          <w:rFonts w:eastAsia="PMingLiU" w:cs="Calibri"/>
        </w:rPr>
        <w:t>Hrvatska,</w:t>
      </w:r>
      <w:r w:rsidRPr="00EB1E92">
        <w:rPr>
          <w:rFonts w:eastAsia="PMingLiU" w:cs="Calibri"/>
          <w:spacing w:val="32"/>
        </w:rPr>
        <w:t xml:space="preserve"> </w:t>
      </w:r>
      <w:r w:rsidRPr="00EB1E92">
        <w:rPr>
          <w:rFonts w:eastAsia="PMingLiU" w:cs="Calibri"/>
        </w:rPr>
        <w:t>a</w:t>
      </w:r>
      <w:r w:rsidRPr="00EB1E92">
        <w:rPr>
          <w:rFonts w:eastAsia="PMingLiU" w:cs="Calibri"/>
          <w:spacing w:val="40"/>
        </w:rPr>
        <w:t xml:space="preserve"> </w:t>
      </w:r>
      <w:r w:rsidRPr="00EB1E92">
        <w:rPr>
          <w:rFonts w:eastAsia="PMingLiU" w:cs="Calibri"/>
        </w:rPr>
        <w:t>prava</w:t>
      </w:r>
      <w:r w:rsidRPr="00EB1E92">
        <w:rPr>
          <w:rFonts w:eastAsia="PMingLiU" w:cs="Calibri"/>
          <w:spacing w:val="36"/>
        </w:rPr>
        <w:t xml:space="preserve"> </w:t>
      </w:r>
      <w:r w:rsidRPr="00EB1E92">
        <w:rPr>
          <w:rFonts w:eastAsia="PMingLiU" w:cs="Calibri"/>
        </w:rPr>
        <w:t>i dužnosti</w:t>
      </w:r>
      <w:r w:rsidRPr="00EB1E92">
        <w:rPr>
          <w:rFonts w:eastAsia="PMingLiU" w:cs="Calibri"/>
          <w:spacing w:val="3"/>
        </w:rPr>
        <w:t xml:space="preserve"> </w:t>
      </w:r>
      <w:r w:rsidRPr="00EB1E92">
        <w:rPr>
          <w:rFonts w:eastAsia="PMingLiU" w:cs="Calibri"/>
        </w:rPr>
        <w:t>osniv</w:t>
      </w:r>
      <w:r w:rsidRPr="00EB1E92">
        <w:rPr>
          <w:rFonts w:eastAsia="PMingLiU" w:cs="Calibri"/>
          <w:spacing w:val="1"/>
        </w:rPr>
        <w:t>ač</w:t>
      </w:r>
      <w:r w:rsidRPr="00EB1E92">
        <w:rPr>
          <w:rFonts w:eastAsia="PMingLiU" w:cs="Calibri"/>
        </w:rPr>
        <w:t>a</w:t>
      </w:r>
      <w:r w:rsidRPr="00EB1E92">
        <w:rPr>
          <w:rFonts w:eastAsia="PMingLiU" w:cs="Calibri"/>
          <w:spacing w:val="2"/>
        </w:rPr>
        <w:t xml:space="preserve"> </w:t>
      </w:r>
      <w:r w:rsidRPr="00EB1E92">
        <w:rPr>
          <w:rFonts w:eastAsia="PMingLiU" w:cs="Calibri"/>
        </w:rPr>
        <w:t>Us</w:t>
      </w:r>
      <w:r w:rsidRPr="00EB1E92">
        <w:rPr>
          <w:rFonts w:eastAsia="PMingLiU" w:cs="Calibri"/>
          <w:spacing w:val="-1"/>
        </w:rPr>
        <w:t>t</w:t>
      </w:r>
      <w:r w:rsidRPr="00EB1E92">
        <w:rPr>
          <w:rFonts w:eastAsia="PMingLiU" w:cs="Calibri"/>
        </w:rPr>
        <w:t>anove ob</w:t>
      </w:r>
      <w:r w:rsidRPr="00EB1E92">
        <w:rPr>
          <w:rFonts w:eastAsia="PMingLiU" w:cs="Calibri"/>
          <w:spacing w:val="1"/>
        </w:rPr>
        <w:t>a</w:t>
      </w:r>
      <w:r w:rsidRPr="00EB1E92">
        <w:rPr>
          <w:rFonts w:eastAsia="PMingLiU" w:cs="Calibri"/>
        </w:rPr>
        <w:t>vlja</w:t>
      </w:r>
      <w:r w:rsidRPr="00EB1E92">
        <w:rPr>
          <w:rFonts w:eastAsia="PMingLiU" w:cs="Calibri"/>
          <w:spacing w:val="3"/>
        </w:rPr>
        <w:t xml:space="preserve"> </w:t>
      </w:r>
      <w:r w:rsidRPr="00EB1E92">
        <w:rPr>
          <w:rFonts w:eastAsia="PMingLiU" w:cs="Calibri"/>
        </w:rPr>
        <w:t>Vlada</w:t>
      </w:r>
      <w:r w:rsidRPr="00EB1E92">
        <w:rPr>
          <w:rFonts w:eastAsia="PMingLiU" w:cs="Calibri"/>
          <w:spacing w:val="4"/>
        </w:rPr>
        <w:t xml:space="preserve"> </w:t>
      </w:r>
      <w:r w:rsidRPr="00EB1E92">
        <w:rPr>
          <w:rFonts w:eastAsia="PMingLiU" w:cs="Calibri"/>
        </w:rPr>
        <w:t>RH.</w:t>
      </w:r>
      <w:r w:rsidRPr="00EB1E92">
        <w:rPr>
          <w:rFonts w:eastAsia="PMingLiU" w:cs="Calibri"/>
          <w:spacing w:val="7"/>
        </w:rPr>
        <w:t xml:space="preserve"> </w:t>
      </w:r>
      <w:r w:rsidRPr="00EB1E92">
        <w:rPr>
          <w:rFonts w:eastAsia="PMingLiU" w:cs="Calibri"/>
        </w:rPr>
        <w:t>Djelatnost Ustanove uklj</w:t>
      </w:r>
      <w:r w:rsidRPr="00EB1E92">
        <w:rPr>
          <w:rFonts w:eastAsia="PMingLiU" w:cs="Calibri"/>
          <w:spacing w:val="1"/>
        </w:rPr>
        <w:t>uč</w:t>
      </w:r>
      <w:r w:rsidRPr="00EB1E92">
        <w:rPr>
          <w:rFonts w:eastAsia="PMingLiU" w:cs="Calibri"/>
        </w:rPr>
        <w:t>uje</w:t>
      </w:r>
      <w:r w:rsidRPr="00EB1E92">
        <w:rPr>
          <w:rFonts w:eastAsia="PMingLiU" w:cs="Calibri"/>
          <w:spacing w:val="1"/>
        </w:rPr>
        <w:t xml:space="preserve"> </w:t>
      </w:r>
      <w:r w:rsidRPr="00EB1E92">
        <w:rPr>
          <w:rFonts w:eastAsia="PMingLiU" w:cs="Calibri"/>
        </w:rPr>
        <w:t>zaštitu, održavanje</w:t>
      </w:r>
      <w:r w:rsidRPr="00EB1E92">
        <w:rPr>
          <w:rFonts w:eastAsia="PMingLiU" w:cs="Calibri"/>
          <w:spacing w:val="57"/>
        </w:rPr>
        <w:t xml:space="preserve"> </w:t>
      </w:r>
      <w:r w:rsidRPr="00EB1E92">
        <w:rPr>
          <w:rFonts w:eastAsia="PMingLiU" w:cs="Calibri"/>
        </w:rPr>
        <w:t>i promicanje</w:t>
      </w:r>
      <w:r w:rsidRPr="00EB1E92">
        <w:rPr>
          <w:rFonts w:eastAsia="PMingLiU" w:cs="Calibri"/>
          <w:spacing w:val="57"/>
        </w:rPr>
        <w:t xml:space="preserve"> </w:t>
      </w:r>
      <w:r w:rsidRPr="00EB1E92">
        <w:rPr>
          <w:rFonts w:eastAsia="PMingLiU" w:cs="Calibri"/>
        </w:rPr>
        <w:t>Parka prirode Medvednica</w:t>
      </w:r>
      <w:r w:rsidRPr="00EB1E92">
        <w:rPr>
          <w:rFonts w:eastAsia="PMingLiU" w:cs="Calibri"/>
          <w:spacing w:val="56"/>
        </w:rPr>
        <w:t xml:space="preserve"> </w:t>
      </w:r>
      <w:r w:rsidRPr="00EB1E92">
        <w:rPr>
          <w:rFonts w:eastAsia="PMingLiU" w:cs="Calibri"/>
        </w:rPr>
        <w:t xml:space="preserve">u cilju zaštite i </w:t>
      </w:r>
      <w:r w:rsidRPr="00EB1E92">
        <w:rPr>
          <w:rFonts w:eastAsia="PMingLiU" w:cs="Calibri"/>
          <w:spacing w:val="2"/>
        </w:rPr>
        <w:t>o</w:t>
      </w:r>
      <w:r w:rsidRPr="00EB1E92">
        <w:rPr>
          <w:rFonts w:eastAsia="PMingLiU" w:cs="Calibri"/>
          <w:spacing w:val="1"/>
        </w:rPr>
        <w:t>č</w:t>
      </w:r>
      <w:r w:rsidRPr="00EB1E92">
        <w:rPr>
          <w:rFonts w:eastAsia="PMingLiU" w:cs="Calibri"/>
        </w:rPr>
        <w:t>uvanja</w:t>
      </w:r>
      <w:r w:rsidRPr="00EB1E92">
        <w:rPr>
          <w:rFonts w:eastAsia="PMingLiU" w:cs="Calibri"/>
          <w:spacing w:val="59"/>
        </w:rPr>
        <w:t xml:space="preserve"> </w:t>
      </w:r>
      <w:r w:rsidRPr="00EB1E92">
        <w:rPr>
          <w:rFonts w:eastAsia="PMingLiU" w:cs="Calibri"/>
        </w:rPr>
        <w:t>izvornosti prirode,</w:t>
      </w:r>
      <w:r w:rsidRPr="00EB1E92">
        <w:rPr>
          <w:rFonts w:eastAsia="PMingLiU" w:cs="Calibri"/>
          <w:spacing w:val="5"/>
        </w:rPr>
        <w:t xml:space="preserve"> </w:t>
      </w:r>
      <w:r w:rsidRPr="00EB1E92">
        <w:rPr>
          <w:rFonts w:eastAsia="PMingLiU" w:cs="Calibri"/>
        </w:rPr>
        <w:t>osi</w:t>
      </w:r>
      <w:r w:rsidRPr="00EB1E92">
        <w:rPr>
          <w:rFonts w:eastAsia="PMingLiU" w:cs="Calibri"/>
          <w:spacing w:val="-1"/>
        </w:rPr>
        <w:t>g</w:t>
      </w:r>
      <w:r w:rsidRPr="00EB1E92">
        <w:rPr>
          <w:rFonts w:eastAsia="PMingLiU" w:cs="Calibri"/>
        </w:rPr>
        <w:t>uravanje neometanog odvijanja</w:t>
      </w:r>
      <w:r w:rsidRPr="00EB1E92">
        <w:rPr>
          <w:rFonts w:eastAsia="PMingLiU" w:cs="Calibri"/>
          <w:spacing w:val="4"/>
        </w:rPr>
        <w:t xml:space="preserve"> </w:t>
      </w:r>
      <w:r w:rsidRPr="00EB1E92">
        <w:rPr>
          <w:rFonts w:eastAsia="PMingLiU" w:cs="Calibri"/>
        </w:rPr>
        <w:t>prirodnih</w:t>
      </w:r>
      <w:r w:rsidRPr="00EB1E92">
        <w:rPr>
          <w:rFonts w:eastAsia="PMingLiU" w:cs="Calibri"/>
          <w:spacing w:val="4"/>
        </w:rPr>
        <w:t xml:space="preserve"> </w:t>
      </w:r>
      <w:r w:rsidRPr="00EB1E92">
        <w:rPr>
          <w:rFonts w:eastAsia="PMingLiU" w:cs="Calibri"/>
        </w:rPr>
        <w:t>proc</w:t>
      </w:r>
      <w:r w:rsidRPr="00EB1E92">
        <w:rPr>
          <w:rFonts w:eastAsia="PMingLiU" w:cs="Calibri"/>
          <w:spacing w:val="-1"/>
        </w:rPr>
        <w:t>e</w:t>
      </w:r>
      <w:r w:rsidRPr="00EB1E92">
        <w:rPr>
          <w:rFonts w:eastAsia="PMingLiU" w:cs="Calibri"/>
          <w:spacing w:val="1"/>
        </w:rPr>
        <w:t>s</w:t>
      </w:r>
      <w:r w:rsidRPr="00EB1E92">
        <w:rPr>
          <w:rFonts w:eastAsia="PMingLiU" w:cs="Calibri"/>
        </w:rPr>
        <w:t>a</w:t>
      </w:r>
      <w:r w:rsidRPr="00EB1E92">
        <w:rPr>
          <w:rFonts w:eastAsia="PMingLiU" w:cs="Calibri"/>
          <w:spacing w:val="5"/>
        </w:rPr>
        <w:t xml:space="preserve"> </w:t>
      </w:r>
      <w:r w:rsidRPr="00EB1E92">
        <w:rPr>
          <w:rFonts w:eastAsia="PMingLiU" w:cs="Calibri"/>
        </w:rPr>
        <w:t>i</w:t>
      </w:r>
      <w:r w:rsidRPr="00EB1E92">
        <w:rPr>
          <w:rFonts w:eastAsia="PMingLiU" w:cs="Calibri"/>
          <w:spacing w:val="12"/>
        </w:rPr>
        <w:t xml:space="preserve"> </w:t>
      </w:r>
      <w:r w:rsidRPr="00EB1E92">
        <w:rPr>
          <w:rFonts w:eastAsia="PMingLiU" w:cs="Calibri"/>
        </w:rPr>
        <w:t>održiv</w:t>
      </w:r>
      <w:r w:rsidRPr="00EB1E92">
        <w:rPr>
          <w:rFonts w:eastAsia="PMingLiU" w:cs="Calibri"/>
          <w:spacing w:val="-1"/>
        </w:rPr>
        <w:t>o</w:t>
      </w:r>
      <w:r w:rsidRPr="00EB1E92">
        <w:rPr>
          <w:rFonts w:eastAsia="PMingLiU" w:cs="Calibri"/>
        </w:rPr>
        <w:t>g</w:t>
      </w:r>
      <w:r w:rsidRPr="00EB1E92">
        <w:rPr>
          <w:rFonts w:eastAsia="PMingLiU" w:cs="Calibri"/>
          <w:spacing w:val="4"/>
        </w:rPr>
        <w:t xml:space="preserve"> </w:t>
      </w:r>
      <w:r w:rsidRPr="00EB1E92">
        <w:rPr>
          <w:rFonts w:eastAsia="PMingLiU" w:cs="Calibri"/>
        </w:rPr>
        <w:t>korištenja</w:t>
      </w:r>
      <w:r w:rsidRPr="00EB1E92">
        <w:rPr>
          <w:rFonts w:eastAsia="PMingLiU" w:cs="Calibri"/>
          <w:spacing w:val="2"/>
        </w:rPr>
        <w:t xml:space="preserve"> </w:t>
      </w:r>
      <w:r w:rsidRPr="00EB1E92">
        <w:rPr>
          <w:rFonts w:eastAsia="PMingLiU" w:cs="Calibri"/>
        </w:rPr>
        <w:t>prirodnih dobara,</w:t>
      </w:r>
      <w:r w:rsidRPr="00EB1E92">
        <w:rPr>
          <w:rFonts w:eastAsia="PMingLiU" w:cs="Calibri"/>
          <w:spacing w:val="29"/>
        </w:rPr>
        <w:t xml:space="preserve"> </w:t>
      </w:r>
      <w:r w:rsidRPr="00EB1E92">
        <w:rPr>
          <w:rFonts w:eastAsia="PMingLiU" w:cs="Calibri"/>
        </w:rPr>
        <w:t>nadziranje</w:t>
      </w:r>
      <w:r w:rsidRPr="00EB1E92">
        <w:rPr>
          <w:rFonts w:eastAsia="PMingLiU" w:cs="Calibri"/>
          <w:spacing w:val="26"/>
        </w:rPr>
        <w:t xml:space="preserve"> </w:t>
      </w:r>
      <w:r w:rsidRPr="00EB1E92">
        <w:rPr>
          <w:rFonts w:eastAsia="PMingLiU" w:cs="Calibri"/>
        </w:rPr>
        <w:t>prov</w:t>
      </w:r>
      <w:r w:rsidRPr="00EB1E92">
        <w:rPr>
          <w:rFonts w:eastAsia="PMingLiU" w:cs="Calibri"/>
          <w:spacing w:val="1"/>
        </w:rPr>
        <w:t>o</w:t>
      </w:r>
      <w:r w:rsidRPr="00EB1E92">
        <w:rPr>
          <w:rFonts w:eastAsia="PMingLiU" w:cs="Calibri"/>
        </w:rPr>
        <w:t>đenja</w:t>
      </w:r>
      <w:r w:rsidRPr="00EB1E92">
        <w:rPr>
          <w:rFonts w:eastAsia="PMingLiU" w:cs="Calibri"/>
          <w:spacing w:val="25"/>
        </w:rPr>
        <w:t xml:space="preserve"> </w:t>
      </w:r>
      <w:r w:rsidRPr="00EB1E92">
        <w:rPr>
          <w:rFonts w:eastAsia="PMingLiU" w:cs="Calibri"/>
        </w:rPr>
        <w:t>uvjeta</w:t>
      </w:r>
      <w:r w:rsidRPr="00EB1E92">
        <w:rPr>
          <w:rFonts w:eastAsia="PMingLiU" w:cs="Calibri"/>
          <w:spacing w:val="30"/>
        </w:rPr>
        <w:t xml:space="preserve"> </w:t>
      </w:r>
      <w:r w:rsidRPr="00EB1E92">
        <w:rPr>
          <w:rFonts w:eastAsia="PMingLiU" w:cs="Calibri"/>
        </w:rPr>
        <w:t>i</w:t>
      </w:r>
      <w:r w:rsidRPr="00EB1E92">
        <w:rPr>
          <w:rFonts w:eastAsia="PMingLiU" w:cs="Calibri"/>
          <w:spacing w:val="36"/>
        </w:rPr>
        <w:t xml:space="preserve"> </w:t>
      </w:r>
      <w:r w:rsidRPr="00EB1E92">
        <w:rPr>
          <w:rFonts w:eastAsia="PMingLiU" w:cs="Calibri"/>
        </w:rPr>
        <w:t>mjera</w:t>
      </w:r>
      <w:r w:rsidRPr="00EB1E92">
        <w:rPr>
          <w:rFonts w:eastAsia="PMingLiU" w:cs="Calibri"/>
          <w:spacing w:val="31"/>
        </w:rPr>
        <w:t xml:space="preserve"> </w:t>
      </w:r>
      <w:r w:rsidRPr="00EB1E92">
        <w:rPr>
          <w:rFonts w:eastAsia="PMingLiU" w:cs="Calibri"/>
          <w:spacing w:val="2"/>
        </w:rPr>
        <w:t>z</w:t>
      </w:r>
      <w:r w:rsidRPr="00EB1E92">
        <w:rPr>
          <w:rFonts w:eastAsia="PMingLiU" w:cs="Calibri"/>
        </w:rPr>
        <w:t>aštite</w:t>
      </w:r>
      <w:r w:rsidRPr="00EB1E92">
        <w:rPr>
          <w:rFonts w:eastAsia="PMingLiU" w:cs="Calibri"/>
          <w:spacing w:val="30"/>
        </w:rPr>
        <w:t xml:space="preserve"> </w:t>
      </w:r>
      <w:r w:rsidRPr="00EB1E92">
        <w:rPr>
          <w:rFonts w:eastAsia="PMingLiU" w:cs="Calibri"/>
        </w:rPr>
        <w:t>priro</w:t>
      </w:r>
      <w:r w:rsidRPr="00EB1E92">
        <w:rPr>
          <w:rFonts w:eastAsia="PMingLiU" w:cs="Calibri"/>
          <w:spacing w:val="-1"/>
        </w:rPr>
        <w:t>d</w:t>
      </w:r>
      <w:r w:rsidRPr="00EB1E92">
        <w:rPr>
          <w:rFonts w:eastAsia="PMingLiU" w:cs="Calibri"/>
        </w:rPr>
        <w:t>e</w:t>
      </w:r>
      <w:r w:rsidRPr="00EB1E92">
        <w:rPr>
          <w:rFonts w:eastAsia="PMingLiU" w:cs="Calibri"/>
          <w:spacing w:val="29"/>
        </w:rPr>
        <w:t xml:space="preserve"> </w:t>
      </w:r>
      <w:r w:rsidRPr="00EB1E92">
        <w:rPr>
          <w:rFonts w:eastAsia="PMingLiU" w:cs="Calibri"/>
        </w:rPr>
        <w:t>te</w:t>
      </w:r>
      <w:r w:rsidRPr="00EB1E92">
        <w:rPr>
          <w:rFonts w:eastAsia="PMingLiU" w:cs="Calibri"/>
          <w:spacing w:val="34"/>
        </w:rPr>
        <w:t xml:space="preserve"> </w:t>
      </w:r>
      <w:r w:rsidRPr="00EB1E92">
        <w:rPr>
          <w:rFonts w:eastAsia="PMingLiU" w:cs="Calibri"/>
        </w:rPr>
        <w:t>sudjel</w:t>
      </w:r>
      <w:r w:rsidRPr="00EB1E92">
        <w:rPr>
          <w:rFonts w:eastAsia="PMingLiU" w:cs="Calibri"/>
          <w:spacing w:val="-1"/>
        </w:rPr>
        <w:t>ov</w:t>
      </w:r>
      <w:r w:rsidRPr="00EB1E92">
        <w:rPr>
          <w:rFonts w:eastAsia="PMingLiU" w:cs="Calibri"/>
        </w:rPr>
        <w:t>anje</w:t>
      </w:r>
      <w:r w:rsidRPr="00EB1E92">
        <w:rPr>
          <w:rFonts w:eastAsia="PMingLiU" w:cs="Calibri"/>
          <w:spacing w:val="24"/>
        </w:rPr>
        <w:t xml:space="preserve"> </w:t>
      </w:r>
      <w:r w:rsidRPr="00EB1E92">
        <w:rPr>
          <w:rFonts w:eastAsia="PMingLiU" w:cs="Calibri"/>
        </w:rPr>
        <w:t>u</w:t>
      </w:r>
      <w:r w:rsidRPr="00EB1E92">
        <w:rPr>
          <w:rFonts w:eastAsia="PMingLiU" w:cs="Calibri"/>
          <w:spacing w:val="35"/>
        </w:rPr>
        <w:t xml:space="preserve"> </w:t>
      </w:r>
      <w:r w:rsidRPr="00EB1E92">
        <w:rPr>
          <w:rFonts w:eastAsia="PMingLiU" w:cs="Calibri"/>
        </w:rPr>
        <w:t>prikupljanju podataka</w:t>
      </w:r>
      <w:r w:rsidRPr="00EB1E92">
        <w:rPr>
          <w:rFonts w:eastAsia="PMingLiU" w:cs="Calibri"/>
          <w:spacing w:val="-2"/>
        </w:rPr>
        <w:t xml:space="preserve"> </w:t>
      </w:r>
      <w:r w:rsidRPr="00EB1E92">
        <w:rPr>
          <w:rFonts w:eastAsia="PMingLiU" w:cs="Calibri"/>
        </w:rPr>
        <w:t>u</w:t>
      </w:r>
      <w:r w:rsidRPr="00EB1E92">
        <w:rPr>
          <w:rFonts w:eastAsia="PMingLiU" w:cs="Calibri"/>
          <w:spacing w:val="5"/>
        </w:rPr>
        <w:t xml:space="preserve"> </w:t>
      </w:r>
      <w:r w:rsidRPr="00EB1E92">
        <w:rPr>
          <w:rFonts w:eastAsia="PMingLiU" w:cs="Calibri"/>
        </w:rPr>
        <w:t>svrhu</w:t>
      </w:r>
      <w:r w:rsidRPr="00EB1E92">
        <w:rPr>
          <w:rFonts w:eastAsia="PMingLiU" w:cs="Calibri"/>
          <w:spacing w:val="2"/>
        </w:rPr>
        <w:t xml:space="preserve"> </w:t>
      </w:r>
      <w:r w:rsidRPr="00EB1E92">
        <w:rPr>
          <w:rFonts w:eastAsia="PMingLiU" w:cs="Calibri"/>
        </w:rPr>
        <w:t>pra</w:t>
      </w:r>
      <w:r w:rsidRPr="00EB1E92">
        <w:rPr>
          <w:rFonts w:eastAsia="PMingLiU" w:cs="Calibri"/>
          <w:spacing w:val="1"/>
        </w:rPr>
        <w:t>ć</w:t>
      </w:r>
      <w:r w:rsidRPr="00EB1E92">
        <w:rPr>
          <w:rFonts w:eastAsia="PMingLiU" w:cs="Calibri"/>
        </w:rPr>
        <w:t>enja</w:t>
      </w:r>
      <w:r w:rsidRPr="00EB1E92">
        <w:rPr>
          <w:rFonts w:eastAsia="PMingLiU" w:cs="Calibri"/>
          <w:spacing w:val="-1"/>
        </w:rPr>
        <w:t xml:space="preserve"> </w:t>
      </w:r>
      <w:r w:rsidRPr="00EB1E92">
        <w:rPr>
          <w:rFonts w:eastAsia="PMingLiU" w:cs="Calibri"/>
        </w:rPr>
        <w:t>stanja</w:t>
      </w:r>
      <w:r w:rsidRPr="00EB1E92">
        <w:rPr>
          <w:rFonts w:eastAsia="PMingLiU" w:cs="Calibri"/>
          <w:spacing w:val="1"/>
        </w:rPr>
        <w:t xml:space="preserve"> </w:t>
      </w:r>
      <w:r w:rsidRPr="00EB1E92">
        <w:rPr>
          <w:rFonts w:eastAsia="PMingLiU" w:cs="Calibri"/>
          <w:spacing w:val="-1"/>
        </w:rPr>
        <w:t>o</w:t>
      </w:r>
      <w:r w:rsidRPr="00EB1E92">
        <w:rPr>
          <w:rFonts w:eastAsia="PMingLiU" w:cs="Calibri"/>
          <w:spacing w:val="1"/>
        </w:rPr>
        <w:t>č</w:t>
      </w:r>
      <w:r w:rsidRPr="00EB1E92">
        <w:rPr>
          <w:rFonts w:eastAsia="PMingLiU" w:cs="Calibri"/>
        </w:rPr>
        <w:t>uvanosti</w:t>
      </w:r>
      <w:r w:rsidRPr="00EB1E92">
        <w:rPr>
          <w:rFonts w:eastAsia="PMingLiU" w:cs="Calibri"/>
          <w:spacing w:val="-4"/>
        </w:rPr>
        <w:t xml:space="preserve"> </w:t>
      </w:r>
      <w:r w:rsidRPr="00EB1E92">
        <w:rPr>
          <w:rFonts w:eastAsia="PMingLiU" w:cs="Calibri"/>
        </w:rPr>
        <w:t>p</w:t>
      </w:r>
      <w:r w:rsidRPr="00EB1E92">
        <w:rPr>
          <w:rFonts w:eastAsia="PMingLiU" w:cs="Calibri"/>
          <w:spacing w:val="-1"/>
        </w:rPr>
        <w:t>r</w:t>
      </w:r>
      <w:r w:rsidRPr="00EB1E92">
        <w:rPr>
          <w:rFonts w:eastAsia="PMingLiU" w:cs="Calibri"/>
        </w:rPr>
        <w:t>irode (monitoring).</w:t>
      </w:r>
      <w:r w:rsidRPr="00EB1E92">
        <w:rPr>
          <w:rFonts w:eastAsia="PMingLiU" w:cs="Calibri"/>
          <w:spacing w:val="-5"/>
        </w:rPr>
        <w:t xml:space="preserve"> </w:t>
      </w:r>
      <w:r w:rsidRPr="00EB1E92">
        <w:rPr>
          <w:rFonts w:eastAsia="PMingLiU" w:cs="Calibri"/>
        </w:rPr>
        <w:t>Dokument</w:t>
      </w:r>
      <w:r w:rsidRPr="00EB1E92">
        <w:rPr>
          <w:rFonts w:eastAsia="PMingLiU" w:cs="Calibri"/>
          <w:spacing w:val="-3"/>
        </w:rPr>
        <w:t xml:space="preserve"> </w:t>
      </w:r>
      <w:r w:rsidRPr="00EB1E92">
        <w:rPr>
          <w:rFonts w:eastAsia="PMingLiU" w:cs="Calibri"/>
        </w:rPr>
        <w:t>temeljem</w:t>
      </w:r>
      <w:r w:rsidRPr="00EB1E92">
        <w:rPr>
          <w:rFonts w:eastAsia="PMingLiU" w:cs="Calibri"/>
          <w:spacing w:val="-2"/>
        </w:rPr>
        <w:t xml:space="preserve"> </w:t>
      </w:r>
      <w:r w:rsidRPr="00EB1E92">
        <w:rPr>
          <w:rFonts w:eastAsia="PMingLiU" w:cs="Calibri"/>
        </w:rPr>
        <w:t>kojeg Ustanova</w:t>
      </w:r>
      <w:r w:rsidRPr="00EB1E92">
        <w:rPr>
          <w:rFonts w:eastAsia="PMingLiU" w:cs="Calibri"/>
          <w:spacing w:val="27"/>
        </w:rPr>
        <w:t xml:space="preserve"> </w:t>
      </w:r>
      <w:r w:rsidRPr="00EB1E92">
        <w:rPr>
          <w:rFonts w:eastAsia="PMingLiU" w:cs="Calibri"/>
          <w:spacing w:val="2"/>
        </w:rPr>
        <w:t>u</w:t>
      </w:r>
      <w:r w:rsidRPr="00EB1E92">
        <w:rPr>
          <w:rFonts w:eastAsia="PMingLiU" w:cs="Calibri"/>
        </w:rPr>
        <w:t>pravlja</w:t>
      </w:r>
      <w:r w:rsidRPr="00EB1E92">
        <w:rPr>
          <w:rFonts w:eastAsia="PMingLiU" w:cs="Calibri"/>
          <w:spacing w:val="28"/>
        </w:rPr>
        <w:t xml:space="preserve"> </w:t>
      </w:r>
      <w:r w:rsidRPr="00EB1E92">
        <w:rPr>
          <w:rFonts w:eastAsia="PMingLiU" w:cs="Calibri"/>
        </w:rPr>
        <w:t>Parkom</w:t>
      </w:r>
      <w:r w:rsidRPr="00EB1E92">
        <w:rPr>
          <w:rFonts w:eastAsia="PMingLiU" w:cs="Calibri"/>
          <w:spacing w:val="29"/>
        </w:rPr>
        <w:t xml:space="preserve"> </w:t>
      </w:r>
      <w:r w:rsidRPr="00EB1E92">
        <w:rPr>
          <w:rFonts w:eastAsia="PMingLiU" w:cs="Calibri"/>
        </w:rPr>
        <w:t>je</w:t>
      </w:r>
      <w:r w:rsidRPr="00EB1E92">
        <w:rPr>
          <w:rFonts w:eastAsia="PMingLiU" w:cs="Calibri"/>
          <w:spacing w:val="34"/>
        </w:rPr>
        <w:t xml:space="preserve"> </w:t>
      </w:r>
      <w:r w:rsidRPr="00EB1E92">
        <w:rPr>
          <w:rFonts w:eastAsia="PMingLiU" w:cs="Calibri"/>
        </w:rPr>
        <w:t>dese</w:t>
      </w:r>
      <w:r w:rsidRPr="00EB1E92">
        <w:rPr>
          <w:rFonts w:eastAsia="PMingLiU" w:cs="Calibri"/>
          <w:spacing w:val="1"/>
        </w:rPr>
        <w:t>t</w:t>
      </w:r>
      <w:r w:rsidRPr="00EB1E92">
        <w:rPr>
          <w:rFonts w:eastAsia="PMingLiU" w:cs="Calibri"/>
        </w:rPr>
        <w:t>ogodišnji</w:t>
      </w:r>
      <w:r w:rsidRPr="00EB1E92">
        <w:rPr>
          <w:rFonts w:eastAsia="PMingLiU" w:cs="Calibri"/>
          <w:spacing w:val="22"/>
        </w:rPr>
        <w:t xml:space="preserve"> </w:t>
      </w:r>
      <w:r w:rsidRPr="00EB1E92">
        <w:rPr>
          <w:rFonts w:eastAsia="PMingLiU" w:cs="Calibri"/>
        </w:rPr>
        <w:t>Plan</w:t>
      </w:r>
      <w:r w:rsidRPr="00EB1E92">
        <w:rPr>
          <w:rFonts w:eastAsia="PMingLiU" w:cs="Calibri"/>
          <w:spacing w:val="32"/>
        </w:rPr>
        <w:t xml:space="preserve"> </w:t>
      </w:r>
      <w:r w:rsidRPr="00EB1E92">
        <w:rPr>
          <w:rFonts w:eastAsia="PMingLiU" w:cs="Calibri"/>
        </w:rPr>
        <w:t>upravljanja,</w:t>
      </w:r>
      <w:r w:rsidRPr="00EB1E92">
        <w:rPr>
          <w:rFonts w:eastAsia="PMingLiU" w:cs="Calibri"/>
          <w:spacing w:val="25"/>
        </w:rPr>
        <w:t xml:space="preserve"> </w:t>
      </w:r>
      <w:r w:rsidRPr="00EB1E92">
        <w:rPr>
          <w:rFonts w:eastAsia="PMingLiU" w:cs="Calibri"/>
        </w:rPr>
        <w:t>te</w:t>
      </w:r>
      <w:r w:rsidRPr="00EB1E92">
        <w:rPr>
          <w:rFonts w:eastAsia="PMingLiU" w:cs="Calibri"/>
          <w:spacing w:val="34"/>
        </w:rPr>
        <w:t xml:space="preserve"> </w:t>
      </w:r>
      <w:r w:rsidRPr="00EB1E92">
        <w:rPr>
          <w:rFonts w:eastAsia="PMingLiU" w:cs="Calibri"/>
        </w:rPr>
        <w:t>godišnji</w:t>
      </w:r>
      <w:r w:rsidRPr="00EB1E92">
        <w:rPr>
          <w:rFonts w:eastAsia="PMingLiU" w:cs="Calibri"/>
          <w:spacing w:val="29"/>
        </w:rPr>
        <w:t xml:space="preserve"> </w:t>
      </w:r>
      <w:r w:rsidRPr="00EB1E92">
        <w:rPr>
          <w:rFonts w:eastAsia="PMingLiU" w:cs="Calibri"/>
        </w:rPr>
        <w:t>progr</w:t>
      </w:r>
      <w:r w:rsidRPr="00EB1E92">
        <w:rPr>
          <w:rFonts w:eastAsia="PMingLiU" w:cs="Calibri"/>
          <w:spacing w:val="-1"/>
        </w:rPr>
        <w:t>am</w:t>
      </w:r>
      <w:r w:rsidRPr="00EB1E92">
        <w:rPr>
          <w:rFonts w:eastAsia="PMingLiU" w:cs="Calibri"/>
        </w:rPr>
        <w:t>i</w:t>
      </w:r>
      <w:r w:rsidRPr="00EB1E92">
        <w:rPr>
          <w:rFonts w:eastAsia="PMingLiU" w:cs="Calibri"/>
          <w:spacing w:val="27"/>
        </w:rPr>
        <w:t xml:space="preserve"> </w:t>
      </w:r>
      <w:r w:rsidRPr="00EB1E92">
        <w:rPr>
          <w:rFonts w:eastAsia="PMingLiU" w:cs="Calibri"/>
        </w:rPr>
        <w:t>zaštite, održavanja, o</w:t>
      </w:r>
      <w:r w:rsidRPr="00EB1E92">
        <w:rPr>
          <w:rFonts w:eastAsia="PMingLiU" w:cs="Calibri"/>
          <w:spacing w:val="1"/>
        </w:rPr>
        <w:t>č</w:t>
      </w:r>
      <w:r w:rsidRPr="00EB1E92">
        <w:rPr>
          <w:rFonts w:eastAsia="PMingLiU" w:cs="Calibri"/>
        </w:rPr>
        <w:t>uvanja, korištenja i promicanja zašti</w:t>
      </w:r>
      <w:r w:rsidRPr="00EB1E92">
        <w:rPr>
          <w:rFonts w:eastAsia="PMingLiU" w:cs="Calibri"/>
          <w:spacing w:val="-1"/>
        </w:rPr>
        <w:t>ć</w:t>
      </w:r>
      <w:r w:rsidRPr="00EB1E92">
        <w:rPr>
          <w:rFonts w:eastAsia="PMingLiU" w:cs="Calibri"/>
        </w:rPr>
        <w:t>enog podru</w:t>
      </w:r>
      <w:r w:rsidRPr="00EB1E92">
        <w:rPr>
          <w:rFonts w:eastAsia="PMingLiU" w:cs="Calibri"/>
          <w:spacing w:val="1"/>
        </w:rPr>
        <w:t>č</w:t>
      </w:r>
      <w:r w:rsidRPr="00EB1E92">
        <w:rPr>
          <w:rFonts w:eastAsia="PMingLiU" w:cs="Calibri"/>
        </w:rPr>
        <w:t>ja. Parku prirode Medvednica</w:t>
      </w:r>
      <w:r w:rsidRPr="00EB1E92">
        <w:rPr>
          <w:rFonts w:eastAsia="PMingLiU" w:cs="Calibri"/>
          <w:spacing w:val="2"/>
        </w:rPr>
        <w:t xml:space="preserve"> </w:t>
      </w:r>
      <w:r w:rsidRPr="00EB1E92">
        <w:rPr>
          <w:rFonts w:eastAsia="PMingLiU" w:cs="Calibri"/>
        </w:rPr>
        <w:t>dodijeljena</w:t>
      </w:r>
      <w:r w:rsidRPr="00EB1E92">
        <w:rPr>
          <w:rFonts w:eastAsia="PMingLiU" w:cs="Calibri"/>
          <w:spacing w:val="1"/>
        </w:rPr>
        <w:t xml:space="preserve"> </w:t>
      </w:r>
      <w:r w:rsidRPr="00EB1E92">
        <w:rPr>
          <w:rFonts w:eastAsia="PMingLiU" w:cs="Calibri"/>
        </w:rPr>
        <w:t>je</w:t>
      </w:r>
      <w:r w:rsidRPr="00EB1E92">
        <w:rPr>
          <w:rFonts w:eastAsia="PMingLiU" w:cs="Calibri"/>
          <w:spacing w:val="11"/>
        </w:rPr>
        <w:t xml:space="preserve"> </w:t>
      </w:r>
      <w:r w:rsidRPr="00EB1E92">
        <w:rPr>
          <w:rFonts w:eastAsia="PMingLiU" w:cs="Calibri"/>
        </w:rPr>
        <w:t>u</w:t>
      </w:r>
      <w:r w:rsidRPr="00EB1E92">
        <w:rPr>
          <w:rFonts w:eastAsia="PMingLiU" w:cs="Calibri"/>
          <w:spacing w:val="12"/>
        </w:rPr>
        <w:t xml:space="preserve"> </w:t>
      </w:r>
      <w:r w:rsidRPr="00EB1E92">
        <w:rPr>
          <w:rFonts w:eastAsia="PMingLiU" w:cs="Calibri"/>
        </w:rPr>
        <w:t>prosincu</w:t>
      </w:r>
      <w:r w:rsidRPr="00EB1E92">
        <w:rPr>
          <w:rFonts w:eastAsia="PMingLiU" w:cs="Calibri"/>
          <w:spacing w:val="5"/>
        </w:rPr>
        <w:t xml:space="preserve"> </w:t>
      </w:r>
      <w:r w:rsidRPr="00EB1E92">
        <w:rPr>
          <w:rFonts w:eastAsia="PMingLiU" w:cs="Calibri"/>
        </w:rPr>
        <w:t>2014.</w:t>
      </w:r>
      <w:r w:rsidRPr="00EB1E92">
        <w:rPr>
          <w:rFonts w:eastAsia="PMingLiU" w:cs="Calibri"/>
          <w:spacing w:val="8"/>
        </w:rPr>
        <w:t xml:space="preserve"> </w:t>
      </w:r>
      <w:r w:rsidRPr="00EB1E92">
        <w:rPr>
          <w:rFonts w:eastAsia="PMingLiU" w:cs="Calibri"/>
        </w:rPr>
        <w:t>u</w:t>
      </w:r>
      <w:r w:rsidRPr="00EB1E92">
        <w:rPr>
          <w:rFonts w:eastAsia="PMingLiU" w:cs="Calibri"/>
          <w:spacing w:val="12"/>
        </w:rPr>
        <w:t xml:space="preserve"> </w:t>
      </w:r>
      <w:r w:rsidRPr="00EB1E92">
        <w:rPr>
          <w:rFonts w:eastAsia="PMingLiU" w:cs="Calibri"/>
        </w:rPr>
        <w:t>Europskom</w:t>
      </w:r>
      <w:r w:rsidRPr="00EB1E92">
        <w:rPr>
          <w:rFonts w:eastAsia="PMingLiU" w:cs="Calibri"/>
          <w:spacing w:val="2"/>
        </w:rPr>
        <w:t xml:space="preserve"> </w:t>
      </w:r>
      <w:r w:rsidRPr="00EB1E92">
        <w:rPr>
          <w:rFonts w:eastAsia="PMingLiU" w:cs="Calibri"/>
        </w:rPr>
        <w:t>parlamentu</w:t>
      </w:r>
      <w:r w:rsidRPr="00EB1E92">
        <w:rPr>
          <w:rFonts w:eastAsia="PMingLiU" w:cs="Calibri"/>
          <w:spacing w:val="2"/>
        </w:rPr>
        <w:t xml:space="preserve"> </w:t>
      </w:r>
      <w:r w:rsidRPr="00EB1E92">
        <w:rPr>
          <w:rFonts w:eastAsia="PMingLiU" w:cs="Calibri"/>
        </w:rPr>
        <w:t>EUROPARC-ova Povelja za</w:t>
      </w:r>
      <w:r w:rsidRPr="00EB1E92">
        <w:rPr>
          <w:rFonts w:eastAsia="PMingLiU" w:cs="Calibri"/>
          <w:spacing w:val="10"/>
        </w:rPr>
        <w:t xml:space="preserve"> </w:t>
      </w:r>
      <w:r w:rsidRPr="00EB1E92">
        <w:rPr>
          <w:rFonts w:eastAsia="PMingLiU" w:cs="Calibri"/>
        </w:rPr>
        <w:t>održivi</w:t>
      </w:r>
      <w:r w:rsidRPr="00EB1E92">
        <w:rPr>
          <w:rFonts w:eastAsia="PMingLiU" w:cs="Calibri"/>
          <w:spacing w:val="6"/>
        </w:rPr>
        <w:t xml:space="preserve"> </w:t>
      </w:r>
      <w:r w:rsidRPr="00EB1E92">
        <w:rPr>
          <w:rFonts w:eastAsia="PMingLiU" w:cs="Calibri"/>
        </w:rPr>
        <w:t>t</w:t>
      </w:r>
      <w:r w:rsidRPr="00EB1E92">
        <w:rPr>
          <w:rFonts w:eastAsia="PMingLiU" w:cs="Calibri"/>
          <w:spacing w:val="-1"/>
        </w:rPr>
        <w:t>u</w:t>
      </w:r>
      <w:r w:rsidRPr="00EB1E92">
        <w:rPr>
          <w:rFonts w:eastAsia="PMingLiU" w:cs="Calibri"/>
        </w:rPr>
        <w:t>rizam</w:t>
      </w:r>
      <w:r w:rsidRPr="00EB1E92">
        <w:rPr>
          <w:rFonts w:eastAsia="PMingLiU" w:cs="Calibri"/>
          <w:spacing w:val="5"/>
        </w:rPr>
        <w:t xml:space="preserve"> </w:t>
      </w:r>
      <w:r w:rsidRPr="00EB1E92">
        <w:rPr>
          <w:rFonts w:eastAsia="PMingLiU" w:cs="Calibri"/>
        </w:rPr>
        <w:t>(Charter</w:t>
      </w:r>
      <w:r w:rsidRPr="00EB1E92">
        <w:rPr>
          <w:rFonts w:eastAsia="PMingLiU" w:cs="Calibri"/>
          <w:spacing w:val="4"/>
        </w:rPr>
        <w:t xml:space="preserve"> </w:t>
      </w:r>
      <w:r w:rsidRPr="00EB1E92">
        <w:rPr>
          <w:rFonts w:eastAsia="PMingLiU" w:cs="Calibri"/>
        </w:rPr>
        <w:t>for</w:t>
      </w:r>
      <w:r w:rsidRPr="00EB1E92">
        <w:rPr>
          <w:rFonts w:eastAsia="PMingLiU" w:cs="Calibri"/>
          <w:spacing w:val="10"/>
        </w:rPr>
        <w:t xml:space="preserve"> </w:t>
      </w:r>
      <w:r w:rsidRPr="00EB1E92">
        <w:rPr>
          <w:rFonts w:eastAsia="PMingLiU" w:cs="Calibri"/>
        </w:rPr>
        <w:t>Sustainable To</w:t>
      </w:r>
      <w:r w:rsidRPr="00EB1E92">
        <w:rPr>
          <w:rFonts w:eastAsia="PMingLiU" w:cs="Calibri"/>
          <w:spacing w:val="-1"/>
        </w:rPr>
        <w:t>u</w:t>
      </w:r>
      <w:r w:rsidRPr="00EB1E92">
        <w:rPr>
          <w:rFonts w:eastAsia="PMingLiU" w:cs="Calibri"/>
        </w:rPr>
        <w:t>rism), te je ista uspješno obnovljena 2020. godine za razdoblje od 2020. do 2024. godine.</w:t>
      </w:r>
      <w:r w:rsidRPr="00EB1E92">
        <w:rPr>
          <w:rFonts w:eastAsia="PMingLiU" w:cs="Calibri"/>
          <w:spacing w:val="3"/>
        </w:rPr>
        <w:t xml:space="preserve"> </w:t>
      </w:r>
      <w:r w:rsidRPr="00EB1E92">
        <w:rPr>
          <w:rFonts w:eastAsia="PMingLiU" w:cs="Calibri"/>
        </w:rPr>
        <w:t>Kao</w:t>
      </w:r>
      <w:r w:rsidRPr="00EB1E92">
        <w:rPr>
          <w:rFonts w:eastAsia="PMingLiU" w:cs="Calibri"/>
          <w:spacing w:val="9"/>
        </w:rPr>
        <w:t xml:space="preserve"> </w:t>
      </w:r>
      <w:r w:rsidRPr="00EB1E92">
        <w:rPr>
          <w:rFonts w:eastAsia="PMingLiU" w:cs="Calibri"/>
        </w:rPr>
        <w:t>dio</w:t>
      </w:r>
      <w:r w:rsidRPr="00EB1E92">
        <w:rPr>
          <w:rFonts w:eastAsia="PMingLiU" w:cs="Calibri"/>
          <w:spacing w:val="10"/>
        </w:rPr>
        <w:t xml:space="preserve"> </w:t>
      </w:r>
      <w:r w:rsidRPr="00EB1E92">
        <w:rPr>
          <w:rFonts w:eastAsia="PMingLiU" w:cs="Calibri"/>
        </w:rPr>
        <w:t>aktivnosti</w:t>
      </w:r>
      <w:r w:rsidRPr="00EB1E92">
        <w:rPr>
          <w:rFonts w:eastAsia="PMingLiU" w:cs="Calibri"/>
          <w:spacing w:val="3"/>
        </w:rPr>
        <w:t xml:space="preserve"> </w:t>
      </w:r>
      <w:r w:rsidRPr="00EB1E92">
        <w:rPr>
          <w:rFonts w:eastAsia="PMingLiU" w:cs="Calibri"/>
        </w:rPr>
        <w:t>vezanih</w:t>
      </w:r>
      <w:r w:rsidRPr="00EB1E92">
        <w:rPr>
          <w:rFonts w:eastAsia="PMingLiU" w:cs="Calibri"/>
          <w:spacing w:val="5"/>
        </w:rPr>
        <w:t xml:space="preserve"> </w:t>
      </w:r>
      <w:r w:rsidRPr="00EB1E92">
        <w:rPr>
          <w:rFonts w:eastAsia="PMingLiU" w:cs="Calibri"/>
          <w:spacing w:val="-1"/>
        </w:rPr>
        <w:t>u</w:t>
      </w:r>
      <w:r w:rsidRPr="00EB1E92">
        <w:rPr>
          <w:rFonts w:eastAsia="PMingLiU" w:cs="Calibri"/>
        </w:rPr>
        <w:t>z</w:t>
      </w:r>
      <w:r w:rsidRPr="00EB1E92">
        <w:rPr>
          <w:rFonts w:eastAsia="PMingLiU" w:cs="Calibri"/>
          <w:spacing w:val="10"/>
        </w:rPr>
        <w:t xml:space="preserve"> </w:t>
      </w:r>
      <w:r w:rsidRPr="00EB1E92">
        <w:rPr>
          <w:rFonts w:eastAsia="PMingLiU" w:cs="Calibri"/>
        </w:rPr>
        <w:t>povelju osnovan</w:t>
      </w:r>
      <w:r w:rsidRPr="00EB1E92">
        <w:rPr>
          <w:rFonts w:eastAsia="PMingLiU" w:cs="Calibri"/>
          <w:spacing w:val="24"/>
        </w:rPr>
        <w:t xml:space="preserve"> </w:t>
      </w:r>
      <w:r w:rsidRPr="00EB1E92">
        <w:rPr>
          <w:rFonts w:eastAsia="PMingLiU" w:cs="Calibri"/>
        </w:rPr>
        <w:t>je</w:t>
      </w:r>
      <w:r w:rsidRPr="00EB1E92">
        <w:rPr>
          <w:rFonts w:eastAsia="PMingLiU" w:cs="Calibri"/>
          <w:spacing w:val="29"/>
        </w:rPr>
        <w:t xml:space="preserve"> </w:t>
      </w:r>
      <w:r w:rsidRPr="00EB1E92">
        <w:rPr>
          <w:rFonts w:eastAsia="PMingLiU" w:cs="Calibri"/>
        </w:rPr>
        <w:t>Forum</w:t>
      </w:r>
      <w:r w:rsidRPr="00EB1E92">
        <w:rPr>
          <w:rFonts w:eastAsia="PMingLiU" w:cs="Calibri"/>
          <w:spacing w:val="27"/>
        </w:rPr>
        <w:t xml:space="preserve"> </w:t>
      </w:r>
      <w:r w:rsidRPr="00EB1E92">
        <w:rPr>
          <w:rFonts w:eastAsia="PMingLiU" w:cs="Calibri"/>
        </w:rPr>
        <w:t>dionika</w:t>
      </w:r>
      <w:r w:rsidRPr="00EB1E92">
        <w:rPr>
          <w:rFonts w:eastAsia="PMingLiU" w:cs="Calibri"/>
          <w:spacing w:val="25"/>
        </w:rPr>
        <w:t xml:space="preserve"> </w:t>
      </w:r>
      <w:r w:rsidRPr="00EB1E92">
        <w:rPr>
          <w:rFonts w:eastAsia="PMingLiU" w:cs="Calibri"/>
        </w:rPr>
        <w:t>Parka</w:t>
      </w:r>
      <w:r w:rsidRPr="00EB1E92">
        <w:rPr>
          <w:rFonts w:eastAsia="PMingLiU" w:cs="Calibri"/>
          <w:spacing w:val="26"/>
        </w:rPr>
        <w:t xml:space="preserve"> </w:t>
      </w:r>
      <w:r w:rsidRPr="00EB1E92">
        <w:rPr>
          <w:rFonts w:eastAsia="PMingLiU" w:cs="Calibri"/>
        </w:rPr>
        <w:t>p</w:t>
      </w:r>
      <w:r w:rsidRPr="00EB1E92">
        <w:rPr>
          <w:rFonts w:eastAsia="PMingLiU" w:cs="Calibri"/>
          <w:spacing w:val="-1"/>
        </w:rPr>
        <w:t>r</w:t>
      </w:r>
      <w:r w:rsidRPr="00EB1E92">
        <w:rPr>
          <w:rFonts w:eastAsia="PMingLiU" w:cs="Calibri"/>
        </w:rPr>
        <w:t>irode</w:t>
      </w:r>
      <w:r w:rsidRPr="00EB1E92">
        <w:rPr>
          <w:rFonts w:eastAsia="PMingLiU" w:cs="Calibri"/>
          <w:spacing w:val="25"/>
        </w:rPr>
        <w:t xml:space="preserve"> </w:t>
      </w:r>
      <w:r w:rsidRPr="00EB1E92">
        <w:rPr>
          <w:rFonts w:eastAsia="PMingLiU" w:cs="Calibri"/>
        </w:rPr>
        <w:t>Medvednica,</w:t>
      </w:r>
      <w:r w:rsidRPr="00EB1E92">
        <w:rPr>
          <w:rFonts w:eastAsia="PMingLiU" w:cs="Calibri"/>
          <w:spacing w:val="20"/>
        </w:rPr>
        <w:t xml:space="preserve"> </w:t>
      </w:r>
      <w:r w:rsidRPr="00EB1E92">
        <w:rPr>
          <w:rFonts w:eastAsia="PMingLiU" w:cs="Calibri"/>
        </w:rPr>
        <w:t>te</w:t>
      </w:r>
      <w:r w:rsidRPr="00EB1E92">
        <w:rPr>
          <w:rFonts w:eastAsia="PMingLiU" w:cs="Calibri"/>
          <w:spacing w:val="29"/>
        </w:rPr>
        <w:t xml:space="preserve"> </w:t>
      </w:r>
      <w:r w:rsidRPr="00EB1E92">
        <w:rPr>
          <w:rFonts w:eastAsia="PMingLiU" w:cs="Calibri"/>
        </w:rPr>
        <w:t>izr</w:t>
      </w:r>
      <w:r w:rsidRPr="00EB1E92">
        <w:rPr>
          <w:rFonts w:eastAsia="PMingLiU" w:cs="Calibri"/>
          <w:spacing w:val="1"/>
        </w:rPr>
        <w:t>a</w:t>
      </w:r>
      <w:r w:rsidRPr="00EB1E92">
        <w:rPr>
          <w:rFonts w:eastAsia="PMingLiU" w:cs="Calibri"/>
        </w:rPr>
        <w:t>đena nova</w:t>
      </w:r>
      <w:r w:rsidRPr="00EB1E92">
        <w:rPr>
          <w:rFonts w:eastAsia="PMingLiU" w:cs="Calibri"/>
          <w:spacing w:val="25"/>
        </w:rPr>
        <w:t xml:space="preserve"> </w:t>
      </w:r>
      <w:r w:rsidRPr="00EB1E92">
        <w:rPr>
          <w:rFonts w:eastAsia="PMingLiU" w:cs="Calibri"/>
        </w:rPr>
        <w:t>pe</w:t>
      </w:r>
      <w:r w:rsidRPr="00EB1E92">
        <w:rPr>
          <w:rFonts w:eastAsia="PMingLiU" w:cs="Calibri"/>
          <w:spacing w:val="-1"/>
        </w:rPr>
        <w:t>t</w:t>
      </w:r>
      <w:r w:rsidRPr="00EB1E92">
        <w:rPr>
          <w:rFonts w:eastAsia="PMingLiU" w:cs="Calibri"/>
        </w:rPr>
        <w:t>ogodišnja Strategija razvoja</w:t>
      </w:r>
      <w:r w:rsidRPr="00EB1E92">
        <w:rPr>
          <w:rFonts w:eastAsia="PMingLiU" w:cs="Calibri"/>
          <w:spacing w:val="-7"/>
        </w:rPr>
        <w:t xml:space="preserve"> </w:t>
      </w:r>
      <w:r w:rsidRPr="00EB1E92">
        <w:rPr>
          <w:rFonts w:eastAsia="PMingLiU" w:cs="Calibri"/>
        </w:rPr>
        <w:t>održivog</w:t>
      </w:r>
      <w:r w:rsidRPr="00EB1E92">
        <w:rPr>
          <w:rFonts w:eastAsia="PMingLiU" w:cs="Calibri"/>
          <w:spacing w:val="-8"/>
        </w:rPr>
        <w:t xml:space="preserve"> </w:t>
      </w:r>
      <w:r w:rsidRPr="00EB1E92">
        <w:rPr>
          <w:rFonts w:eastAsia="PMingLiU" w:cs="Calibri"/>
        </w:rPr>
        <w:t xml:space="preserve">turizma u PPM za razdoblje od 2019. do 2023. godine, </w:t>
      </w:r>
      <w:r w:rsidRPr="00EB1E92">
        <w:rPr>
          <w:rFonts w:eastAsia="PMingLiU" w:cs="Calibri"/>
          <w:spacing w:val="-7"/>
        </w:rPr>
        <w:t xml:space="preserve"> </w:t>
      </w:r>
      <w:r w:rsidRPr="00EB1E92">
        <w:rPr>
          <w:rFonts w:eastAsia="PMingLiU" w:cs="Calibri"/>
        </w:rPr>
        <w:t xml:space="preserve"> </w:t>
      </w:r>
      <w:r w:rsidRPr="00EB1E92">
        <w:rPr>
          <w:rFonts w:eastAsia="PMingLiU" w:cs="Calibri"/>
          <w:spacing w:val="-5"/>
        </w:rPr>
        <w:t xml:space="preserve"> </w:t>
      </w:r>
      <w:r w:rsidRPr="00EB1E92">
        <w:rPr>
          <w:rFonts w:eastAsia="PMingLiU" w:cs="Calibri"/>
        </w:rPr>
        <w:t>koju</w:t>
      </w:r>
      <w:r w:rsidRPr="00EB1E92">
        <w:rPr>
          <w:rFonts w:eastAsia="PMingLiU" w:cs="Calibri"/>
          <w:spacing w:val="-4"/>
        </w:rPr>
        <w:t xml:space="preserve"> </w:t>
      </w:r>
      <w:r w:rsidRPr="00EB1E92">
        <w:rPr>
          <w:rFonts w:eastAsia="PMingLiU" w:cs="Calibri"/>
          <w:spacing w:val="1"/>
        </w:rPr>
        <w:t>č</w:t>
      </w:r>
      <w:r w:rsidRPr="00EB1E92">
        <w:rPr>
          <w:rFonts w:eastAsia="PMingLiU" w:cs="Calibri"/>
        </w:rPr>
        <w:t>lanovi</w:t>
      </w:r>
      <w:r w:rsidRPr="00EB1E92">
        <w:rPr>
          <w:rFonts w:eastAsia="PMingLiU" w:cs="Calibri"/>
          <w:spacing w:val="-7"/>
        </w:rPr>
        <w:t xml:space="preserve"> </w:t>
      </w:r>
      <w:r w:rsidRPr="00EB1E92">
        <w:rPr>
          <w:rFonts w:eastAsia="PMingLiU" w:cs="Calibri"/>
        </w:rPr>
        <w:t>Foruma</w:t>
      </w:r>
      <w:r w:rsidRPr="00EB1E92">
        <w:rPr>
          <w:rFonts w:eastAsia="PMingLiU" w:cs="Calibri"/>
          <w:spacing w:val="-8"/>
        </w:rPr>
        <w:t xml:space="preserve"> </w:t>
      </w:r>
      <w:r w:rsidRPr="00EB1E92">
        <w:rPr>
          <w:rFonts w:eastAsia="PMingLiU" w:cs="Calibri"/>
        </w:rPr>
        <w:t>trebaju</w:t>
      </w:r>
      <w:r w:rsidRPr="00EB1E92">
        <w:rPr>
          <w:rFonts w:eastAsia="PMingLiU" w:cs="Calibri"/>
          <w:spacing w:val="-7"/>
        </w:rPr>
        <w:t xml:space="preserve"> </w:t>
      </w:r>
      <w:r w:rsidRPr="00EB1E92">
        <w:rPr>
          <w:rFonts w:eastAsia="PMingLiU" w:cs="Calibri"/>
        </w:rPr>
        <w:t>zajedno</w:t>
      </w:r>
      <w:r w:rsidRPr="00EB1E92">
        <w:rPr>
          <w:rFonts w:eastAsia="PMingLiU" w:cs="Calibri"/>
          <w:spacing w:val="-8"/>
        </w:rPr>
        <w:t xml:space="preserve"> </w:t>
      </w:r>
      <w:r w:rsidRPr="00EB1E92">
        <w:rPr>
          <w:rFonts w:eastAsia="PMingLiU" w:cs="Calibri"/>
        </w:rPr>
        <w:t>p</w:t>
      </w:r>
      <w:r w:rsidRPr="00EB1E92">
        <w:rPr>
          <w:rFonts w:eastAsia="PMingLiU" w:cs="Calibri"/>
          <w:spacing w:val="-1"/>
        </w:rPr>
        <w:t>r</w:t>
      </w:r>
      <w:r w:rsidRPr="00EB1E92">
        <w:rPr>
          <w:rFonts w:eastAsia="PMingLiU" w:cs="Calibri"/>
        </w:rPr>
        <w:t>ovesti.</w:t>
      </w:r>
    </w:p>
    <w:tbl>
      <w:tblPr>
        <w:tblpPr w:leftFromText="180" w:rightFromText="180" w:vertAnchor="text" w:horzAnchor="margin" w:tblpY="37"/>
        <w:tblW w:w="5156" w:type="pct"/>
        <w:shd w:val="clear" w:color="auto" w:fill="D9D9D9"/>
        <w:tblLook w:val="01E0" w:firstRow="1" w:lastRow="1" w:firstColumn="1" w:lastColumn="1" w:noHBand="0" w:noVBand="0"/>
      </w:tblPr>
      <w:tblGrid>
        <w:gridCol w:w="4677"/>
        <w:gridCol w:w="4678"/>
      </w:tblGrid>
      <w:tr w:rsidR="00072476" w:rsidRPr="00EB1E92" w14:paraId="751223CD" w14:textId="77777777" w:rsidTr="00072476">
        <w:tc>
          <w:tcPr>
            <w:tcW w:w="2500" w:type="pct"/>
            <w:shd w:val="clear" w:color="auto" w:fill="D9D9D9"/>
          </w:tcPr>
          <w:p w14:paraId="1D7A4D4E" w14:textId="77777777" w:rsidR="00072476" w:rsidRPr="00EB1E92" w:rsidRDefault="00072476" w:rsidP="00072476">
            <w:pPr>
              <w:spacing w:before="60" w:after="60" w:line="240" w:lineRule="auto"/>
              <w:ind w:right="-2"/>
              <w:rPr>
                <w:rFonts w:eastAsia="Times New Roman" w:cs="Calibri"/>
                <w:b/>
                <w:sz w:val="18"/>
                <w:szCs w:val="18"/>
                <w:lang w:eastAsia="hr-HR"/>
              </w:rPr>
            </w:pPr>
            <w:r w:rsidRPr="00EB1E92">
              <w:rPr>
                <w:rFonts w:eastAsia="Times New Roman" w:cs="Calibri"/>
                <w:b/>
                <w:sz w:val="18"/>
                <w:szCs w:val="18"/>
                <w:lang w:eastAsia="hr-HR"/>
              </w:rPr>
              <w:br w:type="page"/>
              <w:t>RAZVOJNI PROBLEMI</w:t>
            </w:r>
          </w:p>
        </w:tc>
        <w:tc>
          <w:tcPr>
            <w:tcW w:w="2500" w:type="pct"/>
            <w:shd w:val="clear" w:color="auto" w:fill="99CCFF"/>
          </w:tcPr>
          <w:p w14:paraId="77F45FF5" w14:textId="77777777" w:rsidR="00072476" w:rsidRPr="00EB1E92" w:rsidRDefault="00072476" w:rsidP="00072476">
            <w:pPr>
              <w:spacing w:before="60" w:after="60" w:line="240" w:lineRule="auto"/>
              <w:ind w:right="-2"/>
              <w:rPr>
                <w:rFonts w:eastAsia="Times New Roman" w:cs="Calibri"/>
                <w:b/>
                <w:sz w:val="18"/>
                <w:szCs w:val="18"/>
                <w:lang w:eastAsia="hr-HR"/>
              </w:rPr>
            </w:pPr>
            <w:r w:rsidRPr="00EB1E92">
              <w:rPr>
                <w:rFonts w:eastAsia="Times New Roman" w:cs="Calibri"/>
                <w:b/>
                <w:sz w:val="18"/>
                <w:szCs w:val="18"/>
                <w:lang w:eastAsia="hr-HR"/>
              </w:rPr>
              <w:t>RAZVOJNE POTREBE</w:t>
            </w:r>
          </w:p>
        </w:tc>
      </w:tr>
      <w:tr w:rsidR="00072476" w:rsidRPr="00EB1E92" w14:paraId="775B7EE3" w14:textId="77777777" w:rsidTr="00072476">
        <w:tc>
          <w:tcPr>
            <w:tcW w:w="2500" w:type="pct"/>
            <w:shd w:val="clear" w:color="auto" w:fill="D9D9D9"/>
          </w:tcPr>
          <w:p w14:paraId="53F45B98"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nedovoljno istražene sastavnice prirodne i kulturne baštine</w:t>
            </w:r>
          </w:p>
          <w:p w14:paraId="606AB441"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nedovoljno financijskih sredstava za edukaciju dionika i korisnika i promociju Parka prirode Medvednica kao</w:t>
            </w:r>
          </w:p>
          <w:p w14:paraId="7891F9E0" w14:textId="77777777" w:rsidR="00072476" w:rsidRPr="00EB1E92" w:rsidRDefault="00072476" w:rsidP="00072476">
            <w:pPr>
              <w:spacing w:before="60" w:after="60" w:line="240" w:lineRule="auto"/>
              <w:ind w:right="-2"/>
              <w:rPr>
                <w:rFonts w:eastAsia="Times New Roman" w:cs="Calibri"/>
                <w:sz w:val="18"/>
                <w:szCs w:val="18"/>
                <w:lang w:eastAsia="hr-HR"/>
              </w:rPr>
            </w:pPr>
            <w:r w:rsidRPr="00EB1E92">
              <w:rPr>
                <w:rFonts w:eastAsia="Times New Roman" w:cs="Calibri"/>
                <w:sz w:val="18"/>
                <w:szCs w:val="18"/>
                <w:lang w:eastAsia="hr-HR"/>
              </w:rPr>
              <w:t>Natura 2000 područja</w:t>
            </w:r>
          </w:p>
          <w:p w14:paraId="132C0588"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niz vrijednih lokaliteta i građevina je izvan funkcije (Brestovac, Dom sindikata, Željezničar, Adolfovac, Vila Rebar)</w:t>
            </w:r>
          </w:p>
          <w:p w14:paraId="1ADCEF53"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zapuštenost dijela objekata za posjećivanje</w:t>
            </w:r>
          </w:p>
          <w:p w14:paraId="28D6107B"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zapuštenost dijela komunalne i prometne infrastrukture</w:t>
            </w:r>
          </w:p>
          <w:p w14:paraId="3743038B"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neriješeni imovinsko pravni odnosi</w:t>
            </w:r>
          </w:p>
          <w:p w14:paraId="20EBC291"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neadekvatno riješen promet (i nedostatak parkirnih mjesta)</w:t>
            </w:r>
          </w:p>
          <w:p w14:paraId="0F93EAB4"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nedovoljno korištenje EU sredstava</w:t>
            </w:r>
          </w:p>
          <w:p w14:paraId="389FAD72"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mnoštvo dionika na različitim razinama koji upravljaju infrastrukturom i općenito</w:t>
            </w:r>
          </w:p>
          <w:p w14:paraId="60CDAEC7"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nelegalno odlaganje glomaznog otpada na prostoru Parka</w:t>
            </w:r>
          </w:p>
          <w:p w14:paraId="4DB6E341"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 xml:space="preserve"> neintegrirana i nebrendirana turistička ponuda u PPM</w:t>
            </w:r>
          </w:p>
          <w:p w14:paraId="7C392215"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klimatske promjene – olujna nevremena i štete na vegetaciji, građevinama i infrastrukturi</w:t>
            </w:r>
          </w:p>
          <w:p w14:paraId="36DD67EE" w14:textId="77777777" w:rsidR="00072476" w:rsidRPr="00EB1E92" w:rsidRDefault="00072476" w:rsidP="00165C16">
            <w:pPr>
              <w:numPr>
                <w:ilvl w:val="0"/>
                <w:numId w:val="1"/>
              </w:numPr>
              <w:tabs>
                <w:tab w:val="num" w:pos="284"/>
              </w:tabs>
              <w:spacing w:before="60" w:after="60" w:line="240" w:lineRule="auto"/>
              <w:ind w:left="284" w:right="-2" w:hanging="284"/>
              <w:rPr>
                <w:rFonts w:eastAsia="PMingLiU" w:cs="Calibri"/>
                <w:sz w:val="18"/>
                <w:szCs w:val="18"/>
                <w:lang w:eastAsia="hr-HR"/>
              </w:rPr>
            </w:pPr>
          </w:p>
        </w:tc>
        <w:tc>
          <w:tcPr>
            <w:tcW w:w="2500" w:type="pct"/>
            <w:shd w:val="clear" w:color="auto" w:fill="99CCFF"/>
          </w:tcPr>
          <w:p w14:paraId="66E8E94E"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provedba istraživanja svih prirodnih sastavnica i kulturne baštine u Parku</w:t>
            </w:r>
          </w:p>
          <w:p w14:paraId="104B38FE"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provedba redovitih monitoringa Natura 2000 vrsta i staništa</w:t>
            </w:r>
          </w:p>
          <w:p w14:paraId="30D63214" w14:textId="77777777" w:rsidR="0007247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edukacija dionika i korisnika Parka o važnosti zaštite prirode i Natura 2000 mreži</w:t>
            </w:r>
          </w:p>
          <w:p w14:paraId="244BFFE2" w14:textId="77777777" w:rsidR="0007247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uspostava mjera sprečavanja zagađivanja</w:t>
            </w:r>
          </w:p>
          <w:p w14:paraId="12A45A0B" w14:textId="77777777" w:rsidR="00072476" w:rsidRPr="00EB7E9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dosljedno i razborito održavati i upravljati prirodnim energetskim resursima</w:t>
            </w:r>
          </w:p>
          <w:p w14:paraId="461F22C6"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obnova derutnih objekata, komunalne i prometne infrastrukture korištenjem različitih programa i fondova EU te drugih izvora financiranja</w:t>
            </w:r>
          </w:p>
          <w:p w14:paraId="3385EA69"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obnova cestovne infrastrukture do Centra za posjetitelje Medvedgrad i uvođenje autobusne linije ZET-a</w:t>
            </w:r>
          </w:p>
          <w:p w14:paraId="337E87E0"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uspostava cjelogodišnjeg turizma nužna za ekonomsku stabilnost dionika u turizmu</w:t>
            </w:r>
          </w:p>
          <w:p w14:paraId="182F6C07"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brendiranje i integriranje PPM kao jedne turističke destinacije</w:t>
            </w:r>
          </w:p>
          <w:p w14:paraId="6E4FFF3D"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naglasak na povećanje energetske učinkovitosti (transport, javna rasvjeta, zgradarstvo)</w:t>
            </w:r>
          </w:p>
          <w:p w14:paraId="0DFFB7EE"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utvrditi tok posjetitelja s kapacitetom nosivosti Vršne zone</w:t>
            </w:r>
          </w:p>
          <w:p w14:paraId="263FE72D"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na razvoju održivog turizma visoke kvalitete potrebna suradnja svih – razvoj djelovanja Foruma dionika PPM</w:t>
            </w:r>
          </w:p>
          <w:p w14:paraId="7C946849"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EB1E92">
              <w:rPr>
                <w:rFonts w:eastAsia="Times New Roman" w:cs="Calibri"/>
                <w:sz w:val="18"/>
                <w:szCs w:val="18"/>
                <w:lang w:eastAsia="hr-HR"/>
              </w:rPr>
              <w:t>regionalno povezivanje turističke ponude u PPM</w:t>
            </w:r>
          </w:p>
          <w:p w14:paraId="6471A889" w14:textId="77777777" w:rsidR="00072476" w:rsidRPr="00EB1E92"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p>
        </w:tc>
      </w:tr>
    </w:tbl>
    <w:p w14:paraId="0C1FB29E" w14:textId="77777777" w:rsidR="00072476" w:rsidRPr="00242396" w:rsidRDefault="00072476" w:rsidP="00072476">
      <w:pPr>
        <w:widowControl w:val="0"/>
        <w:autoSpaceDE w:val="0"/>
        <w:autoSpaceDN w:val="0"/>
        <w:adjustRightInd w:val="0"/>
        <w:spacing w:before="31" w:after="200" w:line="240" w:lineRule="auto"/>
        <w:ind w:right="137"/>
        <w:jc w:val="both"/>
        <w:rPr>
          <w:rFonts w:eastAsia="PMingLiU" w:cs="Calibri"/>
        </w:rPr>
      </w:pPr>
      <w:r w:rsidRPr="00191F9C">
        <w:rPr>
          <w:rFonts w:eastAsia="PMingLiU" w:cs="Calibri"/>
          <w:b/>
          <w:bCs/>
        </w:rPr>
        <w:br/>
        <w:t>Sava.</w:t>
      </w:r>
      <w:r w:rsidRPr="00191F9C">
        <w:rPr>
          <w:rFonts w:eastAsia="PMingLiU" w:cs="Calibri"/>
          <w:b/>
          <w:bCs/>
          <w:spacing w:val="7"/>
        </w:rPr>
        <w:t xml:space="preserve"> </w:t>
      </w:r>
      <w:r w:rsidRPr="00191F9C">
        <w:rPr>
          <w:rFonts w:eastAsia="PMingLiU" w:cs="Calibri"/>
        </w:rPr>
        <w:t>Središnji</w:t>
      </w:r>
      <w:r w:rsidRPr="00191F9C">
        <w:rPr>
          <w:rFonts w:eastAsia="PMingLiU" w:cs="Calibri"/>
          <w:spacing w:val="5"/>
        </w:rPr>
        <w:t xml:space="preserve"> </w:t>
      </w:r>
      <w:r w:rsidRPr="00191F9C">
        <w:rPr>
          <w:rFonts w:eastAsia="PMingLiU" w:cs="Calibri"/>
        </w:rPr>
        <w:t>smješt</w:t>
      </w:r>
      <w:r w:rsidRPr="00191F9C">
        <w:rPr>
          <w:rFonts w:eastAsia="PMingLiU" w:cs="Calibri"/>
          <w:spacing w:val="-1"/>
        </w:rPr>
        <w:t>a</w:t>
      </w:r>
      <w:r w:rsidRPr="00191F9C">
        <w:rPr>
          <w:rFonts w:eastAsia="PMingLiU" w:cs="Calibri"/>
        </w:rPr>
        <w:t>j</w:t>
      </w:r>
      <w:r w:rsidRPr="00191F9C">
        <w:rPr>
          <w:rFonts w:eastAsia="PMingLiU" w:cs="Calibri"/>
          <w:spacing w:val="4"/>
        </w:rPr>
        <w:t xml:space="preserve"> </w:t>
      </w:r>
      <w:r w:rsidRPr="00191F9C">
        <w:rPr>
          <w:rFonts w:eastAsia="PMingLiU" w:cs="Calibri"/>
        </w:rPr>
        <w:t>rijeke</w:t>
      </w:r>
      <w:r w:rsidRPr="00191F9C">
        <w:rPr>
          <w:rFonts w:eastAsia="PMingLiU" w:cs="Calibri"/>
          <w:spacing w:val="8"/>
        </w:rPr>
        <w:t xml:space="preserve"> </w:t>
      </w:r>
      <w:r w:rsidRPr="00191F9C">
        <w:rPr>
          <w:rFonts w:eastAsia="PMingLiU" w:cs="Calibri"/>
        </w:rPr>
        <w:t>Save</w:t>
      </w:r>
      <w:r w:rsidRPr="00191F9C">
        <w:rPr>
          <w:rFonts w:eastAsia="PMingLiU" w:cs="Calibri"/>
          <w:spacing w:val="8"/>
        </w:rPr>
        <w:t xml:space="preserve"> </w:t>
      </w:r>
      <w:r w:rsidRPr="00191F9C">
        <w:rPr>
          <w:rFonts w:eastAsia="PMingLiU" w:cs="Calibri"/>
        </w:rPr>
        <w:t>unutar</w:t>
      </w:r>
      <w:r w:rsidRPr="00191F9C">
        <w:rPr>
          <w:rFonts w:eastAsia="PMingLiU" w:cs="Calibri"/>
          <w:spacing w:val="7"/>
        </w:rPr>
        <w:t xml:space="preserve"> </w:t>
      </w:r>
      <w:r w:rsidRPr="00191F9C">
        <w:rPr>
          <w:rFonts w:eastAsia="PMingLiU" w:cs="Calibri"/>
        </w:rPr>
        <w:t>prostora</w:t>
      </w:r>
      <w:r w:rsidRPr="00191F9C">
        <w:rPr>
          <w:rFonts w:eastAsia="PMingLiU" w:cs="Calibri"/>
          <w:spacing w:val="5"/>
        </w:rPr>
        <w:t xml:space="preserve"> </w:t>
      </w:r>
      <w:r w:rsidRPr="00191F9C">
        <w:rPr>
          <w:rFonts w:eastAsia="PMingLiU" w:cs="Calibri"/>
        </w:rPr>
        <w:t>Grada</w:t>
      </w:r>
      <w:r w:rsidRPr="00191F9C">
        <w:rPr>
          <w:rFonts w:eastAsia="PMingLiU" w:cs="Calibri"/>
          <w:spacing w:val="7"/>
        </w:rPr>
        <w:t xml:space="preserve"> </w:t>
      </w:r>
      <w:r w:rsidRPr="00191F9C">
        <w:rPr>
          <w:rFonts w:eastAsia="PMingLiU" w:cs="Calibri"/>
        </w:rPr>
        <w:t>Zagreba,</w:t>
      </w:r>
      <w:r w:rsidRPr="00191F9C">
        <w:rPr>
          <w:rFonts w:eastAsia="PMingLiU" w:cs="Calibri"/>
          <w:spacing w:val="4"/>
        </w:rPr>
        <w:t xml:space="preserve"> </w:t>
      </w:r>
      <w:r w:rsidRPr="00191F9C">
        <w:rPr>
          <w:rFonts w:eastAsia="PMingLiU" w:cs="Calibri"/>
        </w:rPr>
        <w:t>njeno</w:t>
      </w:r>
      <w:r w:rsidRPr="00191F9C">
        <w:rPr>
          <w:rFonts w:eastAsia="PMingLiU" w:cs="Calibri"/>
          <w:spacing w:val="8"/>
        </w:rPr>
        <w:t xml:space="preserve"> </w:t>
      </w:r>
      <w:r w:rsidRPr="00191F9C">
        <w:rPr>
          <w:rFonts w:eastAsia="PMingLiU" w:cs="Calibri"/>
        </w:rPr>
        <w:t>zn</w:t>
      </w:r>
      <w:r w:rsidRPr="00191F9C">
        <w:rPr>
          <w:rFonts w:eastAsia="PMingLiU" w:cs="Calibri"/>
          <w:spacing w:val="1"/>
        </w:rPr>
        <w:t>ač</w:t>
      </w:r>
      <w:r w:rsidRPr="00191F9C">
        <w:rPr>
          <w:rFonts w:eastAsia="PMingLiU" w:cs="Calibri"/>
        </w:rPr>
        <w:t>enje</w:t>
      </w:r>
      <w:r w:rsidRPr="00191F9C">
        <w:rPr>
          <w:rFonts w:eastAsia="PMingLiU" w:cs="Calibri"/>
          <w:spacing w:val="4"/>
        </w:rPr>
        <w:t xml:space="preserve"> </w:t>
      </w:r>
      <w:r w:rsidRPr="00191F9C">
        <w:rPr>
          <w:rFonts w:eastAsia="PMingLiU" w:cs="Calibri"/>
        </w:rPr>
        <w:t>i</w:t>
      </w:r>
      <w:r w:rsidRPr="00191F9C">
        <w:rPr>
          <w:rFonts w:eastAsia="PMingLiU" w:cs="Calibri"/>
          <w:spacing w:val="12"/>
        </w:rPr>
        <w:t xml:space="preserve"> </w:t>
      </w:r>
      <w:r w:rsidRPr="00191F9C">
        <w:rPr>
          <w:rFonts w:eastAsia="PMingLiU" w:cs="Calibri"/>
        </w:rPr>
        <w:t>uloga u</w:t>
      </w:r>
      <w:r w:rsidRPr="00191F9C">
        <w:rPr>
          <w:rFonts w:eastAsia="PMingLiU" w:cs="Calibri"/>
          <w:spacing w:val="12"/>
        </w:rPr>
        <w:t xml:space="preserve"> </w:t>
      </w:r>
      <w:r w:rsidRPr="00191F9C">
        <w:rPr>
          <w:rFonts w:eastAsia="PMingLiU" w:cs="Calibri"/>
        </w:rPr>
        <w:t>prostorn</w:t>
      </w:r>
      <w:r w:rsidRPr="00191F9C">
        <w:rPr>
          <w:rFonts w:eastAsia="PMingLiU" w:cs="Calibri"/>
          <w:spacing w:val="-1"/>
        </w:rPr>
        <w:t>o</w:t>
      </w:r>
      <w:r w:rsidRPr="00191F9C">
        <w:rPr>
          <w:rFonts w:eastAsia="PMingLiU" w:cs="Calibri"/>
        </w:rPr>
        <w:t>m</w:t>
      </w:r>
      <w:r w:rsidRPr="00191F9C">
        <w:rPr>
          <w:rFonts w:eastAsia="PMingLiU" w:cs="Calibri"/>
          <w:spacing w:val="2"/>
        </w:rPr>
        <w:t xml:space="preserve"> </w:t>
      </w:r>
      <w:r w:rsidRPr="00191F9C">
        <w:rPr>
          <w:rFonts w:eastAsia="PMingLiU" w:cs="Calibri"/>
        </w:rPr>
        <w:t>razvoju</w:t>
      </w:r>
      <w:r w:rsidRPr="00191F9C">
        <w:rPr>
          <w:rFonts w:eastAsia="PMingLiU" w:cs="Calibri"/>
          <w:spacing w:val="7"/>
        </w:rPr>
        <w:t xml:space="preserve"> </w:t>
      </w:r>
      <w:r w:rsidRPr="00191F9C">
        <w:rPr>
          <w:rFonts w:eastAsia="PMingLiU" w:cs="Calibri"/>
        </w:rPr>
        <w:t>Zagreba,</w:t>
      </w:r>
      <w:r w:rsidRPr="00191F9C">
        <w:rPr>
          <w:rFonts w:eastAsia="PMingLiU" w:cs="Calibri"/>
          <w:spacing w:val="5"/>
        </w:rPr>
        <w:t xml:space="preserve"> </w:t>
      </w:r>
      <w:r w:rsidRPr="00191F9C">
        <w:rPr>
          <w:rFonts w:eastAsia="PMingLiU" w:cs="Calibri"/>
        </w:rPr>
        <w:t>kompleksnost problema</w:t>
      </w:r>
      <w:r w:rsidRPr="00191F9C">
        <w:rPr>
          <w:rFonts w:eastAsia="PMingLiU" w:cs="Calibri"/>
          <w:spacing w:val="4"/>
        </w:rPr>
        <w:t xml:space="preserve"> </w:t>
      </w:r>
      <w:r w:rsidRPr="00191F9C">
        <w:rPr>
          <w:rFonts w:eastAsia="PMingLiU" w:cs="Calibri"/>
        </w:rPr>
        <w:t>vezanih</w:t>
      </w:r>
      <w:r w:rsidRPr="00191F9C">
        <w:rPr>
          <w:rFonts w:eastAsia="PMingLiU" w:cs="Calibri"/>
          <w:spacing w:val="6"/>
        </w:rPr>
        <w:t xml:space="preserve"> </w:t>
      </w:r>
      <w:r w:rsidRPr="00191F9C">
        <w:rPr>
          <w:rFonts w:eastAsia="PMingLiU" w:cs="Calibri"/>
        </w:rPr>
        <w:t>uz</w:t>
      </w:r>
      <w:r w:rsidRPr="00191F9C">
        <w:rPr>
          <w:rFonts w:eastAsia="PMingLiU" w:cs="Calibri"/>
          <w:spacing w:val="11"/>
        </w:rPr>
        <w:t xml:space="preserve"> </w:t>
      </w:r>
      <w:r w:rsidRPr="00191F9C">
        <w:rPr>
          <w:rFonts w:eastAsia="PMingLiU" w:cs="Calibri"/>
        </w:rPr>
        <w:t>ur</w:t>
      </w:r>
      <w:r w:rsidRPr="00191F9C">
        <w:rPr>
          <w:rFonts w:eastAsia="PMingLiU" w:cs="Calibri"/>
          <w:spacing w:val="1"/>
        </w:rPr>
        <w:t>e</w:t>
      </w:r>
      <w:r w:rsidRPr="00191F9C">
        <w:rPr>
          <w:rFonts w:eastAsia="PMingLiU" w:cs="Calibri"/>
        </w:rPr>
        <w:t>đivanje</w:t>
      </w:r>
      <w:r w:rsidRPr="00191F9C">
        <w:rPr>
          <w:rFonts w:eastAsia="PMingLiU" w:cs="Calibri"/>
          <w:spacing w:val="3"/>
        </w:rPr>
        <w:t xml:space="preserve"> </w:t>
      </w:r>
      <w:r w:rsidRPr="00191F9C">
        <w:rPr>
          <w:rFonts w:eastAsia="PMingLiU" w:cs="Calibri"/>
        </w:rPr>
        <w:t>rijeke</w:t>
      </w:r>
      <w:r w:rsidRPr="00191F9C">
        <w:rPr>
          <w:rFonts w:eastAsia="PMingLiU" w:cs="Calibri"/>
          <w:spacing w:val="8"/>
        </w:rPr>
        <w:t xml:space="preserve"> </w:t>
      </w:r>
      <w:r w:rsidRPr="00191F9C">
        <w:rPr>
          <w:rFonts w:eastAsia="PMingLiU" w:cs="Calibri"/>
        </w:rPr>
        <w:t>i kontaktnih</w:t>
      </w:r>
      <w:r w:rsidRPr="00191F9C">
        <w:rPr>
          <w:rFonts w:eastAsia="PMingLiU" w:cs="Calibri"/>
          <w:spacing w:val="1"/>
        </w:rPr>
        <w:t xml:space="preserve"> </w:t>
      </w:r>
      <w:r w:rsidRPr="00191F9C">
        <w:rPr>
          <w:rFonts w:eastAsia="PMingLiU" w:cs="Calibri"/>
        </w:rPr>
        <w:t>prostora,</w:t>
      </w:r>
      <w:r w:rsidRPr="00191F9C">
        <w:rPr>
          <w:rFonts w:eastAsia="PMingLiU" w:cs="Calibri"/>
          <w:spacing w:val="3"/>
        </w:rPr>
        <w:t xml:space="preserve"> </w:t>
      </w:r>
      <w:r w:rsidRPr="00191F9C">
        <w:rPr>
          <w:rFonts w:eastAsia="PMingLiU" w:cs="Calibri"/>
        </w:rPr>
        <w:t>n</w:t>
      </w:r>
      <w:r w:rsidRPr="00191F9C">
        <w:rPr>
          <w:rFonts w:eastAsia="PMingLiU" w:cs="Calibri"/>
          <w:spacing w:val="-1"/>
        </w:rPr>
        <w:t>u</w:t>
      </w:r>
      <w:r w:rsidRPr="00191F9C">
        <w:rPr>
          <w:rFonts w:eastAsia="PMingLiU" w:cs="Calibri"/>
        </w:rPr>
        <w:t>žnost</w:t>
      </w:r>
      <w:r w:rsidRPr="00191F9C">
        <w:rPr>
          <w:rFonts w:eastAsia="PMingLiU" w:cs="Calibri"/>
          <w:spacing w:val="4"/>
        </w:rPr>
        <w:t xml:space="preserve"> </w:t>
      </w:r>
      <w:r w:rsidRPr="00191F9C">
        <w:rPr>
          <w:rFonts w:eastAsia="PMingLiU" w:cs="Calibri"/>
        </w:rPr>
        <w:t>usklađivanja sek</w:t>
      </w:r>
      <w:r w:rsidRPr="00191F9C">
        <w:rPr>
          <w:rFonts w:eastAsia="PMingLiU" w:cs="Calibri"/>
          <w:spacing w:val="-1"/>
        </w:rPr>
        <w:t>t</w:t>
      </w:r>
      <w:r w:rsidRPr="00191F9C">
        <w:rPr>
          <w:rFonts w:eastAsia="PMingLiU" w:cs="Calibri"/>
        </w:rPr>
        <w:t>orskih</w:t>
      </w:r>
      <w:r w:rsidRPr="00191F9C">
        <w:rPr>
          <w:rFonts w:eastAsia="PMingLiU" w:cs="Calibri"/>
          <w:spacing w:val="2"/>
        </w:rPr>
        <w:t xml:space="preserve"> </w:t>
      </w:r>
      <w:r w:rsidRPr="00191F9C">
        <w:rPr>
          <w:rFonts w:eastAsia="PMingLiU" w:cs="Calibri"/>
        </w:rPr>
        <w:t>rj</w:t>
      </w:r>
      <w:r w:rsidRPr="00191F9C">
        <w:rPr>
          <w:rFonts w:eastAsia="PMingLiU" w:cs="Calibri"/>
          <w:spacing w:val="-1"/>
        </w:rPr>
        <w:t>e</w:t>
      </w:r>
      <w:r w:rsidRPr="00191F9C">
        <w:rPr>
          <w:rFonts w:eastAsia="PMingLiU" w:cs="Calibri"/>
          <w:spacing w:val="1"/>
        </w:rPr>
        <w:t>š</w:t>
      </w:r>
      <w:r w:rsidRPr="00191F9C">
        <w:rPr>
          <w:rFonts w:eastAsia="PMingLiU" w:cs="Calibri"/>
          <w:spacing w:val="-1"/>
        </w:rPr>
        <w:t>e</w:t>
      </w:r>
      <w:r w:rsidRPr="00191F9C">
        <w:rPr>
          <w:rFonts w:eastAsia="PMingLiU" w:cs="Calibri"/>
        </w:rPr>
        <w:t>nja,</w:t>
      </w:r>
      <w:r w:rsidRPr="00191F9C">
        <w:rPr>
          <w:rFonts w:eastAsia="PMingLiU" w:cs="Calibri"/>
          <w:spacing w:val="4"/>
        </w:rPr>
        <w:t xml:space="preserve"> </w:t>
      </w:r>
      <w:r w:rsidRPr="00191F9C">
        <w:rPr>
          <w:rFonts w:eastAsia="PMingLiU" w:cs="Calibri"/>
        </w:rPr>
        <w:t>negativni</w:t>
      </w:r>
      <w:r w:rsidRPr="00191F9C">
        <w:rPr>
          <w:rFonts w:eastAsia="PMingLiU" w:cs="Calibri"/>
          <w:spacing w:val="3"/>
        </w:rPr>
        <w:t xml:space="preserve"> </w:t>
      </w:r>
      <w:r w:rsidRPr="00191F9C">
        <w:rPr>
          <w:rFonts w:eastAsia="PMingLiU" w:cs="Calibri"/>
        </w:rPr>
        <w:t>procesi</w:t>
      </w:r>
      <w:r w:rsidRPr="00191F9C">
        <w:rPr>
          <w:rFonts w:eastAsia="PMingLiU" w:cs="Calibri"/>
          <w:spacing w:val="5"/>
        </w:rPr>
        <w:t xml:space="preserve"> </w:t>
      </w:r>
      <w:r w:rsidRPr="00191F9C">
        <w:rPr>
          <w:rFonts w:eastAsia="PMingLiU" w:cs="Calibri"/>
          <w:spacing w:val="-2"/>
        </w:rPr>
        <w:t>v</w:t>
      </w:r>
      <w:r w:rsidRPr="00191F9C">
        <w:rPr>
          <w:rFonts w:eastAsia="PMingLiU" w:cs="Calibri"/>
        </w:rPr>
        <w:t>ezani</w:t>
      </w:r>
      <w:r w:rsidRPr="00191F9C">
        <w:rPr>
          <w:rFonts w:eastAsia="PMingLiU" w:cs="Calibri"/>
          <w:spacing w:val="6"/>
        </w:rPr>
        <w:t xml:space="preserve"> </w:t>
      </w:r>
      <w:r w:rsidRPr="00191F9C">
        <w:rPr>
          <w:rFonts w:eastAsia="PMingLiU" w:cs="Calibri"/>
        </w:rPr>
        <w:t>uz produbljivanje</w:t>
      </w:r>
      <w:r w:rsidRPr="00191F9C">
        <w:rPr>
          <w:rFonts w:eastAsia="PMingLiU" w:cs="Calibri"/>
          <w:spacing w:val="-10"/>
        </w:rPr>
        <w:t xml:space="preserve"> </w:t>
      </w:r>
      <w:r w:rsidRPr="00191F9C">
        <w:rPr>
          <w:rFonts w:eastAsia="PMingLiU" w:cs="Calibri"/>
        </w:rPr>
        <w:t>korita</w:t>
      </w:r>
      <w:r w:rsidRPr="00191F9C">
        <w:rPr>
          <w:rFonts w:eastAsia="PMingLiU" w:cs="Calibri"/>
          <w:spacing w:val="-2"/>
        </w:rPr>
        <w:t xml:space="preserve"> </w:t>
      </w:r>
      <w:r w:rsidRPr="00191F9C">
        <w:rPr>
          <w:rFonts w:eastAsia="PMingLiU" w:cs="Calibri"/>
        </w:rPr>
        <w:t>i</w:t>
      </w:r>
      <w:r w:rsidRPr="00191F9C">
        <w:rPr>
          <w:rFonts w:eastAsia="PMingLiU" w:cs="Calibri"/>
          <w:spacing w:val="2"/>
        </w:rPr>
        <w:t xml:space="preserve"> </w:t>
      </w:r>
      <w:r w:rsidRPr="00191F9C">
        <w:rPr>
          <w:rFonts w:eastAsia="PMingLiU" w:cs="Calibri"/>
        </w:rPr>
        <w:t>s</w:t>
      </w:r>
      <w:r w:rsidRPr="00191F9C">
        <w:rPr>
          <w:rFonts w:eastAsia="PMingLiU" w:cs="Calibri"/>
          <w:spacing w:val="-1"/>
        </w:rPr>
        <w:t>n</w:t>
      </w:r>
      <w:r w:rsidRPr="00191F9C">
        <w:rPr>
          <w:rFonts w:eastAsia="PMingLiU" w:cs="Calibri"/>
        </w:rPr>
        <w:t>ižavanje</w:t>
      </w:r>
      <w:r w:rsidRPr="00191F9C">
        <w:rPr>
          <w:rFonts w:eastAsia="PMingLiU" w:cs="Calibri"/>
          <w:spacing w:val="-6"/>
        </w:rPr>
        <w:t xml:space="preserve"> </w:t>
      </w:r>
      <w:r w:rsidRPr="00191F9C">
        <w:rPr>
          <w:rFonts w:eastAsia="PMingLiU" w:cs="Calibri"/>
        </w:rPr>
        <w:t>raz</w:t>
      </w:r>
      <w:r w:rsidRPr="00191F9C">
        <w:rPr>
          <w:rFonts w:eastAsia="PMingLiU" w:cs="Calibri"/>
          <w:spacing w:val="-1"/>
        </w:rPr>
        <w:t>i</w:t>
      </w:r>
      <w:r w:rsidRPr="00191F9C">
        <w:rPr>
          <w:rFonts w:eastAsia="PMingLiU" w:cs="Calibri"/>
        </w:rPr>
        <w:t>ne</w:t>
      </w:r>
      <w:r w:rsidRPr="00191F9C">
        <w:rPr>
          <w:rFonts w:eastAsia="PMingLiU" w:cs="Calibri"/>
          <w:spacing w:val="-2"/>
        </w:rPr>
        <w:t xml:space="preserve"> </w:t>
      </w:r>
      <w:r w:rsidRPr="00191F9C">
        <w:rPr>
          <w:rFonts w:eastAsia="PMingLiU" w:cs="Calibri"/>
        </w:rPr>
        <w:t>podzemn</w:t>
      </w:r>
      <w:r w:rsidRPr="00191F9C">
        <w:rPr>
          <w:rFonts w:eastAsia="PMingLiU" w:cs="Calibri"/>
          <w:spacing w:val="1"/>
        </w:rPr>
        <w:t>i</w:t>
      </w:r>
      <w:r w:rsidRPr="00191F9C">
        <w:rPr>
          <w:rFonts w:eastAsia="PMingLiU" w:cs="Calibri"/>
        </w:rPr>
        <w:t>h</w:t>
      </w:r>
      <w:r w:rsidRPr="00191F9C">
        <w:rPr>
          <w:rFonts w:eastAsia="PMingLiU" w:cs="Calibri"/>
          <w:spacing w:val="-7"/>
        </w:rPr>
        <w:t xml:space="preserve"> </w:t>
      </w:r>
      <w:r w:rsidRPr="00191F9C">
        <w:rPr>
          <w:rFonts w:eastAsia="PMingLiU" w:cs="Calibri"/>
        </w:rPr>
        <w:t>voda,</w:t>
      </w:r>
      <w:r w:rsidRPr="00191F9C">
        <w:rPr>
          <w:rFonts w:eastAsia="PMingLiU" w:cs="Calibri"/>
          <w:spacing w:val="-1"/>
        </w:rPr>
        <w:t xml:space="preserve"> </w:t>
      </w:r>
      <w:r w:rsidRPr="00191F9C">
        <w:rPr>
          <w:rFonts w:eastAsia="PMingLiU" w:cs="Calibri"/>
        </w:rPr>
        <w:t>te</w:t>
      </w:r>
      <w:r w:rsidRPr="00191F9C">
        <w:rPr>
          <w:rFonts w:eastAsia="PMingLiU" w:cs="Calibri"/>
          <w:spacing w:val="2"/>
        </w:rPr>
        <w:t xml:space="preserve"> </w:t>
      </w:r>
      <w:r w:rsidRPr="00191F9C">
        <w:rPr>
          <w:rFonts w:eastAsia="PMingLiU" w:cs="Calibri"/>
          <w:spacing w:val="-1"/>
        </w:rPr>
        <w:t>ti</w:t>
      </w:r>
      <w:r w:rsidRPr="00191F9C">
        <w:rPr>
          <w:rFonts w:eastAsia="PMingLiU" w:cs="Calibri"/>
        </w:rPr>
        <w:t>me i</w:t>
      </w:r>
      <w:r w:rsidRPr="00191F9C">
        <w:rPr>
          <w:rFonts w:eastAsia="PMingLiU" w:cs="Calibri"/>
          <w:spacing w:val="3"/>
        </w:rPr>
        <w:t xml:space="preserve"> </w:t>
      </w:r>
      <w:r w:rsidRPr="00191F9C">
        <w:rPr>
          <w:rFonts w:eastAsia="PMingLiU" w:cs="Calibri"/>
        </w:rPr>
        <w:t>ugrož</w:t>
      </w:r>
      <w:r w:rsidRPr="00191F9C">
        <w:rPr>
          <w:rFonts w:eastAsia="PMingLiU" w:cs="Calibri"/>
          <w:spacing w:val="-1"/>
        </w:rPr>
        <w:t>av</w:t>
      </w:r>
      <w:r w:rsidRPr="00191F9C">
        <w:rPr>
          <w:rFonts w:eastAsia="PMingLiU" w:cs="Calibri"/>
        </w:rPr>
        <w:t>anja</w:t>
      </w:r>
      <w:r w:rsidRPr="00191F9C">
        <w:rPr>
          <w:rFonts w:eastAsia="PMingLiU" w:cs="Calibri"/>
          <w:spacing w:val="-8"/>
        </w:rPr>
        <w:t xml:space="preserve"> </w:t>
      </w:r>
      <w:r w:rsidRPr="00191F9C">
        <w:rPr>
          <w:rFonts w:eastAsia="PMingLiU" w:cs="Calibri"/>
        </w:rPr>
        <w:t>vodoopskrbe, nedovršenost s</w:t>
      </w:r>
      <w:r w:rsidRPr="00191F9C">
        <w:rPr>
          <w:rFonts w:eastAsia="PMingLiU" w:cs="Calibri"/>
          <w:spacing w:val="-1"/>
        </w:rPr>
        <w:t>u</w:t>
      </w:r>
      <w:r w:rsidRPr="00191F9C">
        <w:rPr>
          <w:rFonts w:eastAsia="PMingLiU" w:cs="Calibri"/>
        </w:rPr>
        <w:t>stava</w:t>
      </w:r>
      <w:r w:rsidRPr="00191F9C">
        <w:rPr>
          <w:rFonts w:eastAsia="PMingLiU" w:cs="Calibri"/>
          <w:spacing w:val="5"/>
        </w:rPr>
        <w:t xml:space="preserve"> </w:t>
      </w:r>
      <w:r w:rsidRPr="00191F9C">
        <w:rPr>
          <w:rFonts w:eastAsia="PMingLiU" w:cs="Calibri"/>
        </w:rPr>
        <w:t>zaštite</w:t>
      </w:r>
      <w:r w:rsidRPr="00191F9C">
        <w:rPr>
          <w:rFonts w:eastAsia="PMingLiU" w:cs="Calibri"/>
          <w:spacing w:val="6"/>
        </w:rPr>
        <w:t xml:space="preserve"> </w:t>
      </w:r>
      <w:r w:rsidRPr="00191F9C">
        <w:rPr>
          <w:rFonts w:eastAsia="PMingLiU" w:cs="Calibri"/>
        </w:rPr>
        <w:t>od</w:t>
      </w:r>
      <w:r w:rsidRPr="00191F9C">
        <w:rPr>
          <w:rFonts w:eastAsia="PMingLiU" w:cs="Calibri"/>
          <w:spacing w:val="10"/>
        </w:rPr>
        <w:t xml:space="preserve"> </w:t>
      </w:r>
      <w:r w:rsidRPr="00191F9C">
        <w:rPr>
          <w:rFonts w:eastAsia="PMingLiU" w:cs="Calibri"/>
        </w:rPr>
        <w:t>poplava,</w:t>
      </w:r>
      <w:r w:rsidRPr="00191F9C">
        <w:rPr>
          <w:rFonts w:eastAsia="PMingLiU" w:cs="Calibri"/>
          <w:spacing w:val="5"/>
        </w:rPr>
        <w:t xml:space="preserve"> </w:t>
      </w:r>
      <w:r w:rsidRPr="00191F9C">
        <w:rPr>
          <w:rFonts w:eastAsia="PMingLiU" w:cs="Calibri"/>
        </w:rPr>
        <w:t xml:space="preserve">nekorištenje </w:t>
      </w:r>
      <w:r w:rsidRPr="00191F9C">
        <w:rPr>
          <w:rFonts w:eastAsia="PMingLiU" w:cs="Calibri"/>
          <w:spacing w:val="-1"/>
        </w:rPr>
        <w:t>p</w:t>
      </w:r>
      <w:r w:rsidRPr="00191F9C">
        <w:rPr>
          <w:rFonts w:eastAsia="PMingLiU" w:cs="Calibri"/>
        </w:rPr>
        <w:t>risutnog</w:t>
      </w:r>
      <w:r w:rsidRPr="00191F9C">
        <w:rPr>
          <w:rFonts w:eastAsia="PMingLiU" w:cs="Calibri"/>
          <w:spacing w:val="4"/>
        </w:rPr>
        <w:t xml:space="preserve"> </w:t>
      </w:r>
      <w:r w:rsidRPr="00191F9C">
        <w:rPr>
          <w:rFonts w:eastAsia="PMingLiU" w:cs="Calibri"/>
        </w:rPr>
        <w:t>e</w:t>
      </w:r>
      <w:r w:rsidRPr="00191F9C">
        <w:rPr>
          <w:rFonts w:eastAsia="PMingLiU" w:cs="Calibri"/>
          <w:spacing w:val="-1"/>
        </w:rPr>
        <w:t>n</w:t>
      </w:r>
      <w:r w:rsidRPr="00191F9C">
        <w:rPr>
          <w:rFonts w:eastAsia="PMingLiU" w:cs="Calibri"/>
        </w:rPr>
        <w:t>ergetskog</w:t>
      </w:r>
      <w:r w:rsidRPr="00191F9C">
        <w:rPr>
          <w:rFonts w:eastAsia="PMingLiU" w:cs="Calibri"/>
          <w:spacing w:val="1"/>
        </w:rPr>
        <w:t xml:space="preserve"> </w:t>
      </w:r>
      <w:r w:rsidRPr="00191F9C">
        <w:rPr>
          <w:rFonts w:eastAsia="PMingLiU" w:cs="Calibri"/>
          <w:spacing w:val="-1"/>
        </w:rPr>
        <w:t>p</w:t>
      </w:r>
      <w:r w:rsidRPr="00191F9C">
        <w:rPr>
          <w:rFonts w:eastAsia="PMingLiU" w:cs="Calibri"/>
        </w:rPr>
        <w:t>otencijala rijeke,</w:t>
      </w:r>
      <w:r w:rsidRPr="00191F9C">
        <w:rPr>
          <w:rFonts w:eastAsia="PMingLiU" w:cs="Calibri"/>
          <w:spacing w:val="3"/>
        </w:rPr>
        <w:t xml:space="preserve"> </w:t>
      </w:r>
      <w:r w:rsidRPr="00191F9C">
        <w:rPr>
          <w:rFonts w:eastAsia="PMingLiU" w:cs="Calibri"/>
        </w:rPr>
        <w:t>dugo</w:t>
      </w:r>
      <w:r w:rsidRPr="00191F9C">
        <w:rPr>
          <w:rFonts w:eastAsia="PMingLiU" w:cs="Calibri"/>
          <w:spacing w:val="-1"/>
        </w:rPr>
        <w:t>t</w:t>
      </w:r>
      <w:r w:rsidRPr="00191F9C">
        <w:rPr>
          <w:rFonts w:eastAsia="PMingLiU" w:cs="Calibri"/>
        </w:rPr>
        <w:t>rajnost</w:t>
      </w:r>
      <w:r w:rsidRPr="00191F9C">
        <w:rPr>
          <w:rFonts w:eastAsia="PMingLiU" w:cs="Calibri"/>
          <w:spacing w:val="-3"/>
        </w:rPr>
        <w:t xml:space="preserve"> </w:t>
      </w:r>
      <w:r w:rsidRPr="00191F9C">
        <w:rPr>
          <w:rFonts w:eastAsia="PMingLiU" w:cs="Calibri"/>
        </w:rPr>
        <w:t>faze</w:t>
      </w:r>
      <w:r w:rsidRPr="00191F9C">
        <w:rPr>
          <w:rFonts w:eastAsia="PMingLiU" w:cs="Calibri"/>
          <w:spacing w:val="3"/>
        </w:rPr>
        <w:t xml:space="preserve"> </w:t>
      </w:r>
      <w:r w:rsidRPr="00191F9C">
        <w:rPr>
          <w:rFonts w:eastAsia="PMingLiU" w:cs="Calibri"/>
        </w:rPr>
        <w:t>planiranja</w:t>
      </w:r>
      <w:r w:rsidRPr="00191F9C">
        <w:rPr>
          <w:rFonts w:eastAsia="PMingLiU" w:cs="Calibri"/>
          <w:spacing w:val="-2"/>
        </w:rPr>
        <w:t xml:space="preserve"> </w:t>
      </w:r>
      <w:r w:rsidRPr="00191F9C">
        <w:rPr>
          <w:rFonts w:eastAsia="PMingLiU" w:cs="Calibri"/>
        </w:rPr>
        <w:t>i</w:t>
      </w:r>
      <w:r w:rsidRPr="00191F9C">
        <w:rPr>
          <w:rFonts w:eastAsia="PMingLiU" w:cs="Calibri"/>
          <w:spacing w:val="6"/>
        </w:rPr>
        <w:t xml:space="preserve"> </w:t>
      </w:r>
      <w:r w:rsidRPr="00191F9C">
        <w:rPr>
          <w:rFonts w:eastAsia="PMingLiU" w:cs="Calibri"/>
        </w:rPr>
        <w:t>osobito</w:t>
      </w:r>
      <w:r w:rsidRPr="00191F9C">
        <w:rPr>
          <w:rFonts w:eastAsia="PMingLiU" w:cs="Calibri"/>
          <w:spacing w:val="2"/>
        </w:rPr>
        <w:t xml:space="preserve"> </w:t>
      </w:r>
      <w:r w:rsidRPr="00191F9C">
        <w:rPr>
          <w:rFonts w:eastAsia="PMingLiU" w:cs="Calibri"/>
        </w:rPr>
        <w:t>realizacije,</w:t>
      </w:r>
      <w:r w:rsidRPr="00191F9C">
        <w:rPr>
          <w:rFonts w:eastAsia="PMingLiU" w:cs="Calibri"/>
          <w:spacing w:val="-3"/>
        </w:rPr>
        <w:t xml:space="preserve"> </w:t>
      </w:r>
      <w:r w:rsidRPr="00191F9C">
        <w:rPr>
          <w:rFonts w:eastAsia="PMingLiU" w:cs="Calibri"/>
        </w:rPr>
        <w:t>zna</w:t>
      </w:r>
      <w:r w:rsidRPr="00191F9C">
        <w:rPr>
          <w:rFonts w:eastAsia="PMingLiU" w:cs="Calibri"/>
          <w:spacing w:val="-1"/>
        </w:rPr>
        <w:t>t</w:t>
      </w:r>
      <w:r w:rsidRPr="00191F9C">
        <w:rPr>
          <w:rFonts w:eastAsia="PMingLiU" w:cs="Calibri"/>
        </w:rPr>
        <w:t>na</w:t>
      </w:r>
      <w:r w:rsidRPr="00191F9C">
        <w:rPr>
          <w:rFonts w:eastAsia="PMingLiU" w:cs="Calibri"/>
          <w:spacing w:val="2"/>
        </w:rPr>
        <w:t xml:space="preserve"> </w:t>
      </w:r>
      <w:r w:rsidRPr="00191F9C">
        <w:rPr>
          <w:rFonts w:eastAsia="PMingLiU" w:cs="Calibri"/>
        </w:rPr>
        <w:t>materijalna</w:t>
      </w:r>
      <w:r w:rsidRPr="00191F9C">
        <w:rPr>
          <w:rFonts w:eastAsia="PMingLiU" w:cs="Calibri"/>
          <w:spacing w:val="-3"/>
        </w:rPr>
        <w:t xml:space="preserve"> </w:t>
      </w:r>
      <w:r w:rsidRPr="00191F9C">
        <w:rPr>
          <w:rFonts w:eastAsia="PMingLiU" w:cs="Calibri"/>
        </w:rPr>
        <w:t>sredstva, nam</w:t>
      </w:r>
      <w:r w:rsidRPr="00191F9C">
        <w:rPr>
          <w:rFonts w:eastAsia="PMingLiU" w:cs="Calibri"/>
          <w:spacing w:val="2"/>
        </w:rPr>
        <w:t>e</w:t>
      </w:r>
      <w:r w:rsidRPr="00191F9C">
        <w:rPr>
          <w:rFonts w:eastAsia="PMingLiU" w:cs="Calibri"/>
          <w:spacing w:val="1"/>
        </w:rPr>
        <w:t>ć</w:t>
      </w:r>
      <w:r w:rsidRPr="00191F9C">
        <w:rPr>
          <w:rFonts w:eastAsia="PMingLiU" w:cs="Calibri"/>
        </w:rPr>
        <w:t>u potrebu</w:t>
      </w:r>
      <w:r w:rsidRPr="00191F9C">
        <w:rPr>
          <w:rFonts w:eastAsia="PMingLiU" w:cs="Calibri"/>
          <w:spacing w:val="6"/>
        </w:rPr>
        <w:t xml:space="preserve"> </w:t>
      </w:r>
      <w:r w:rsidRPr="00191F9C">
        <w:rPr>
          <w:rFonts w:eastAsia="PMingLiU" w:cs="Calibri"/>
        </w:rPr>
        <w:t>tretiranja</w:t>
      </w:r>
      <w:r w:rsidRPr="00191F9C">
        <w:rPr>
          <w:rFonts w:eastAsia="PMingLiU" w:cs="Calibri"/>
          <w:spacing w:val="5"/>
        </w:rPr>
        <w:t xml:space="preserve"> </w:t>
      </w:r>
      <w:r w:rsidRPr="00191F9C">
        <w:rPr>
          <w:rFonts w:eastAsia="PMingLiU" w:cs="Calibri"/>
        </w:rPr>
        <w:t>rij</w:t>
      </w:r>
      <w:r w:rsidRPr="00191F9C">
        <w:rPr>
          <w:rFonts w:eastAsia="PMingLiU" w:cs="Calibri"/>
          <w:spacing w:val="-1"/>
        </w:rPr>
        <w:t>e</w:t>
      </w:r>
      <w:r w:rsidRPr="00191F9C">
        <w:rPr>
          <w:rFonts w:eastAsia="PMingLiU" w:cs="Calibri"/>
        </w:rPr>
        <w:t>ke</w:t>
      </w:r>
      <w:r w:rsidRPr="00191F9C">
        <w:rPr>
          <w:rFonts w:eastAsia="PMingLiU" w:cs="Calibri"/>
          <w:spacing w:val="8"/>
        </w:rPr>
        <w:t xml:space="preserve"> </w:t>
      </w:r>
      <w:r w:rsidRPr="00191F9C">
        <w:rPr>
          <w:rFonts w:eastAsia="PMingLiU" w:cs="Calibri"/>
        </w:rPr>
        <w:t>Save</w:t>
      </w:r>
      <w:r w:rsidRPr="00191F9C">
        <w:rPr>
          <w:rFonts w:eastAsia="PMingLiU" w:cs="Calibri"/>
          <w:spacing w:val="9"/>
        </w:rPr>
        <w:t xml:space="preserve"> </w:t>
      </w:r>
      <w:r w:rsidRPr="00191F9C">
        <w:rPr>
          <w:rFonts w:eastAsia="PMingLiU" w:cs="Calibri"/>
        </w:rPr>
        <w:t>i</w:t>
      </w:r>
      <w:r w:rsidRPr="00191F9C">
        <w:rPr>
          <w:rFonts w:eastAsia="PMingLiU" w:cs="Calibri"/>
          <w:spacing w:val="13"/>
        </w:rPr>
        <w:t xml:space="preserve"> </w:t>
      </w:r>
      <w:r w:rsidRPr="00191F9C">
        <w:rPr>
          <w:rFonts w:eastAsia="PMingLiU" w:cs="Calibri"/>
        </w:rPr>
        <w:t>njenog</w:t>
      </w:r>
      <w:r w:rsidRPr="00191F9C">
        <w:rPr>
          <w:rFonts w:eastAsia="PMingLiU" w:cs="Calibri"/>
          <w:spacing w:val="7"/>
        </w:rPr>
        <w:t xml:space="preserve"> </w:t>
      </w:r>
      <w:r w:rsidRPr="00191F9C">
        <w:rPr>
          <w:rFonts w:eastAsia="PMingLiU" w:cs="Calibri"/>
        </w:rPr>
        <w:t>neposr</w:t>
      </w:r>
      <w:r w:rsidRPr="00191F9C">
        <w:rPr>
          <w:rFonts w:eastAsia="PMingLiU" w:cs="Calibri"/>
          <w:spacing w:val="-1"/>
        </w:rPr>
        <w:t>e</w:t>
      </w:r>
      <w:r w:rsidRPr="00191F9C">
        <w:rPr>
          <w:rFonts w:eastAsia="PMingLiU" w:cs="Calibri"/>
        </w:rPr>
        <w:t>dnijeg okr</w:t>
      </w:r>
      <w:r w:rsidRPr="00191F9C">
        <w:rPr>
          <w:rFonts w:eastAsia="PMingLiU" w:cs="Calibri"/>
          <w:spacing w:val="-1"/>
        </w:rPr>
        <w:t>u</w:t>
      </w:r>
      <w:r w:rsidRPr="00191F9C">
        <w:rPr>
          <w:rFonts w:eastAsia="PMingLiU" w:cs="Calibri"/>
        </w:rPr>
        <w:t>ženja</w:t>
      </w:r>
      <w:r w:rsidRPr="00191F9C">
        <w:rPr>
          <w:rFonts w:eastAsia="PMingLiU" w:cs="Calibri"/>
          <w:spacing w:val="4"/>
        </w:rPr>
        <w:t xml:space="preserve"> </w:t>
      </w:r>
      <w:r w:rsidRPr="00191F9C">
        <w:rPr>
          <w:rFonts w:eastAsia="PMingLiU" w:cs="Calibri"/>
        </w:rPr>
        <w:t>poseb</w:t>
      </w:r>
      <w:r w:rsidRPr="00191F9C">
        <w:rPr>
          <w:rFonts w:eastAsia="PMingLiU" w:cs="Calibri"/>
          <w:spacing w:val="-1"/>
        </w:rPr>
        <w:t>n</w:t>
      </w:r>
      <w:r w:rsidRPr="00191F9C">
        <w:rPr>
          <w:rFonts w:eastAsia="PMingLiU" w:cs="Calibri"/>
        </w:rPr>
        <w:t>im</w:t>
      </w:r>
      <w:r w:rsidRPr="00191F9C">
        <w:rPr>
          <w:rFonts w:eastAsia="PMingLiU" w:cs="Calibri"/>
          <w:spacing w:val="4"/>
        </w:rPr>
        <w:t xml:space="preserve"> </w:t>
      </w:r>
      <w:r w:rsidRPr="00191F9C">
        <w:rPr>
          <w:rFonts w:eastAsia="PMingLiU" w:cs="Calibri"/>
        </w:rPr>
        <w:t>podr</w:t>
      </w:r>
      <w:r w:rsidRPr="00191F9C">
        <w:rPr>
          <w:rFonts w:eastAsia="PMingLiU" w:cs="Calibri"/>
          <w:spacing w:val="1"/>
        </w:rPr>
        <w:t>uč</w:t>
      </w:r>
      <w:r w:rsidRPr="00191F9C">
        <w:rPr>
          <w:rFonts w:eastAsia="PMingLiU" w:cs="Calibri"/>
        </w:rPr>
        <w:t>j</w:t>
      </w:r>
      <w:r w:rsidRPr="00191F9C">
        <w:rPr>
          <w:rFonts w:eastAsia="PMingLiU" w:cs="Calibri"/>
          <w:spacing w:val="-1"/>
        </w:rPr>
        <w:t>e</w:t>
      </w:r>
      <w:r w:rsidRPr="00191F9C">
        <w:rPr>
          <w:rFonts w:eastAsia="PMingLiU" w:cs="Calibri"/>
        </w:rPr>
        <w:t>m</w:t>
      </w:r>
      <w:r w:rsidRPr="00191F9C">
        <w:rPr>
          <w:rFonts w:eastAsia="PMingLiU" w:cs="Calibri"/>
          <w:spacing w:val="3"/>
        </w:rPr>
        <w:t xml:space="preserve"> </w:t>
      </w:r>
      <w:r w:rsidRPr="00191F9C">
        <w:rPr>
          <w:rFonts w:eastAsia="PMingLiU" w:cs="Calibri"/>
        </w:rPr>
        <w:t>za</w:t>
      </w:r>
      <w:r w:rsidRPr="00191F9C">
        <w:rPr>
          <w:rFonts w:eastAsia="PMingLiU" w:cs="Calibri"/>
          <w:spacing w:val="11"/>
        </w:rPr>
        <w:t xml:space="preserve"> </w:t>
      </w:r>
      <w:r w:rsidRPr="00191F9C">
        <w:rPr>
          <w:rFonts w:eastAsia="PMingLiU" w:cs="Calibri"/>
        </w:rPr>
        <w:t>koji su</w:t>
      </w:r>
      <w:r w:rsidRPr="00191F9C">
        <w:rPr>
          <w:rFonts w:eastAsia="PMingLiU" w:cs="Calibri"/>
          <w:spacing w:val="34"/>
        </w:rPr>
        <w:t xml:space="preserve"> </w:t>
      </w:r>
      <w:r w:rsidRPr="00191F9C">
        <w:rPr>
          <w:rFonts w:eastAsia="PMingLiU" w:cs="Calibri"/>
        </w:rPr>
        <w:t>nužni</w:t>
      </w:r>
      <w:r w:rsidRPr="00191F9C">
        <w:rPr>
          <w:rFonts w:eastAsia="PMingLiU" w:cs="Calibri"/>
          <w:spacing w:val="31"/>
        </w:rPr>
        <w:t xml:space="preserve"> </w:t>
      </w:r>
      <w:r w:rsidRPr="00191F9C">
        <w:rPr>
          <w:rFonts w:eastAsia="PMingLiU" w:cs="Calibri"/>
        </w:rPr>
        <w:t>i</w:t>
      </w:r>
      <w:r w:rsidRPr="00191F9C">
        <w:rPr>
          <w:rFonts w:eastAsia="PMingLiU" w:cs="Calibri"/>
          <w:spacing w:val="36"/>
        </w:rPr>
        <w:t xml:space="preserve"> </w:t>
      </w:r>
      <w:r w:rsidRPr="00191F9C">
        <w:rPr>
          <w:rFonts w:eastAsia="PMingLiU" w:cs="Calibri"/>
          <w:spacing w:val="-1"/>
        </w:rPr>
        <w:t>p</w:t>
      </w:r>
      <w:r w:rsidRPr="00191F9C">
        <w:rPr>
          <w:rFonts w:eastAsia="PMingLiU" w:cs="Calibri"/>
        </w:rPr>
        <w:t>osebni</w:t>
      </w:r>
      <w:r w:rsidRPr="00191F9C">
        <w:rPr>
          <w:rFonts w:eastAsia="PMingLiU" w:cs="Calibri"/>
          <w:spacing w:val="28"/>
        </w:rPr>
        <w:t xml:space="preserve"> </w:t>
      </w:r>
      <w:r w:rsidRPr="00191F9C">
        <w:rPr>
          <w:rFonts w:eastAsia="PMingLiU" w:cs="Calibri"/>
        </w:rPr>
        <w:t>pro</w:t>
      </w:r>
      <w:r w:rsidRPr="00191F9C">
        <w:rPr>
          <w:rFonts w:eastAsia="PMingLiU" w:cs="Calibri"/>
          <w:spacing w:val="-1"/>
        </w:rPr>
        <w:t>g</w:t>
      </w:r>
      <w:r w:rsidRPr="00191F9C">
        <w:rPr>
          <w:rFonts w:eastAsia="PMingLiU" w:cs="Calibri"/>
        </w:rPr>
        <w:t>rami</w:t>
      </w:r>
      <w:r w:rsidRPr="00191F9C">
        <w:rPr>
          <w:rFonts w:eastAsia="PMingLiU" w:cs="Calibri"/>
          <w:spacing w:val="27"/>
        </w:rPr>
        <w:t xml:space="preserve"> </w:t>
      </w:r>
      <w:r w:rsidRPr="00191F9C">
        <w:rPr>
          <w:rFonts w:eastAsia="PMingLiU" w:cs="Calibri"/>
        </w:rPr>
        <w:t>razvoja.</w:t>
      </w:r>
      <w:r w:rsidRPr="00191F9C">
        <w:rPr>
          <w:rFonts w:eastAsia="PMingLiU" w:cs="Calibri"/>
          <w:spacing w:val="28"/>
        </w:rPr>
        <w:t xml:space="preserve"> </w:t>
      </w:r>
    </w:p>
    <w:p w14:paraId="37141D75" w14:textId="77777777" w:rsidR="00072476" w:rsidRPr="00242396" w:rsidRDefault="00072476" w:rsidP="00072476">
      <w:pPr>
        <w:widowControl w:val="0"/>
        <w:autoSpaceDE w:val="0"/>
        <w:autoSpaceDN w:val="0"/>
        <w:adjustRightInd w:val="0"/>
        <w:spacing w:before="31" w:after="200" w:line="240" w:lineRule="auto"/>
        <w:ind w:right="135"/>
        <w:jc w:val="both"/>
        <w:rPr>
          <w:rFonts w:eastAsia="PMingLiU" w:cs="Calibri"/>
        </w:rPr>
      </w:pPr>
      <w:r w:rsidRPr="00242396">
        <w:rPr>
          <w:rFonts w:eastAsia="PMingLiU" w:cs="Calibri"/>
        </w:rPr>
        <w:t>Trgovačko društvo Program Sava d.o.o. vodilo je program zaštite, uređenja i korištenja rijeke Save i zaobalja od granice s Republikom Slovenijom do Siska. Navedeno društvo prestalo je s radom 2019. godine te u nastavnom razdoblju nisu provođene aktivnosti na razvoju Programa.</w:t>
      </w:r>
    </w:p>
    <w:p w14:paraId="19BAE4FA" w14:textId="77777777" w:rsidR="00072476" w:rsidRPr="00242396" w:rsidRDefault="00072476" w:rsidP="00072476">
      <w:pPr>
        <w:widowControl w:val="0"/>
        <w:autoSpaceDE w:val="0"/>
        <w:autoSpaceDN w:val="0"/>
        <w:adjustRightInd w:val="0"/>
        <w:spacing w:before="31" w:after="200" w:line="240" w:lineRule="auto"/>
        <w:ind w:right="135"/>
        <w:jc w:val="both"/>
        <w:rPr>
          <w:rFonts w:eastAsia="PMingLiU" w:cs="Calibri"/>
        </w:rPr>
      </w:pPr>
      <w:r w:rsidRPr="00242396">
        <w:rPr>
          <w:rFonts w:eastAsia="PMingLiU" w:cs="Calibri"/>
        </w:rPr>
        <w:t>U ovoj fazi, kao optimalno rješenje za početak realizacije, a neovisno o daljnjem tijeku razvoja Programa, priprema je projekta višenamjenskog hidrotehničkog sustava Zaprešić (VHS Zaprešić) koji se planira u administrativnom obuhvatu Zagrebačke županije, a nadležno društvo je HEP-VHS ZAPREŠIĆ d.o.o.</w:t>
      </w:r>
    </w:p>
    <w:p w14:paraId="31EF0BA2" w14:textId="769E6EBC" w:rsidR="00072476" w:rsidRDefault="00072476" w:rsidP="00072476">
      <w:pPr>
        <w:widowControl w:val="0"/>
        <w:autoSpaceDE w:val="0"/>
        <w:autoSpaceDN w:val="0"/>
        <w:adjustRightInd w:val="0"/>
        <w:spacing w:before="31" w:after="200" w:line="240" w:lineRule="auto"/>
        <w:ind w:right="135"/>
        <w:jc w:val="both"/>
        <w:rPr>
          <w:rFonts w:eastAsia="PMingLiU" w:cs="Calibri"/>
        </w:rPr>
      </w:pPr>
      <w:r w:rsidRPr="00242396">
        <w:rPr>
          <w:rFonts w:eastAsia="PMingLiU" w:cs="Calibri"/>
        </w:rPr>
        <w:t>Također, nadležno Ministarstvo prostornoga uređenja, graditeljstva i državne imovine pokrenulo je izradu stručne podloge za Državni plan prostornog razvoja pod nazivom Analiza zaštite, uređenja i korištenja rijeke Save i zaobalja od granice s Republikom Slovenijom do Siska.</w:t>
      </w:r>
    </w:p>
    <w:p w14:paraId="370B0FFE" w14:textId="77777777" w:rsidR="0000743F" w:rsidRPr="00191F9C" w:rsidRDefault="0000743F" w:rsidP="00072476">
      <w:pPr>
        <w:widowControl w:val="0"/>
        <w:autoSpaceDE w:val="0"/>
        <w:autoSpaceDN w:val="0"/>
        <w:adjustRightInd w:val="0"/>
        <w:spacing w:before="31" w:after="200" w:line="240" w:lineRule="auto"/>
        <w:ind w:right="135"/>
        <w:jc w:val="both"/>
        <w:rPr>
          <w:rFonts w:eastAsia="PMingLiU" w:cs="Calibri"/>
        </w:rPr>
      </w:pPr>
    </w:p>
    <w:tbl>
      <w:tblPr>
        <w:tblpPr w:leftFromText="180" w:rightFromText="180" w:vertAnchor="text" w:horzAnchor="margin" w:tblpY="37"/>
        <w:tblW w:w="5156" w:type="pct"/>
        <w:shd w:val="clear" w:color="auto" w:fill="D9D9D9"/>
        <w:tblLook w:val="01E0" w:firstRow="1" w:lastRow="1" w:firstColumn="1" w:lastColumn="1" w:noHBand="0" w:noVBand="0"/>
      </w:tblPr>
      <w:tblGrid>
        <w:gridCol w:w="4677"/>
        <w:gridCol w:w="4678"/>
      </w:tblGrid>
      <w:tr w:rsidR="00072476" w:rsidRPr="00191F9C" w14:paraId="7A37572C" w14:textId="77777777" w:rsidTr="00072476">
        <w:tc>
          <w:tcPr>
            <w:tcW w:w="2500" w:type="pct"/>
            <w:shd w:val="clear" w:color="auto" w:fill="D9D9D9"/>
          </w:tcPr>
          <w:p w14:paraId="3A9E2443"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br w:type="page"/>
              <w:t>RAZVOJNI PROBLEMI</w:t>
            </w:r>
          </w:p>
        </w:tc>
        <w:tc>
          <w:tcPr>
            <w:tcW w:w="2500" w:type="pct"/>
            <w:shd w:val="clear" w:color="auto" w:fill="99CCFF"/>
          </w:tcPr>
          <w:p w14:paraId="5FE1F315"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50F67A34" w14:textId="77777777" w:rsidTr="00072476">
        <w:tc>
          <w:tcPr>
            <w:tcW w:w="2500" w:type="pct"/>
            <w:shd w:val="clear" w:color="auto" w:fill="D9D9D9"/>
          </w:tcPr>
          <w:p w14:paraId="38183E6D"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Opadanje nivoa podzemnih voda i produbljivanje korita Save</w:t>
            </w:r>
          </w:p>
          <w:p w14:paraId="151FB6CA"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Onečišćenje podzemnih voda</w:t>
            </w:r>
          </w:p>
          <w:p w14:paraId="7CB41907"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Pogoršanje kakvoće vode rijeke Save</w:t>
            </w:r>
          </w:p>
          <w:p w14:paraId="243123D8"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Degradacija stanja Save na zagrebačkom području</w:t>
            </w:r>
          </w:p>
          <w:p w14:paraId="0C38EA84"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Nedovršen i iscrpljen sustav obrane od poplava</w:t>
            </w:r>
          </w:p>
          <w:p w14:paraId="7E8983A5"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Mali udio obnovljivih izvora energije</w:t>
            </w:r>
          </w:p>
          <w:p w14:paraId="7C8C4BE5"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Nedostatno diversificirani izvori energije</w:t>
            </w:r>
          </w:p>
          <w:p w14:paraId="2D48933E"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Mali broj mostovnih prijelaza preko Save</w:t>
            </w:r>
          </w:p>
          <w:p w14:paraId="54457F86"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Nedovoljno iskorišteni prirodni potencijali za razvoj turizma, sporta i rekreacije</w:t>
            </w:r>
          </w:p>
          <w:p w14:paraId="093A14E5"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Neusklađenost sektorskih pristupa uređenju Save i zaobalja</w:t>
            </w:r>
          </w:p>
          <w:p w14:paraId="1440472C" w14:textId="77777777" w:rsidR="0007247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Nesanirane šljunčare i odlagališta otpada</w:t>
            </w:r>
          </w:p>
          <w:p w14:paraId="00F71C62"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O</w:t>
            </w:r>
            <w:r w:rsidRPr="00AB4EEB">
              <w:rPr>
                <w:rFonts w:eastAsia="Times New Roman" w:cs="Calibri"/>
                <w:sz w:val="18"/>
                <w:szCs w:val="18"/>
                <w:lang w:eastAsia="hr-HR"/>
              </w:rPr>
              <w:t xml:space="preserve">štećenja </w:t>
            </w:r>
            <w:r>
              <w:rPr>
                <w:rFonts w:eastAsia="Times New Roman" w:cs="Calibri"/>
                <w:sz w:val="18"/>
                <w:szCs w:val="18"/>
                <w:lang w:eastAsia="hr-HR"/>
              </w:rPr>
              <w:t>nastala potresom na dijelu stambenih i drugih objekata te infrastrukturi</w:t>
            </w:r>
          </w:p>
        </w:tc>
        <w:tc>
          <w:tcPr>
            <w:tcW w:w="2500" w:type="pct"/>
            <w:shd w:val="clear" w:color="auto" w:fill="99CCFF"/>
          </w:tcPr>
          <w:p w14:paraId="23089453" w14:textId="77777777" w:rsidR="00072476" w:rsidRPr="00EB7E9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Razvoj učinkovitog načina upravljanja prirodnim resursima Save</w:t>
            </w:r>
          </w:p>
          <w:p w14:paraId="1B2EFAE3"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Ostvarivanje višenamjenskih koristi</w:t>
            </w:r>
          </w:p>
          <w:p w14:paraId="745BA76C"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Očuvanje vrijednosti savskoga krajolika i neizgrađenih prostora uz obale</w:t>
            </w:r>
          </w:p>
          <w:p w14:paraId="7B32D154" w14:textId="77777777" w:rsidR="00072476" w:rsidRPr="00EB7E9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Pr>
                <w:rFonts w:eastAsia="Times New Roman" w:cs="Calibri"/>
                <w:sz w:val="18"/>
                <w:szCs w:val="18"/>
                <w:lang w:eastAsia="hr-HR"/>
              </w:rPr>
              <w:t>Uključivanje mehanizma zaštite i održivog korištenja obalnog pojasa Save u prostorne planove</w:t>
            </w:r>
          </w:p>
          <w:p w14:paraId="67958C1C"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Zaštita podzemnih voda i izvorišta</w:t>
            </w:r>
          </w:p>
          <w:p w14:paraId="6F2CED1A"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Mjere za osiguravanje kvalitete voda</w:t>
            </w:r>
          </w:p>
          <w:p w14:paraId="299103F8"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Mjere za osiguravanje dovoljnih količina voda</w:t>
            </w:r>
          </w:p>
          <w:p w14:paraId="3B520EF2"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Umirenje toka rijeke i postizanje stalnoga vodnog lica</w:t>
            </w:r>
          </w:p>
          <w:p w14:paraId="56142930"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Uklanjanje izvora zagađenja</w:t>
            </w:r>
          </w:p>
          <w:p w14:paraId="5E7CF705"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Poticanje korištenja obnovljivih izvora energije</w:t>
            </w:r>
          </w:p>
          <w:p w14:paraId="7B1D59D2"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Mostovi preko Save</w:t>
            </w:r>
          </w:p>
          <w:p w14:paraId="300BD9C8"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Razvoj plovnosti II kategorije na Savi kroz Zagreb</w:t>
            </w:r>
          </w:p>
          <w:p w14:paraId="51AE974F" w14:textId="77777777" w:rsidR="0007247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Valorizacija i razvoj turističkih, sportskih i rekreacijskih potencijala rijeke i zaobalja</w:t>
            </w:r>
          </w:p>
          <w:p w14:paraId="31EFA0BE"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AB4EEB">
              <w:rPr>
                <w:rFonts w:eastAsia="Times New Roman" w:cs="Calibri"/>
                <w:sz w:val="18"/>
                <w:szCs w:val="18"/>
                <w:lang w:eastAsia="hr-HR"/>
              </w:rPr>
              <w:t xml:space="preserve">Obnova objekata i infrastrukture oštećene potresom uz istovremeno očuvanje </w:t>
            </w:r>
            <w:r>
              <w:rPr>
                <w:rFonts w:eastAsia="Times New Roman" w:cs="Calibri"/>
                <w:sz w:val="18"/>
                <w:szCs w:val="18"/>
                <w:lang w:eastAsia="hr-HR"/>
              </w:rPr>
              <w:t>posebnog područja Save</w:t>
            </w:r>
          </w:p>
        </w:tc>
      </w:tr>
    </w:tbl>
    <w:p w14:paraId="1ABB0D49" w14:textId="77777777" w:rsidR="00072476" w:rsidRDefault="00072476" w:rsidP="00072476">
      <w:pPr>
        <w:widowControl w:val="0"/>
        <w:autoSpaceDE w:val="0"/>
        <w:spacing w:after="200" w:line="240" w:lineRule="auto"/>
        <w:ind w:right="136"/>
        <w:jc w:val="both"/>
        <w:rPr>
          <w:rFonts w:eastAsia="PMingLiU" w:cs="Calibri"/>
        </w:rPr>
      </w:pPr>
      <w:r w:rsidRPr="00191F9C">
        <w:rPr>
          <w:rFonts w:eastAsia="PMingLiU" w:cs="Calibri"/>
          <w:b/>
          <w:bCs/>
        </w:rPr>
        <w:br/>
        <w:t>Ruralni</w:t>
      </w:r>
      <w:r w:rsidRPr="00191F9C">
        <w:rPr>
          <w:rFonts w:eastAsia="PMingLiU" w:cs="Calibri"/>
          <w:b/>
          <w:bCs/>
          <w:spacing w:val="3"/>
        </w:rPr>
        <w:t xml:space="preserve"> </w:t>
      </w:r>
      <w:r w:rsidRPr="00191F9C">
        <w:rPr>
          <w:rFonts w:eastAsia="PMingLiU" w:cs="Calibri"/>
          <w:b/>
          <w:bCs/>
        </w:rPr>
        <w:t>i</w:t>
      </w:r>
      <w:r w:rsidRPr="00191F9C">
        <w:rPr>
          <w:rFonts w:eastAsia="PMingLiU" w:cs="Calibri"/>
          <w:b/>
          <w:bCs/>
          <w:spacing w:val="10"/>
        </w:rPr>
        <w:t xml:space="preserve"> </w:t>
      </w:r>
      <w:r w:rsidRPr="00191F9C">
        <w:rPr>
          <w:rFonts w:eastAsia="PMingLiU" w:cs="Calibri"/>
          <w:b/>
          <w:bCs/>
          <w:spacing w:val="1"/>
        </w:rPr>
        <w:t>s</w:t>
      </w:r>
      <w:r w:rsidRPr="00191F9C">
        <w:rPr>
          <w:rFonts w:eastAsia="PMingLiU" w:cs="Calibri"/>
          <w:b/>
          <w:bCs/>
        </w:rPr>
        <w:t xml:space="preserve">uburbani </w:t>
      </w:r>
      <w:r w:rsidRPr="00191F9C">
        <w:rPr>
          <w:rFonts w:eastAsia="PMingLiU" w:cs="Calibri"/>
          <w:b/>
          <w:bCs/>
          <w:spacing w:val="2"/>
        </w:rPr>
        <w:t>p</w:t>
      </w:r>
      <w:r w:rsidRPr="00191F9C">
        <w:rPr>
          <w:rFonts w:eastAsia="PMingLiU" w:cs="Calibri"/>
          <w:b/>
          <w:bCs/>
        </w:rPr>
        <w:t>rostor.</w:t>
      </w:r>
      <w:r w:rsidRPr="00191F9C">
        <w:rPr>
          <w:rFonts w:eastAsia="PMingLiU" w:cs="Calibri"/>
          <w:b/>
          <w:bCs/>
          <w:spacing w:val="3"/>
        </w:rPr>
        <w:t xml:space="preserve"> </w:t>
      </w:r>
      <w:r w:rsidRPr="0063199D">
        <w:rPr>
          <w:rFonts w:eastAsia="PMingLiU" w:cs="Calibri"/>
          <w:spacing w:val="3"/>
          <w:lang w:eastAsia="zh-CN"/>
        </w:rPr>
        <w:t xml:space="preserve"> </w:t>
      </w:r>
      <w:r w:rsidRPr="00191F9C">
        <w:rPr>
          <w:rFonts w:eastAsia="PMingLiU" w:cs="Calibri"/>
        </w:rPr>
        <w:t xml:space="preserve">Osnaživanje društvene i gospodarske infrastrukture  te stvaranje kvalitetne podloge za život u naseljima ruralnog i suburbanog karaktera neke su od ključnih odrednica uravnoteženog razvoja koji se potiče i promiče </w:t>
      </w:r>
      <w:r>
        <w:rPr>
          <w:rFonts w:eastAsia="PMingLiU" w:cs="Calibri"/>
        </w:rPr>
        <w:t>Planom razvoja Grada Zagreba</w:t>
      </w:r>
      <w:r w:rsidRPr="00191F9C">
        <w:rPr>
          <w:rFonts w:eastAsia="PMingLiU" w:cs="Calibri"/>
        </w:rPr>
        <w:t>.</w:t>
      </w:r>
      <w:r>
        <w:rPr>
          <w:rFonts w:eastAsia="PMingLiU" w:cs="Calibri"/>
        </w:rPr>
        <w:t xml:space="preserve"> Naglasak na navedeno treba staviti posebice nakon potresa koji je pogodio Grad Zagreb i šire zagrebačko područje te u širem epicentralnom području izazvao velike materijalne štete na građevinama. U Gradu Zagrebu, Krapinsko-zagorskoj županiji i Zagrebačkoj županiji ukupno je oštećeno oko 26 000 zgrada te su ukupni troškovi potresa procijenjeni na  11.3 milijarde EUR.</w:t>
      </w:r>
    </w:p>
    <w:p w14:paraId="14F96EAE" w14:textId="77777777" w:rsidR="00072476" w:rsidRPr="00191F9C" w:rsidRDefault="00072476" w:rsidP="00072476">
      <w:pPr>
        <w:widowControl w:val="0"/>
        <w:autoSpaceDE w:val="0"/>
        <w:autoSpaceDN w:val="0"/>
        <w:adjustRightInd w:val="0"/>
        <w:spacing w:after="200" w:line="240" w:lineRule="auto"/>
        <w:ind w:right="136"/>
        <w:jc w:val="both"/>
        <w:rPr>
          <w:rFonts w:eastAsia="PMingLiU" w:cs="Calibri"/>
        </w:rPr>
      </w:pPr>
      <w:r w:rsidRPr="00191F9C">
        <w:rPr>
          <w:rFonts w:eastAsia="PMingLiU" w:cs="Calibri"/>
        </w:rPr>
        <w:t>Od</w:t>
      </w:r>
      <w:r w:rsidRPr="00191F9C">
        <w:rPr>
          <w:rFonts w:eastAsia="PMingLiU" w:cs="Calibri"/>
          <w:spacing w:val="9"/>
        </w:rPr>
        <w:t xml:space="preserve"> </w:t>
      </w:r>
      <w:r w:rsidRPr="00191F9C">
        <w:rPr>
          <w:rFonts w:eastAsia="PMingLiU" w:cs="Calibri"/>
        </w:rPr>
        <w:t>ukupno</w:t>
      </w:r>
      <w:r w:rsidRPr="00191F9C">
        <w:rPr>
          <w:rFonts w:eastAsia="PMingLiU" w:cs="Calibri"/>
          <w:spacing w:val="3"/>
        </w:rPr>
        <w:t xml:space="preserve"> </w:t>
      </w:r>
      <w:r w:rsidRPr="00191F9C">
        <w:rPr>
          <w:rFonts w:eastAsia="PMingLiU" w:cs="Calibri"/>
        </w:rPr>
        <w:t>641,32</w:t>
      </w:r>
      <w:r w:rsidRPr="00191F9C">
        <w:rPr>
          <w:rFonts w:eastAsia="PMingLiU" w:cs="Calibri"/>
          <w:spacing w:val="7"/>
        </w:rPr>
        <w:t xml:space="preserve"> </w:t>
      </w:r>
      <w:r w:rsidRPr="00191F9C">
        <w:rPr>
          <w:rFonts w:eastAsia="PMingLiU" w:cs="Calibri"/>
        </w:rPr>
        <w:t>km²</w:t>
      </w:r>
      <w:r w:rsidRPr="00191F9C">
        <w:rPr>
          <w:rFonts w:eastAsia="PMingLiU" w:cs="Calibri"/>
          <w:spacing w:val="7"/>
        </w:rPr>
        <w:t xml:space="preserve"> </w:t>
      </w:r>
      <w:r w:rsidRPr="00191F9C">
        <w:rPr>
          <w:rFonts w:eastAsia="PMingLiU" w:cs="Calibri"/>
        </w:rPr>
        <w:t>p</w:t>
      </w:r>
      <w:r w:rsidRPr="00191F9C">
        <w:rPr>
          <w:rFonts w:eastAsia="PMingLiU" w:cs="Calibri"/>
          <w:spacing w:val="1"/>
        </w:rPr>
        <w:t>o</w:t>
      </w:r>
      <w:r w:rsidRPr="00191F9C">
        <w:rPr>
          <w:rFonts w:eastAsia="PMingLiU" w:cs="Calibri"/>
        </w:rPr>
        <w:t>vršine</w:t>
      </w:r>
      <w:r w:rsidRPr="00191F9C">
        <w:rPr>
          <w:rFonts w:eastAsia="PMingLiU" w:cs="Calibri"/>
          <w:spacing w:val="2"/>
        </w:rPr>
        <w:t xml:space="preserve"> </w:t>
      </w:r>
      <w:r w:rsidRPr="00191F9C">
        <w:rPr>
          <w:rFonts w:eastAsia="PMingLiU" w:cs="Calibri"/>
        </w:rPr>
        <w:t>Grada</w:t>
      </w:r>
      <w:r w:rsidRPr="00191F9C">
        <w:rPr>
          <w:rFonts w:eastAsia="PMingLiU" w:cs="Calibri"/>
          <w:spacing w:val="5"/>
        </w:rPr>
        <w:t xml:space="preserve"> </w:t>
      </w:r>
      <w:r w:rsidRPr="00191F9C">
        <w:rPr>
          <w:rFonts w:eastAsia="PMingLiU" w:cs="Calibri"/>
          <w:spacing w:val="2"/>
        </w:rPr>
        <w:t>Z</w:t>
      </w:r>
      <w:r w:rsidRPr="00191F9C">
        <w:rPr>
          <w:rFonts w:eastAsia="PMingLiU" w:cs="Calibri"/>
        </w:rPr>
        <w:t>agreba,</w:t>
      </w:r>
      <w:r w:rsidRPr="00191F9C">
        <w:rPr>
          <w:rFonts w:eastAsia="PMingLiU" w:cs="Calibri"/>
          <w:spacing w:val="2"/>
        </w:rPr>
        <w:t xml:space="preserve"> </w:t>
      </w:r>
      <w:r w:rsidRPr="00191F9C">
        <w:rPr>
          <w:rFonts w:eastAsia="PMingLiU" w:cs="Calibri"/>
        </w:rPr>
        <w:t>približno</w:t>
      </w:r>
      <w:r w:rsidRPr="00191F9C">
        <w:rPr>
          <w:rFonts w:eastAsia="PMingLiU" w:cs="Calibri"/>
          <w:spacing w:val="2"/>
        </w:rPr>
        <w:t xml:space="preserve"> </w:t>
      </w:r>
      <w:r w:rsidRPr="00191F9C">
        <w:rPr>
          <w:rFonts w:eastAsia="PMingLiU" w:cs="Calibri"/>
        </w:rPr>
        <w:t>dvije tre</w:t>
      </w:r>
      <w:r w:rsidRPr="00191F9C">
        <w:rPr>
          <w:rFonts w:eastAsia="PMingLiU" w:cs="Calibri"/>
          <w:spacing w:val="1"/>
        </w:rPr>
        <w:t>ć</w:t>
      </w:r>
      <w:r w:rsidRPr="00191F9C">
        <w:rPr>
          <w:rFonts w:eastAsia="PMingLiU" w:cs="Calibri"/>
        </w:rPr>
        <w:t>ine</w:t>
      </w:r>
      <w:r w:rsidRPr="00191F9C">
        <w:rPr>
          <w:rFonts w:eastAsia="PMingLiU" w:cs="Calibri"/>
          <w:spacing w:val="36"/>
        </w:rPr>
        <w:t xml:space="preserve"> </w:t>
      </w:r>
      <w:r w:rsidRPr="00191F9C">
        <w:rPr>
          <w:rFonts w:eastAsia="PMingLiU" w:cs="Calibri"/>
        </w:rPr>
        <w:t>nal</w:t>
      </w:r>
      <w:r w:rsidRPr="00191F9C">
        <w:rPr>
          <w:rFonts w:eastAsia="PMingLiU" w:cs="Calibri"/>
          <w:spacing w:val="-1"/>
        </w:rPr>
        <w:t>a</w:t>
      </w:r>
      <w:r w:rsidRPr="00191F9C">
        <w:rPr>
          <w:rFonts w:eastAsia="PMingLiU" w:cs="Calibri"/>
          <w:spacing w:val="1"/>
        </w:rPr>
        <w:t>z</w:t>
      </w:r>
      <w:r w:rsidRPr="00191F9C">
        <w:rPr>
          <w:rFonts w:eastAsia="PMingLiU" w:cs="Calibri"/>
        </w:rPr>
        <w:t>i</w:t>
      </w:r>
      <w:r w:rsidRPr="00191F9C">
        <w:rPr>
          <w:rFonts w:eastAsia="PMingLiU" w:cs="Calibri"/>
          <w:spacing w:val="36"/>
        </w:rPr>
        <w:t xml:space="preserve"> </w:t>
      </w:r>
      <w:r w:rsidRPr="00191F9C">
        <w:rPr>
          <w:rFonts w:eastAsia="PMingLiU" w:cs="Calibri"/>
        </w:rPr>
        <w:t>se</w:t>
      </w:r>
      <w:r w:rsidRPr="00191F9C">
        <w:rPr>
          <w:rFonts w:eastAsia="PMingLiU" w:cs="Calibri"/>
          <w:spacing w:val="40"/>
        </w:rPr>
        <w:t xml:space="preserve"> </w:t>
      </w:r>
      <w:r w:rsidRPr="00191F9C">
        <w:rPr>
          <w:rFonts w:eastAsia="PMingLiU" w:cs="Calibri"/>
        </w:rPr>
        <w:t>izvan</w:t>
      </w:r>
      <w:r w:rsidRPr="00191F9C">
        <w:rPr>
          <w:rFonts w:eastAsia="PMingLiU" w:cs="Calibri"/>
          <w:spacing w:val="37"/>
        </w:rPr>
        <w:t xml:space="preserve"> </w:t>
      </w:r>
      <w:r w:rsidRPr="00191F9C">
        <w:rPr>
          <w:rFonts w:eastAsia="PMingLiU" w:cs="Calibri"/>
        </w:rPr>
        <w:t>gr</w:t>
      </w:r>
      <w:r w:rsidRPr="00191F9C">
        <w:rPr>
          <w:rFonts w:eastAsia="PMingLiU" w:cs="Calibri"/>
          <w:spacing w:val="1"/>
        </w:rPr>
        <w:t>a</w:t>
      </w:r>
      <w:r w:rsidRPr="00191F9C">
        <w:rPr>
          <w:rFonts w:eastAsia="PMingLiU" w:cs="Calibri"/>
        </w:rPr>
        <w:t>đevinskih</w:t>
      </w:r>
      <w:r w:rsidRPr="00191F9C">
        <w:rPr>
          <w:rFonts w:eastAsia="PMingLiU" w:cs="Calibri"/>
          <w:spacing w:val="30"/>
        </w:rPr>
        <w:t xml:space="preserve"> </w:t>
      </w:r>
      <w:r w:rsidRPr="00191F9C">
        <w:rPr>
          <w:rFonts w:eastAsia="PMingLiU" w:cs="Calibri"/>
        </w:rPr>
        <w:t>podru</w:t>
      </w:r>
      <w:r w:rsidRPr="00191F9C">
        <w:rPr>
          <w:rFonts w:eastAsia="PMingLiU" w:cs="Calibri"/>
          <w:spacing w:val="1"/>
        </w:rPr>
        <w:t>č</w:t>
      </w:r>
      <w:r w:rsidRPr="00191F9C">
        <w:rPr>
          <w:rFonts w:eastAsia="PMingLiU" w:cs="Calibri"/>
        </w:rPr>
        <w:t>ja</w:t>
      </w:r>
      <w:r w:rsidRPr="00191F9C">
        <w:rPr>
          <w:rFonts w:eastAsia="PMingLiU" w:cs="Calibri"/>
          <w:spacing w:val="34"/>
        </w:rPr>
        <w:t xml:space="preserve"> </w:t>
      </w:r>
      <w:r w:rsidRPr="00191F9C">
        <w:rPr>
          <w:rFonts w:eastAsia="PMingLiU" w:cs="Calibri"/>
        </w:rPr>
        <w:t>naselja</w:t>
      </w:r>
      <w:r w:rsidRPr="00191F9C">
        <w:rPr>
          <w:rFonts w:eastAsia="PMingLiU" w:cs="Calibri"/>
          <w:spacing w:val="35"/>
        </w:rPr>
        <w:t xml:space="preserve"> </w:t>
      </w:r>
      <w:r w:rsidRPr="00191F9C">
        <w:rPr>
          <w:rFonts w:eastAsia="PMingLiU" w:cs="Calibri"/>
        </w:rPr>
        <w:t>gr</w:t>
      </w:r>
      <w:r w:rsidRPr="00191F9C">
        <w:rPr>
          <w:rFonts w:eastAsia="PMingLiU" w:cs="Calibri"/>
          <w:spacing w:val="-1"/>
        </w:rPr>
        <w:t>a</w:t>
      </w:r>
      <w:r w:rsidRPr="00191F9C">
        <w:rPr>
          <w:rFonts w:eastAsia="PMingLiU" w:cs="Calibri"/>
        </w:rPr>
        <w:t>d</w:t>
      </w:r>
      <w:r w:rsidRPr="00191F9C">
        <w:rPr>
          <w:rFonts w:eastAsia="PMingLiU" w:cs="Calibri"/>
          <w:spacing w:val="38"/>
        </w:rPr>
        <w:t xml:space="preserve"> </w:t>
      </w:r>
      <w:r w:rsidRPr="00191F9C">
        <w:rPr>
          <w:rFonts w:eastAsia="PMingLiU" w:cs="Calibri"/>
        </w:rPr>
        <w:t>Zagreb</w:t>
      </w:r>
      <w:r w:rsidRPr="00191F9C">
        <w:rPr>
          <w:rFonts w:eastAsia="PMingLiU" w:cs="Calibri"/>
          <w:spacing w:val="35"/>
        </w:rPr>
        <w:t xml:space="preserve"> </w:t>
      </w:r>
      <w:r w:rsidRPr="00191F9C">
        <w:rPr>
          <w:rFonts w:eastAsia="PMingLiU" w:cs="Calibri"/>
        </w:rPr>
        <w:t>i</w:t>
      </w:r>
      <w:r w:rsidRPr="00191F9C">
        <w:rPr>
          <w:rFonts w:eastAsia="PMingLiU" w:cs="Calibri"/>
          <w:spacing w:val="43"/>
        </w:rPr>
        <w:t xml:space="preserve"> </w:t>
      </w:r>
      <w:r w:rsidRPr="00191F9C">
        <w:rPr>
          <w:rFonts w:eastAsia="PMingLiU" w:cs="Calibri"/>
        </w:rPr>
        <w:t>Sesvete</w:t>
      </w:r>
      <w:r w:rsidRPr="00191F9C">
        <w:rPr>
          <w:rFonts w:eastAsia="PMingLiU" w:cs="Calibri"/>
          <w:spacing w:val="34"/>
        </w:rPr>
        <w:t xml:space="preserve"> </w:t>
      </w:r>
      <w:r w:rsidRPr="00191F9C">
        <w:rPr>
          <w:rFonts w:eastAsia="PMingLiU" w:cs="Calibri"/>
        </w:rPr>
        <w:t>kao</w:t>
      </w:r>
      <w:r w:rsidRPr="00191F9C">
        <w:rPr>
          <w:rFonts w:eastAsia="PMingLiU" w:cs="Calibri"/>
          <w:spacing w:val="39"/>
        </w:rPr>
        <w:t xml:space="preserve"> </w:t>
      </w:r>
      <w:r w:rsidRPr="00191F9C">
        <w:rPr>
          <w:rFonts w:eastAsia="PMingLiU" w:cs="Calibri"/>
        </w:rPr>
        <w:t>urban</w:t>
      </w:r>
      <w:r w:rsidRPr="00191F9C">
        <w:rPr>
          <w:rFonts w:eastAsia="PMingLiU" w:cs="Calibri"/>
          <w:spacing w:val="1"/>
        </w:rPr>
        <w:t>i</w:t>
      </w:r>
      <w:r w:rsidRPr="00191F9C">
        <w:rPr>
          <w:rFonts w:eastAsia="PMingLiU" w:cs="Calibri"/>
        </w:rPr>
        <w:t>h jezgri</w:t>
      </w:r>
      <w:r w:rsidRPr="00191F9C">
        <w:rPr>
          <w:rFonts w:eastAsia="PMingLiU" w:cs="Calibri"/>
          <w:spacing w:val="23"/>
        </w:rPr>
        <w:t xml:space="preserve"> </w:t>
      </w:r>
      <w:r w:rsidRPr="00191F9C">
        <w:rPr>
          <w:rFonts w:eastAsia="PMingLiU" w:cs="Calibri"/>
          <w:spacing w:val="1"/>
        </w:rPr>
        <w:t>č</w:t>
      </w:r>
      <w:r w:rsidRPr="00191F9C">
        <w:rPr>
          <w:rFonts w:eastAsia="PMingLiU" w:cs="Calibri"/>
        </w:rPr>
        <w:t>iji</w:t>
      </w:r>
      <w:r w:rsidRPr="00191F9C">
        <w:rPr>
          <w:rFonts w:eastAsia="PMingLiU" w:cs="Calibri"/>
          <w:spacing w:val="26"/>
        </w:rPr>
        <w:t xml:space="preserve"> </w:t>
      </w:r>
      <w:r w:rsidRPr="00191F9C">
        <w:rPr>
          <w:rFonts w:eastAsia="PMingLiU" w:cs="Calibri"/>
        </w:rPr>
        <w:t>je</w:t>
      </w:r>
      <w:r w:rsidRPr="00191F9C">
        <w:rPr>
          <w:rFonts w:eastAsia="PMingLiU" w:cs="Calibri"/>
          <w:spacing w:val="26"/>
        </w:rPr>
        <w:t xml:space="preserve"> </w:t>
      </w:r>
      <w:r w:rsidRPr="00191F9C">
        <w:rPr>
          <w:rFonts w:eastAsia="PMingLiU" w:cs="Calibri"/>
        </w:rPr>
        <w:t>prostorni</w:t>
      </w:r>
      <w:r w:rsidRPr="00191F9C">
        <w:rPr>
          <w:rFonts w:eastAsia="PMingLiU" w:cs="Calibri"/>
          <w:spacing w:val="20"/>
        </w:rPr>
        <w:t xml:space="preserve"> </w:t>
      </w:r>
      <w:r w:rsidRPr="00191F9C">
        <w:rPr>
          <w:rFonts w:eastAsia="PMingLiU" w:cs="Calibri"/>
        </w:rPr>
        <w:t>r</w:t>
      </w:r>
      <w:r w:rsidRPr="00191F9C">
        <w:rPr>
          <w:rFonts w:eastAsia="PMingLiU" w:cs="Calibri"/>
          <w:spacing w:val="-1"/>
        </w:rPr>
        <w:t>a</w:t>
      </w:r>
      <w:r w:rsidRPr="00191F9C">
        <w:rPr>
          <w:rFonts w:eastAsia="PMingLiU" w:cs="Calibri"/>
        </w:rPr>
        <w:t>zvoj</w:t>
      </w:r>
      <w:r w:rsidRPr="00191F9C">
        <w:rPr>
          <w:rFonts w:eastAsia="PMingLiU" w:cs="Calibri"/>
          <w:spacing w:val="23"/>
        </w:rPr>
        <w:t xml:space="preserve"> </w:t>
      </w:r>
      <w:r w:rsidRPr="00191F9C">
        <w:rPr>
          <w:rFonts w:eastAsia="PMingLiU" w:cs="Calibri"/>
        </w:rPr>
        <w:t>definir</w:t>
      </w:r>
      <w:r w:rsidRPr="00191F9C">
        <w:rPr>
          <w:rFonts w:eastAsia="PMingLiU" w:cs="Calibri"/>
          <w:spacing w:val="-1"/>
        </w:rPr>
        <w:t>a</w:t>
      </w:r>
      <w:r w:rsidRPr="00191F9C">
        <w:rPr>
          <w:rFonts w:eastAsia="PMingLiU" w:cs="Calibri"/>
        </w:rPr>
        <w:t>n</w:t>
      </w:r>
      <w:r w:rsidRPr="00191F9C">
        <w:rPr>
          <w:rFonts w:eastAsia="PMingLiU" w:cs="Calibri"/>
          <w:spacing w:val="21"/>
        </w:rPr>
        <w:t xml:space="preserve"> </w:t>
      </w:r>
      <w:r w:rsidRPr="00191F9C">
        <w:rPr>
          <w:rFonts w:eastAsia="PMingLiU" w:cs="Calibri"/>
        </w:rPr>
        <w:t>generalnim</w:t>
      </w:r>
      <w:r w:rsidRPr="00191F9C">
        <w:rPr>
          <w:rFonts w:eastAsia="PMingLiU" w:cs="Calibri"/>
          <w:spacing w:val="18"/>
        </w:rPr>
        <w:t xml:space="preserve"> </w:t>
      </w:r>
      <w:r w:rsidRPr="00191F9C">
        <w:rPr>
          <w:rFonts w:eastAsia="PMingLiU" w:cs="Calibri"/>
        </w:rPr>
        <w:t>urbanist</w:t>
      </w:r>
      <w:r w:rsidRPr="00191F9C">
        <w:rPr>
          <w:rFonts w:eastAsia="PMingLiU" w:cs="Calibri"/>
          <w:spacing w:val="2"/>
        </w:rPr>
        <w:t>i</w:t>
      </w:r>
      <w:r w:rsidRPr="00191F9C">
        <w:rPr>
          <w:rFonts w:eastAsia="PMingLiU" w:cs="Calibri"/>
          <w:spacing w:val="-1"/>
        </w:rPr>
        <w:t>č</w:t>
      </w:r>
      <w:r w:rsidRPr="00191F9C">
        <w:rPr>
          <w:rFonts w:eastAsia="PMingLiU" w:cs="Calibri"/>
        </w:rPr>
        <w:t>kim</w:t>
      </w:r>
      <w:r w:rsidRPr="00191F9C">
        <w:rPr>
          <w:rFonts w:eastAsia="PMingLiU" w:cs="Calibri"/>
          <w:spacing w:val="16"/>
        </w:rPr>
        <w:t xml:space="preserve"> </w:t>
      </w:r>
      <w:r w:rsidRPr="00191F9C">
        <w:rPr>
          <w:rFonts w:eastAsia="PMingLiU" w:cs="Calibri"/>
        </w:rPr>
        <w:t>planovima</w:t>
      </w:r>
      <w:r w:rsidRPr="00191F9C">
        <w:rPr>
          <w:rFonts w:eastAsia="PMingLiU" w:cs="Calibri"/>
          <w:spacing w:val="19"/>
        </w:rPr>
        <w:t xml:space="preserve"> </w:t>
      </w:r>
      <w:r w:rsidRPr="00191F9C">
        <w:rPr>
          <w:rFonts w:eastAsia="PMingLiU" w:cs="Calibri"/>
        </w:rPr>
        <w:t>(iako</w:t>
      </w:r>
      <w:r w:rsidRPr="00191F9C">
        <w:rPr>
          <w:rFonts w:eastAsia="PMingLiU" w:cs="Calibri"/>
          <w:spacing w:val="24"/>
        </w:rPr>
        <w:t xml:space="preserve"> </w:t>
      </w:r>
      <w:r w:rsidRPr="00191F9C">
        <w:rPr>
          <w:rFonts w:eastAsia="PMingLiU" w:cs="Calibri"/>
        </w:rPr>
        <w:t>se</w:t>
      </w:r>
      <w:r w:rsidRPr="00191F9C">
        <w:rPr>
          <w:rFonts w:eastAsia="PMingLiU" w:cs="Calibri"/>
          <w:spacing w:val="26"/>
        </w:rPr>
        <w:t xml:space="preserve"> </w:t>
      </w:r>
      <w:r w:rsidRPr="00191F9C">
        <w:rPr>
          <w:rFonts w:eastAsia="PMingLiU" w:cs="Calibri"/>
        </w:rPr>
        <w:t>i</w:t>
      </w:r>
      <w:r w:rsidRPr="00191F9C">
        <w:rPr>
          <w:rFonts w:eastAsia="PMingLiU" w:cs="Calibri"/>
          <w:spacing w:val="28"/>
        </w:rPr>
        <w:t xml:space="preserve"> </w:t>
      </w:r>
      <w:r w:rsidRPr="00191F9C">
        <w:rPr>
          <w:rFonts w:eastAsia="PMingLiU" w:cs="Calibri"/>
        </w:rPr>
        <w:t>unut</w:t>
      </w:r>
      <w:r w:rsidRPr="00191F9C">
        <w:rPr>
          <w:rFonts w:eastAsia="PMingLiU" w:cs="Calibri"/>
          <w:spacing w:val="-1"/>
        </w:rPr>
        <w:t>a</w:t>
      </w:r>
      <w:r w:rsidRPr="00191F9C">
        <w:rPr>
          <w:rFonts w:eastAsia="PMingLiU" w:cs="Calibri"/>
        </w:rPr>
        <w:t>r njih</w:t>
      </w:r>
      <w:r w:rsidRPr="00191F9C">
        <w:rPr>
          <w:rFonts w:eastAsia="PMingLiU" w:cs="Calibri"/>
          <w:spacing w:val="10"/>
        </w:rPr>
        <w:t xml:space="preserve"> </w:t>
      </w:r>
      <w:r w:rsidRPr="00191F9C">
        <w:rPr>
          <w:rFonts w:eastAsia="PMingLiU" w:cs="Calibri"/>
        </w:rPr>
        <w:t>nalaze</w:t>
      </w:r>
      <w:r w:rsidRPr="00191F9C">
        <w:rPr>
          <w:rFonts w:eastAsia="PMingLiU" w:cs="Calibri"/>
          <w:spacing w:val="6"/>
        </w:rPr>
        <w:t xml:space="preserve"> </w:t>
      </w:r>
      <w:r w:rsidRPr="00191F9C">
        <w:rPr>
          <w:rFonts w:eastAsia="PMingLiU" w:cs="Calibri"/>
        </w:rPr>
        <w:t>prostori</w:t>
      </w:r>
      <w:r w:rsidRPr="00191F9C">
        <w:rPr>
          <w:rFonts w:eastAsia="PMingLiU" w:cs="Calibri"/>
          <w:spacing w:val="6"/>
        </w:rPr>
        <w:t xml:space="preserve"> </w:t>
      </w:r>
      <w:r w:rsidRPr="00191F9C">
        <w:rPr>
          <w:rFonts w:eastAsia="PMingLiU" w:cs="Calibri"/>
        </w:rPr>
        <w:t>t</w:t>
      </w:r>
      <w:r w:rsidRPr="00191F9C">
        <w:rPr>
          <w:rFonts w:eastAsia="PMingLiU" w:cs="Calibri"/>
          <w:spacing w:val="-1"/>
        </w:rPr>
        <w:t>r</w:t>
      </w:r>
      <w:r w:rsidRPr="00191F9C">
        <w:rPr>
          <w:rFonts w:eastAsia="PMingLiU" w:cs="Calibri"/>
        </w:rPr>
        <w:t>ansformacije iz</w:t>
      </w:r>
      <w:r w:rsidRPr="00191F9C">
        <w:rPr>
          <w:rFonts w:eastAsia="PMingLiU" w:cs="Calibri"/>
          <w:spacing w:val="12"/>
        </w:rPr>
        <w:t xml:space="preserve"> </w:t>
      </w:r>
      <w:r w:rsidRPr="00191F9C">
        <w:rPr>
          <w:rFonts w:eastAsia="PMingLiU" w:cs="Calibri"/>
        </w:rPr>
        <w:t>ruraln</w:t>
      </w:r>
      <w:r w:rsidRPr="00191F9C">
        <w:rPr>
          <w:rFonts w:eastAsia="PMingLiU" w:cs="Calibri"/>
          <w:spacing w:val="-1"/>
        </w:rPr>
        <w:t>o</w:t>
      </w:r>
      <w:r w:rsidRPr="00191F9C">
        <w:rPr>
          <w:rFonts w:eastAsia="PMingLiU" w:cs="Calibri"/>
        </w:rPr>
        <w:t>g,</w:t>
      </w:r>
      <w:r w:rsidRPr="00191F9C">
        <w:rPr>
          <w:rFonts w:eastAsia="PMingLiU" w:cs="Calibri"/>
          <w:spacing w:val="5"/>
        </w:rPr>
        <w:t xml:space="preserve"> </w:t>
      </w:r>
      <w:r w:rsidRPr="00191F9C">
        <w:rPr>
          <w:rFonts w:eastAsia="PMingLiU" w:cs="Calibri"/>
        </w:rPr>
        <w:t>odnosno</w:t>
      </w:r>
      <w:r w:rsidRPr="00191F9C">
        <w:rPr>
          <w:rFonts w:eastAsia="PMingLiU" w:cs="Calibri"/>
          <w:spacing w:val="3"/>
        </w:rPr>
        <w:t xml:space="preserve"> </w:t>
      </w:r>
      <w:r w:rsidRPr="00191F9C">
        <w:rPr>
          <w:rFonts w:eastAsia="PMingLiU" w:cs="Calibri"/>
        </w:rPr>
        <w:t>suburban</w:t>
      </w:r>
      <w:r w:rsidRPr="00191F9C">
        <w:rPr>
          <w:rFonts w:eastAsia="PMingLiU" w:cs="Calibri"/>
          <w:spacing w:val="-1"/>
        </w:rPr>
        <w:t>o</w:t>
      </w:r>
      <w:r w:rsidRPr="00191F9C">
        <w:rPr>
          <w:rFonts w:eastAsia="PMingLiU" w:cs="Calibri"/>
        </w:rPr>
        <w:t>g</w:t>
      </w:r>
      <w:r w:rsidRPr="00191F9C">
        <w:rPr>
          <w:rFonts w:eastAsia="PMingLiU" w:cs="Calibri"/>
          <w:spacing w:val="2"/>
        </w:rPr>
        <w:t xml:space="preserve"> </w:t>
      </w:r>
      <w:r w:rsidRPr="00191F9C">
        <w:rPr>
          <w:rFonts w:eastAsia="PMingLiU" w:cs="Calibri"/>
        </w:rPr>
        <w:t>u</w:t>
      </w:r>
      <w:r w:rsidRPr="00191F9C">
        <w:rPr>
          <w:rFonts w:eastAsia="PMingLiU" w:cs="Calibri"/>
          <w:spacing w:val="13"/>
        </w:rPr>
        <w:t xml:space="preserve"> </w:t>
      </w:r>
      <w:r w:rsidRPr="00191F9C">
        <w:rPr>
          <w:rFonts w:eastAsia="PMingLiU" w:cs="Calibri"/>
        </w:rPr>
        <w:t>urbano</w:t>
      </w:r>
      <w:r w:rsidRPr="00191F9C">
        <w:rPr>
          <w:rFonts w:eastAsia="PMingLiU" w:cs="Calibri"/>
          <w:spacing w:val="7"/>
        </w:rPr>
        <w:t xml:space="preserve"> </w:t>
      </w:r>
      <w:r w:rsidRPr="00191F9C">
        <w:rPr>
          <w:rFonts w:eastAsia="PMingLiU" w:cs="Calibri"/>
        </w:rPr>
        <w:t>a</w:t>
      </w:r>
      <w:r w:rsidRPr="00191F9C">
        <w:rPr>
          <w:rFonts w:eastAsia="PMingLiU" w:cs="Calibri"/>
          <w:spacing w:val="13"/>
        </w:rPr>
        <w:t xml:space="preserve"> </w:t>
      </w:r>
      <w:r w:rsidRPr="00191F9C">
        <w:rPr>
          <w:rFonts w:eastAsia="PMingLiU" w:cs="Calibri"/>
        </w:rPr>
        <w:t>koji</w:t>
      </w:r>
      <w:r w:rsidRPr="00191F9C">
        <w:rPr>
          <w:rFonts w:eastAsia="PMingLiU" w:cs="Calibri"/>
          <w:spacing w:val="11"/>
        </w:rPr>
        <w:t xml:space="preserve"> </w:t>
      </w:r>
      <w:r w:rsidRPr="00191F9C">
        <w:rPr>
          <w:rFonts w:eastAsia="PMingLiU" w:cs="Calibri"/>
        </w:rPr>
        <w:t>se ogledaju</w:t>
      </w:r>
      <w:r w:rsidRPr="00191F9C">
        <w:rPr>
          <w:rFonts w:eastAsia="PMingLiU" w:cs="Calibri"/>
          <w:spacing w:val="24"/>
        </w:rPr>
        <w:t xml:space="preserve"> </w:t>
      </w:r>
      <w:r w:rsidRPr="00191F9C">
        <w:rPr>
          <w:rFonts w:eastAsia="PMingLiU" w:cs="Calibri"/>
        </w:rPr>
        <w:t>u</w:t>
      </w:r>
      <w:r w:rsidRPr="00191F9C">
        <w:rPr>
          <w:rFonts w:eastAsia="PMingLiU" w:cs="Calibri"/>
          <w:spacing w:val="30"/>
        </w:rPr>
        <w:t xml:space="preserve"> </w:t>
      </w:r>
      <w:r w:rsidRPr="00191F9C">
        <w:rPr>
          <w:rFonts w:eastAsia="PMingLiU" w:cs="Calibri"/>
          <w:spacing w:val="-1"/>
        </w:rPr>
        <w:t>t</w:t>
      </w:r>
      <w:r w:rsidRPr="00191F9C">
        <w:rPr>
          <w:rFonts w:eastAsia="PMingLiU" w:cs="Calibri"/>
        </w:rPr>
        <w:t>ipologiji</w:t>
      </w:r>
      <w:r w:rsidRPr="00191F9C">
        <w:rPr>
          <w:rFonts w:eastAsia="PMingLiU" w:cs="Calibri"/>
          <w:spacing w:val="24"/>
        </w:rPr>
        <w:t xml:space="preserve"> </w:t>
      </w:r>
      <w:r w:rsidRPr="00191F9C">
        <w:rPr>
          <w:rFonts w:eastAsia="PMingLiU" w:cs="Calibri"/>
        </w:rPr>
        <w:t>gr</w:t>
      </w:r>
      <w:r w:rsidRPr="00191F9C">
        <w:rPr>
          <w:rFonts w:eastAsia="PMingLiU" w:cs="Calibri"/>
          <w:spacing w:val="-1"/>
        </w:rPr>
        <w:t>a</w:t>
      </w:r>
      <w:r w:rsidRPr="00191F9C">
        <w:rPr>
          <w:rFonts w:eastAsia="PMingLiU" w:cs="Calibri"/>
        </w:rPr>
        <w:t>dnje</w:t>
      </w:r>
      <w:r w:rsidRPr="00191F9C">
        <w:rPr>
          <w:rFonts w:eastAsia="PMingLiU" w:cs="Calibri"/>
          <w:spacing w:val="25"/>
        </w:rPr>
        <w:t xml:space="preserve"> </w:t>
      </w:r>
      <w:r w:rsidRPr="00191F9C">
        <w:rPr>
          <w:rFonts w:eastAsia="PMingLiU" w:cs="Calibri"/>
        </w:rPr>
        <w:t>i</w:t>
      </w:r>
      <w:r w:rsidRPr="00191F9C">
        <w:rPr>
          <w:rFonts w:eastAsia="PMingLiU" w:cs="Calibri"/>
          <w:spacing w:val="31"/>
        </w:rPr>
        <w:t xml:space="preserve"> </w:t>
      </w:r>
      <w:r w:rsidRPr="00191F9C">
        <w:rPr>
          <w:rFonts w:eastAsia="PMingLiU" w:cs="Calibri"/>
        </w:rPr>
        <w:t>koriš</w:t>
      </w:r>
      <w:r w:rsidRPr="00191F9C">
        <w:rPr>
          <w:rFonts w:eastAsia="PMingLiU" w:cs="Calibri"/>
          <w:spacing w:val="-1"/>
        </w:rPr>
        <w:t>t</w:t>
      </w:r>
      <w:r w:rsidRPr="00191F9C">
        <w:rPr>
          <w:rFonts w:eastAsia="PMingLiU" w:cs="Calibri"/>
        </w:rPr>
        <w:t>enju</w:t>
      </w:r>
      <w:r w:rsidRPr="00191F9C">
        <w:rPr>
          <w:rFonts w:eastAsia="PMingLiU" w:cs="Calibri"/>
          <w:spacing w:val="23"/>
        </w:rPr>
        <w:t xml:space="preserve"> </w:t>
      </w:r>
      <w:r w:rsidRPr="00191F9C">
        <w:rPr>
          <w:rFonts w:eastAsia="PMingLiU" w:cs="Calibri"/>
        </w:rPr>
        <w:t>prosto</w:t>
      </w:r>
      <w:r w:rsidRPr="00191F9C">
        <w:rPr>
          <w:rFonts w:eastAsia="PMingLiU" w:cs="Calibri"/>
          <w:spacing w:val="-1"/>
        </w:rPr>
        <w:t>r</w:t>
      </w:r>
      <w:r w:rsidRPr="00191F9C">
        <w:rPr>
          <w:rFonts w:eastAsia="PMingLiU" w:cs="Calibri"/>
        </w:rPr>
        <w:t>a</w:t>
      </w:r>
      <w:r w:rsidRPr="00191F9C">
        <w:rPr>
          <w:rFonts w:eastAsia="PMingLiU" w:cs="Calibri"/>
          <w:spacing w:val="25"/>
        </w:rPr>
        <w:t xml:space="preserve"> </w:t>
      </w:r>
      <w:r w:rsidRPr="00191F9C">
        <w:rPr>
          <w:rFonts w:eastAsia="PMingLiU" w:cs="Calibri"/>
        </w:rPr>
        <w:t>s</w:t>
      </w:r>
      <w:r w:rsidRPr="00191F9C">
        <w:rPr>
          <w:rFonts w:eastAsia="PMingLiU" w:cs="Calibri"/>
          <w:spacing w:val="32"/>
        </w:rPr>
        <w:t xml:space="preserve"> </w:t>
      </w:r>
      <w:r w:rsidRPr="00191F9C">
        <w:rPr>
          <w:rFonts w:eastAsia="PMingLiU" w:cs="Calibri"/>
        </w:rPr>
        <w:t>prisutnim</w:t>
      </w:r>
      <w:r w:rsidRPr="00191F9C">
        <w:rPr>
          <w:rFonts w:eastAsia="PMingLiU" w:cs="Calibri"/>
          <w:spacing w:val="23"/>
        </w:rPr>
        <w:t xml:space="preserve"> </w:t>
      </w:r>
      <w:r w:rsidRPr="00191F9C">
        <w:rPr>
          <w:rFonts w:eastAsia="PMingLiU" w:cs="Calibri"/>
        </w:rPr>
        <w:t>poljoprivrednim</w:t>
      </w:r>
      <w:r w:rsidRPr="00191F9C">
        <w:rPr>
          <w:rFonts w:eastAsia="PMingLiU" w:cs="Calibri"/>
          <w:spacing w:val="17"/>
        </w:rPr>
        <w:t xml:space="preserve"> </w:t>
      </w:r>
      <w:r w:rsidRPr="00191F9C">
        <w:rPr>
          <w:rFonts w:eastAsia="PMingLiU" w:cs="Calibri"/>
        </w:rPr>
        <w:t>parcelama</w:t>
      </w:r>
      <w:r w:rsidRPr="00191F9C">
        <w:rPr>
          <w:rFonts w:eastAsia="PMingLiU" w:cs="Calibri"/>
          <w:spacing w:val="22"/>
        </w:rPr>
        <w:t xml:space="preserve"> </w:t>
      </w:r>
      <w:r w:rsidRPr="00191F9C">
        <w:rPr>
          <w:rFonts w:eastAsia="PMingLiU" w:cs="Calibri"/>
        </w:rPr>
        <w:t>na kojima</w:t>
      </w:r>
      <w:r w:rsidRPr="00191F9C">
        <w:rPr>
          <w:rFonts w:eastAsia="PMingLiU" w:cs="Calibri"/>
          <w:spacing w:val="8"/>
        </w:rPr>
        <w:t xml:space="preserve"> </w:t>
      </w:r>
      <w:r w:rsidRPr="00191F9C">
        <w:rPr>
          <w:rFonts w:eastAsia="PMingLiU" w:cs="Calibri"/>
        </w:rPr>
        <w:t>se</w:t>
      </w:r>
      <w:r w:rsidRPr="00191F9C">
        <w:rPr>
          <w:rFonts w:eastAsia="PMingLiU" w:cs="Calibri"/>
          <w:spacing w:val="12"/>
        </w:rPr>
        <w:t xml:space="preserve"> </w:t>
      </w:r>
      <w:r w:rsidRPr="00191F9C">
        <w:rPr>
          <w:rFonts w:eastAsia="PMingLiU" w:cs="Calibri"/>
        </w:rPr>
        <w:t>još</w:t>
      </w:r>
      <w:r w:rsidRPr="00191F9C">
        <w:rPr>
          <w:rFonts w:eastAsia="PMingLiU" w:cs="Calibri"/>
          <w:spacing w:val="11"/>
        </w:rPr>
        <w:t xml:space="preserve"> </w:t>
      </w:r>
      <w:r w:rsidRPr="00191F9C">
        <w:rPr>
          <w:rFonts w:eastAsia="PMingLiU" w:cs="Calibri"/>
        </w:rPr>
        <w:t>uvijek,</w:t>
      </w:r>
      <w:r w:rsidRPr="00191F9C">
        <w:rPr>
          <w:rFonts w:eastAsia="PMingLiU" w:cs="Calibri"/>
          <w:spacing w:val="8"/>
        </w:rPr>
        <w:t xml:space="preserve"> </w:t>
      </w:r>
      <w:r w:rsidRPr="00191F9C">
        <w:rPr>
          <w:rFonts w:eastAsia="PMingLiU" w:cs="Calibri"/>
        </w:rPr>
        <w:t>ali</w:t>
      </w:r>
      <w:r w:rsidRPr="00191F9C">
        <w:rPr>
          <w:rFonts w:eastAsia="PMingLiU" w:cs="Calibri"/>
          <w:spacing w:val="12"/>
        </w:rPr>
        <w:t xml:space="preserve"> </w:t>
      </w:r>
      <w:r w:rsidRPr="00191F9C">
        <w:rPr>
          <w:rFonts w:eastAsia="PMingLiU" w:cs="Calibri"/>
        </w:rPr>
        <w:t>sve</w:t>
      </w:r>
      <w:r w:rsidRPr="00191F9C">
        <w:rPr>
          <w:rFonts w:eastAsia="PMingLiU" w:cs="Calibri"/>
          <w:spacing w:val="11"/>
        </w:rPr>
        <w:t xml:space="preserve"> </w:t>
      </w:r>
      <w:r w:rsidRPr="00191F9C">
        <w:rPr>
          <w:rFonts w:eastAsia="PMingLiU" w:cs="Calibri"/>
        </w:rPr>
        <w:t>manje</w:t>
      </w:r>
      <w:r w:rsidRPr="00191F9C">
        <w:rPr>
          <w:rFonts w:eastAsia="PMingLiU" w:cs="Calibri"/>
          <w:spacing w:val="9"/>
        </w:rPr>
        <w:t xml:space="preserve"> </w:t>
      </w:r>
      <w:r w:rsidRPr="00191F9C">
        <w:rPr>
          <w:rFonts w:eastAsia="PMingLiU" w:cs="Calibri"/>
        </w:rPr>
        <w:t>odvija</w:t>
      </w:r>
      <w:r w:rsidRPr="00191F9C">
        <w:rPr>
          <w:rFonts w:eastAsia="PMingLiU" w:cs="Calibri"/>
          <w:spacing w:val="9"/>
        </w:rPr>
        <w:t xml:space="preserve"> </w:t>
      </w:r>
      <w:r w:rsidRPr="00191F9C">
        <w:rPr>
          <w:rFonts w:eastAsia="PMingLiU" w:cs="Calibri"/>
        </w:rPr>
        <w:t>uzgoj</w:t>
      </w:r>
      <w:r w:rsidRPr="00191F9C">
        <w:rPr>
          <w:rFonts w:eastAsia="PMingLiU" w:cs="Calibri"/>
          <w:spacing w:val="9"/>
        </w:rPr>
        <w:t xml:space="preserve"> </w:t>
      </w:r>
      <w:r w:rsidRPr="00191F9C">
        <w:rPr>
          <w:rFonts w:eastAsia="PMingLiU" w:cs="Calibri"/>
        </w:rPr>
        <w:t>poljoprivrednih kultura).</w:t>
      </w:r>
      <w:r w:rsidRPr="00191F9C">
        <w:rPr>
          <w:rFonts w:eastAsia="PMingLiU" w:cs="Calibri"/>
          <w:spacing w:val="5"/>
        </w:rPr>
        <w:t xml:space="preserve"> </w:t>
      </w:r>
      <w:r w:rsidRPr="00191F9C">
        <w:rPr>
          <w:rFonts w:eastAsia="PMingLiU" w:cs="Calibri"/>
        </w:rPr>
        <w:t>Ruralni</w:t>
      </w:r>
      <w:r w:rsidRPr="00191F9C">
        <w:rPr>
          <w:rFonts w:eastAsia="PMingLiU" w:cs="Calibri"/>
          <w:spacing w:val="7"/>
        </w:rPr>
        <w:t xml:space="preserve"> </w:t>
      </w:r>
      <w:r w:rsidRPr="00191F9C">
        <w:rPr>
          <w:rFonts w:eastAsia="PMingLiU" w:cs="Calibri"/>
        </w:rPr>
        <w:t>i</w:t>
      </w:r>
      <w:r w:rsidRPr="00191F9C">
        <w:rPr>
          <w:rFonts w:eastAsia="PMingLiU" w:cs="Calibri"/>
          <w:spacing w:val="14"/>
        </w:rPr>
        <w:t xml:space="preserve"> </w:t>
      </w:r>
      <w:r w:rsidRPr="00191F9C">
        <w:rPr>
          <w:rFonts w:eastAsia="PMingLiU" w:cs="Calibri"/>
          <w:spacing w:val="2"/>
        </w:rPr>
        <w:t>s</w:t>
      </w:r>
      <w:r w:rsidRPr="00191F9C">
        <w:rPr>
          <w:rFonts w:eastAsia="PMingLiU" w:cs="Calibri"/>
        </w:rPr>
        <w:t>uburbani prostor</w:t>
      </w:r>
      <w:r w:rsidRPr="00191F9C">
        <w:rPr>
          <w:rFonts w:eastAsia="PMingLiU" w:cs="Calibri"/>
          <w:spacing w:val="18"/>
        </w:rPr>
        <w:t xml:space="preserve"> </w:t>
      </w:r>
      <w:r w:rsidRPr="00191F9C">
        <w:rPr>
          <w:rFonts w:eastAsia="PMingLiU" w:cs="Calibri"/>
        </w:rPr>
        <w:t>Grada</w:t>
      </w:r>
      <w:r w:rsidRPr="00191F9C">
        <w:rPr>
          <w:rFonts w:eastAsia="PMingLiU" w:cs="Calibri"/>
          <w:spacing w:val="19"/>
        </w:rPr>
        <w:t xml:space="preserve"> </w:t>
      </w:r>
      <w:r w:rsidRPr="00191F9C">
        <w:rPr>
          <w:rFonts w:eastAsia="PMingLiU" w:cs="Calibri"/>
        </w:rPr>
        <w:t>Zagreba</w:t>
      </w:r>
      <w:r w:rsidRPr="00191F9C">
        <w:rPr>
          <w:rFonts w:eastAsia="PMingLiU" w:cs="Calibri"/>
          <w:spacing w:val="17"/>
        </w:rPr>
        <w:t xml:space="preserve"> </w:t>
      </w:r>
      <w:r w:rsidRPr="00191F9C">
        <w:rPr>
          <w:rFonts w:eastAsia="PMingLiU" w:cs="Calibri"/>
        </w:rPr>
        <w:t>(izuzevši</w:t>
      </w:r>
      <w:r w:rsidRPr="00191F9C">
        <w:rPr>
          <w:rFonts w:eastAsia="PMingLiU" w:cs="Calibri"/>
          <w:spacing w:val="16"/>
        </w:rPr>
        <w:t xml:space="preserve"> </w:t>
      </w:r>
      <w:r w:rsidRPr="00191F9C">
        <w:rPr>
          <w:rFonts w:eastAsia="PMingLiU" w:cs="Calibri"/>
        </w:rPr>
        <w:t>p</w:t>
      </w:r>
      <w:r w:rsidRPr="00191F9C">
        <w:rPr>
          <w:rFonts w:eastAsia="PMingLiU" w:cs="Calibri"/>
          <w:spacing w:val="-1"/>
        </w:rPr>
        <w:t>r</w:t>
      </w:r>
      <w:r w:rsidRPr="00191F9C">
        <w:rPr>
          <w:rFonts w:eastAsia="PMingLiU" w:cs="Calibri"/>
        </w:rPr>
        <w:t>ostor</w:t>
      </w:r>
      <w:r w:rsidRPr="00191F9C">
        <w:rPr>
          <w:rFonts w:eastAsia="PMingLiU" w:cs="Calibri"/>
          <w:spacing w:val="18"/>
        </w:rPr>
        <w:t xml:space="preserve"> </w:t>
      </w:r>
      <w:r w:rsidRPr="00191F9C">
        <w:rPr>
          <w:rFonts w:eastAsia="PMingLiU" w:cs="Calibri"/>
        </w:rPr>
        <w:t>Parka</w:t>
      </w:r>
      <w:r w:rsidRPr="00191F9C">
        <w:rPr>
          <w:rFonts w:eastAsia="PMingLiU" w:cs="Calibri"/>
          <w:spacing w:val="19"/>
        </w:rPr>
        <w:t xml:space="preserve"> </w:t>
      </w:r>
      <w:r w:rsidRPr="00191F9C">
        <w:rPr>
          <w:rFonts w:eastAsia="PMingLiU" w:cs="Calibri"/>
        </w:rPr>
        <w:t>prirode</w:t>
      </w:r>
      <w:r w:rsidRPr="00191F9C">
        <w:rPr>
          <w:rFonts w:eastAsia="PMingLiU" w:cs="Calibri"/>
          <w:spacing w:val="18"/>
        </w:rPr>
        <w:t xml:space="preserve"> </w:t>
      </w:r>
      <w:r w:rsidRPr="00191F9C">
        <w:rPr>
          <w:rFonts w:eastAsia="PMingLiU" w:cs="Calibri"/>
        </w:rPr>
        <w:t>M</w:t>
      </w:r>
      <w:r w:rsidRPr="00191F9C">
        <w:rPr>
          <w:rFonts w:eastAsia="PMingLiU" w:cs="Calibri"/>
          <w:spacing w:val="1"/>
        </w:rPr>
        <w:t>e</w:t>
      </w:r>
      <w:r w:rsidRPr="00191F9C">
        <w:rPr>
          <w:rFonts w:eastAsia="PMingLiU" w:cs="Calibri"/>
        </w:rPr>
        <w:t>dvednica),</w:t>
      </w:r>
      <w:r w:rsidRPr="00191F9C">
        <w:rPr>
          <w:rFonts w:eastAsia="PMingLiU" w:cs="Calibri"/>
          <w:spacing w:val="12"/>
        </w:rPr>
        <w:t xml:space="preserve"> </w:t>
      </w:r>
      <w:r w:rsidRPr="00191F9C">
        <w:rPr>
          <w:rFonts w:eastAsia="PMingLiU" w:cs="Calibri"/>
        </w:rPr>
        <w:t>u</w:t>
      </w:r>
      <w:r w:rsidRPr="00191F9C">
        <w:rPr>
          <w:rFonts w:eastAsia="PMingLiU" w:cs="Calibri"/>
          <w:spacing w:val="24"/>
        </w:rPr>
        <w:t xml:space="preserve"> </w:t>
      </w:r>
      <w:r w:rsidRPr="00191F9C">
        <w:rPr>
          <w:rFonts w:eastAsia="PMingLiU" w:cs="Calibri"/>
        </w:rPr>
        <w:t>kojem</w:t>
      </w:r>
      <w:r w:rsidRPr="00191F9C">
        <w:rPr>
          <w:rFonts w:eastAsia="PMingLiU" w:cs="Calibri"/>
          <w:spacing w:val="19"/>
        </w:rPr>
        <w:t xml:space="preserve"> </w:t>
      </w:r>
      <w:r w:rsidRPr="00191F9C">
        <w:rPr>
          <w:rFonts w:eastAsia="PMingLiU" w:cs="Calibri"/>
        </w:rPr>
        <w:t>je</w:t>
      </w:r>
      <w:r w:rsidRPr="00191F9C">
        <w:rPr>
          <w:rFonts w:eastAsia="PMingLiU" w:cs="Calibri"/>
          <w:spacing w:val="23"/>
        </w:rPr>
        <w:t xml:space="preserve"> </w:t>
      </w:r>
      <w:r w:rsidRPr="00191F9C">
        <w:rPr>
          <w:rFonts w:eastAsia="PMingLiU" w:cs="Calibri"/>
        </w:rPr>
        <w:t>smješteno 68</w:t>
      </w:r>
      <w:r w:rsidRPr="00191F9C">
        <w:rPr>
          <w:rFonts w:eastAsia="PMingLiU" w:cs="Calibri"/>
          <w:spacing w:val="34"/>
        </w:rPr>
        <w:t xml:space="preserve"> </w:t>
      </w:r>
      <w:r w:rsidRPr="00191F9C">
        <w:rPr>
          <w:rFonts w:eastAsia="PMingLiU" w:cs="Calibri"/>
        </w:rPr>
        <w:t>naselja</w:t>
      </w:r>
      <w:r w:rsidRPr="00191F9C">
        <w:rPr>
          <w:rFonts w:eastAsia="PMingLiU" w:cs="Calibri"/>
          <w:spacing w:val="29"/>
        </w:rPr>
        <w:t xml:space="preserve"> </w:t>
      </w:r>
      <w:r w:rsidRPr="00191F9C">
        <w:rPr>
          <w:rFonts w:eastAsia="PMingLiU" w:cs="Calibri"/>
        </w:rPr>
        <w:t>ima</w:t>
      </w:r>
      <w:r w:rsidRPr="00191F9C">
        <w:rPr>
          <w:rFonts w:eastAsia="PMingLiU" w:cs="Calibri"/>
          <w:spacing w:val="33"/>
        </w:rPr>
        <w:t xml:space="preserve"> </w:t>
      </w:r>
      <w:r w:rsidRPr="00191F9C">
        <w:rPr>
          <w:rFonts w:eastAsia="PMingLiU" w:cs="Calibri"/>
        </w:rPr>
        <w:t>druga</w:t>
      </w:r>
      <w:r w:rsidRPr="00191F9C">
        <w:rPr>
          <w:rFonts w:eastAsia="PMingLiU" w:cs="Calibri"/>
          <w:spacing w:val="1"/>
        </w:rPr>
        <w:t>č</w:t>
      </w:r>
      <w:r w:rsidRPr="00191F9C">
        <w:rPr>
          <w:rFonts w:eastAsia="PMingLiU" w:cs="Calibri"/>
        </w:rPr>
        <w:t>iju</w:t>
      </w:r>
      <w:r w:rsidRPr="00191F9C">
        <w:rPr>
          <w:rFonts w:eastAsia="PMingLiU" w:cs="Calibri"/>
          <w:spacing w:val="27"/>
        </w:rPr>
        <w:t xml:space="preserve"> </w:t>
      </w:r>
      <w:r w:rsidRPr="00191F9C">
        <w:rPr>
          <w:rFonts w:eastAsia="PMingLiU" w:cs="Calibri"/>
        </w:rPr>
        <w:t>ulogu</w:t>
      </w:r>
      <w:r w:rsidRPr="00191F9C">
        <w:rPr>
          <w:rFonts w:eastAsia="PMingLiU" w:cs="Calibri"/>
          <w:spacing w:val="31"/>
        </w:rPr>
        <w:t xml:space="preserve"> </w:t>
      </w:r>
      <w:r w:rsidRPr="00191F9C">
        <w:rPr>
          <w:rFonts w:eastAsia="PMingLiU" w:cs="Calibri"/>
        </w:rPr>
        <w:t>i</w:t>
      </w:r>
      <w:r w:rsidRPr="00191F9C">
        <w:rPr>
          <w:rFonts w:eastAsia="PMingLiU" w:cs="Calibri"/>
          <w:spacing w:val="36"/>
        </w:rPr>
        <w:t xml:space="preserve"> </w:t>
      </w:r>
      <w:r w:rsidRPr="00191F9C">
        <w:rPr>
          <w:rFonts w:eastAsia="PMingLiU" w:cs="Calibri"/>
        </w:rPr>
        <w:t>važnost</w:t>
      </w:r>
      <w:r w:rsidRPr="00191F9C">
        <w:rPr>
          <w:rFonts w:eastAsia="PMingLiU" w:cs="Calibri"/>
          <w:spacing w:val="29"/>
        </w:rPr>
        <w:t xml:space="preserve"> </w:t>
      </w:r>
      <w:r w:rsidRPr="00191F9C">
        <w:rPr>
          <w:rFonts w:eastAsia="PMingLiU" w:cs="Calibri"/>
        </w:rPr>
        <w:t>od</w:t>
      </w:r>
      <w:r w:rsidRPr="00191F9C">
        <w:rPr>
          <w:rFonts w:eastAsia="PMingLiU" w:cs="Calibri"/>
          <w:spacing w:val="33"/>
        </w:rPr>
        <w:t xml:space="preserve"> </w:t>
      </w:r>
      <w:r w:rsidRPr="00191F9C">
        <w:rPr>
          <w:rFonts w:eastAsia="PMingLiU" w:cs="Calibri"/>
          <w:spacing w:val="-1"/>
        </w:rPr>
        <w:t>„</w:t>
      </w:r>
      <w:r w:rsidRPr="00191F9C">
        <w:rPr>
          <w:rFonts w:eastAsia="PMingLiU" w:cs="Calibri"/>
          <w:spacing w:val="1"/>
        </w:rPr>
        <w:t>k</w:t>
      </w:r>
      <w:r w:rsidRPr="00191F9C">
        <w:rPr>
          <w:rFonts w:eastAsia="PMingLiU" w:cs="Calibri"/>
        </w:rPr>
        <w:t>lasi</w:t>
      </w:r>
      <w:r w:rsidRPr="00191F9C">
        <w:rPr>
          <w:rFonts w:eastAsia="PMingLiU" w:cs="Calibri"/>
          <w:spacing w:val="1"/>
        </w:rPr>
        <w:t>č</w:t>
      </w:r>
      <w:r w:rsidRPr="00191F9C">
        <w:rPr>
          <w:rFonts w:eastAsia="PMingLiU" w:cs="Calibri"/>
        </w:rPr>
        <w:t>nog“</w:t>
      </w:r>
      <w:r w:rsidRPr="00191F9C">
        <w:rPr>
          <w:rFonts w:eastAsia="PMingLiU" w:cs="Calibri"/>
          <w:spacing w:val="26"/>
        </w:rPr>
        <w:t xml:space="preserve"> </w:t>
      </w:r>
      <w:r w:rsidRPr="00191F9C">
        <w:rPr>
          <w:rFonts w:eastAsia="PMingLiU" w:cs="Calibri"/>
          <w:spacing w:val="-1"/>
        </w:rPr>
        <w:t>r</w:t>
      </w:r>
      <w:r w:rsidRPr="00191F9C">
        <w:rPr>
          <w:rFonts w:eastAsia="PMingLiU" w:cs="Calibri"/>
        </w:rPr>
        <w:t>uralnog</w:t>
      </w:r>
      <w:r w:rsidRPr="00191F9C">
        <w:rPr>
          <w:rFonts w:eastAsia="PMingLiU" w:cs="Calibri"/>
          <w:spacing w:val="28"/>
        </w:rPr>
        <w:t xml:space="preserve"> </w:t>
      </w:r>
      <w:r w:rsidRPr="00191F9C">
        <w:rPr>
          <w:rFonts w:eastAsia="PMingLiU" w:cs="Calibri"/>
        </w:rPr>
        <w:t>pr</w:t>
      </w:r>
      <w:r w:rsidRPr="00191F9C">
        <w:rPr>
          <w:rFonts w:eastAsia="PMingLiU" w:cs="Calibri"/>
          <w:spacing w:val="-1"/>
        </w:rPr>
        <w:t>o</w:t>
      </w:r>
      <w:r w:rsidRPr="00191F9C">
        <w:rPr>
          <w:rFonts w:eastAsia="PMingLiU" w:cs="Calibri"/>
          <w:spacing w:val="1"/>
        </w:rPr>
        <w:t>s</w:t>
      </w:r>
      <w:r w:rsidRPr="00191F9C">
        <w:rPr>
          <w:rFonts w:eastAsia="PMingLiU" w:cs="Calibri"/>
        </w:rPr>
        <w:t>tora</w:t>
      </w:r>
      <w:r w:rsidRPr="00191F9C">
        <w:rPr>
          <w:rFonts w:eastAsia="PMingLiU" w:cs="Calibri"/>
          <w:spacing w:val="28"/>
        </w:rPr>
        <w:t xml:space="preserve"> </w:t>
      </w:r>
      <w:r w:rsidRPr="00191F9C">
        <w:rPr>
          <w:rFonts w:eastAsia="PMingLiU" w:cs="Calibri"/>
        </w:rPr>
        <w:t>Hrvatske.</w:t>
      </w:r>
      <w:r w:rsidRPr="00191F9C">
        <w:rPr>
          <w:rFonts w:eastAsia="PMingLiU" w:cs="Calibri"/>
          <w:spacing w:val="27"/>
        </w:rPr>
        <w:t xml:space="preserve"> </w:t>
      </w:r>
      <w:r w:rsidRPr="00191F9C">
        <w:rPr>
          <w:rFonts w:eastAsia="PMingLiU" w:cs="Calibri"/>
        </w:rPr>
        <w:t>To</w:t>
      </w:r>
      <w:r w:rsidRPr="00191F9C">
        <w:rPr>
          <w:rFonts w:eastAsia="PMingLiU" w:cs="Calibri"/>
          <w:spacing w:val="33"/>
        </w:rPr>
        <w:t xml:space="preserve"> </w:t>
      </w:r>
      <w:r w:rsidRPr="00191F9C">
        <w:rPr>
          <w:rFonts w:eastAsia="PMingLiU" w:cs="Calibri"/>
        </w:rPr>
        <w:t>je prostor</w:t>
      </w:r>
      <w:r w:rsidRPr="00191F9C">
        <w:rPr>
          <w:rFonts w:eastAsia="PMingLiU" w:cs="Calibri"/>
          <w:spacing w:val="31"/>
        </w:rPr>
        <w:t xml:space="preserve"> </w:t>
      </w:r>
      <w:r w:rsidRPr="00191F9C">
        <w:rPr>
          <w:rFonts w:eastAsia="PMingLiU" w:cs="Calibri"/>
        </w:rPr>
        <w:t>naselja</w:t>
      </w:r>
      <w:r w:rsidRPr="00191F9C">
        <w:rPr>
          <w:rFonts w:eastAsia="PMingLiU" w:cs="Calibri"/>
          <w:spacing w:val="31"/>
        </w:rPr>
        <w:t xml:space="preserve"> </w:t>
      </w:r>
      <w:r w:rsidRPr="00191F9C">
        <w:rPr>
          <w:rFonts w:eastAsia="PMingLiU" w:cs="Calibri"/>
        </w:rPr>
        <w:t>u</w:t>
      </w:r>
      <w:r w:rsidRPr="00191F9C">
        <w:rPr>
          <w:rFonts w:eastAsia="PMingLiU" w:cs="Calibri"/>
          <w:spacing w:val="37"/>
        </w:rPr>
        <w:t xml:space="preserve"> </w:t>
      </w:r>
      <w:r w:rsidRPr="00191F9C">
        <w:rPr>
          <w:rFonts w:eastAsia="PMingLiU" w:cs="Calibri"/>
        </w:rPr>
        <w:t>gradskim</w:t>
      </w:r>
      <w:r w:rsidRPr="00191F9C">
        <w:rPr>
          <w:rFonts w:eastAsia="PMingLiU" w:cs="Calibri"/>
          <w:spacing w:val="30"/>
        </w:rPr>
        <w:t xml:space="preserve"> </w:t>
      </w:r>
      <w:r w:rsidRPr="00191F9C">
        <w:rPr>
          <w:rFonts w:eastAsia="PMingLiU" w:cs="Calibri"/>
          <w:spacing w:val="1"/>
        </w:rPr>
        <w:t>č</w:t>
      </w:r>
      <w:r w:rsidRPr="00191F9C">
        <w:rPr>
          <w:rFonts w:eastAsia="PMingLiU" w:cs="Calibri"/>
        </w:rPr>
        <w:t>etvrtima</w:t>
      </w:r>
      <w:r w:rsidRPr="00191F9C">
        <w:rPr>
          <w:rFonts w:eastAsia="PMingLiU" w:cs="Calibri"/>
          <w:spacing w:val="30"/>
        </w:rPr>
        <w:t xml:space="preserve"> </w:t>
      </w:r>
      <w:r w:rsidRPr="00191F9C">
        <w:rPr>
          <w:rFonts w:eastAsia="PMingLiU" w:cs="Calibri"/>
        </w:rPr>
        <w:t>Brezovica</w:t>
      </w:r>
      <w:r w:rsidRPr="00191F9C">
        <w:rPr>
          <w:rFonts w:eastAsia="PMingLiU" w:cs="Calibri"/>
          <w:spacing w:val="28"/>
        </w:rPr>
        <w:t xml:space="preserve"> </w:t>
      </w:r>
      <w:r w:rsidRPr="00191F9C">
        <w:rPr>
          <w:rFonts w:eastAsia="PMingLiU" w:cs="Calibri"/>
        </w:rPr>
        <w:t>i</w:t>
      </w:r>
      <w:r w:rsidRPr="00191F9C">
        <w:rPr>
          <w:rFonts w:eastAsia="PMingLiU" w:cs="Calibri"/>
          <w:spacing w:val="39"/>
        </w:rPr>
        <w:t xml:space="preserve"> </w:t>
      </w:r>
      <w:r w:rsidRPr="00191F9C">
        <w:rPr>
          <w:rFonts w:eastAsia="PMingLiU" w:cs="Calibri"/>
        </w:rPr>
        <w:t>Sesvete,</w:t>
      </w:r>
      <w:r w:rsidRPr="00191F9C">
        <w:rPr>
          <w:rFonts w:eastAsia="PMingLiU" w:cs="Calibri"/>
          <w:spacing w:val="31"/>
        </w:rPr>
        <w:t xml:space="preserve"> </w:t>
      </w:r>
      <w:r w:rsidRPr="00191F9C">
        <w:rPr>
          <w:rFonts w:eastAsia="PMingLiU" w:cs="Calibri"/>
        </w:rPr>
        <w:t>zatim</w:t>
      </w:r>
      <w:r w:rsidRPr="00191F9C">
        <w:rPr>
          <w:rFonts w:eastAsia="PMingLiU" w:cs="Calibri"/>
          <w:spacing w:val="34"/>
        </w:rPr>
        <w:t xml:space="preserve"> </w:t>
      </w:r>
      <w:r w:rsidRPr="00191F9C">
        <w:rPr>
          <w:rFonts w:eastAsia="PMingLiU" w:cs="Calibri"/>
        </w:rPr>
        <w:t>južno</w:t>
      </w:r>
      <w:r w:rsidRPr="00191F9C">
        <w:rPr>
          <w:rFonts w:eastAsia="PMingLiU" w:cs="Calibri"/>
          <w:spacing w:val="32"/>
        </w:rPr>
        <w:t xml:space="preserve"> </w:t>
      </w:r>
      <w:r w:rsidRPr="00191F9C">
        <w:rPr>
          <w:rFonts w:eastAsia="PMingLiU" w:cs="Calibri"/>
        </w:rPr>
        <w:t>od</w:t>
      </w:r>
      <w:r w:rsidRPr="00191F9C">
        <w:rPr>
          <w:rFonts w:eastAsia="PMingLiU" w:cs="Calibri"/>
          <w:spacing w:val="36"/>
        </w:rPr>
        <w:t xml:space="preserve"> </w:t>
      </w:r>
      <w:r w:rsidRPr="00191F9C">
        <w:rPr>
          <w:rFonts w:eastAsia="PMingLiU" w:cs="Calibri"/>
        </w:rPr>
        <w:t>granice</w:t>
      </w:r>
      <w:r w:rsidRPr="00191F9C">
        <w:rPr>
          <w:rFonts w:eastAsia="PMingLiU" w:cs="Calibri"/>
          <w:spacing w:val="30"/>
        </w:rPr>
        <w:t xml:space="preserve"> </w:t>
      </w:r>
      <w:r w:rsidRPr="00191F9C">
        <w:rPr>
          <w:rFonts w:eastAsia="PMingLiU" w:cs="Calibri"/>
        </w:rPr>
        <w:t>naselja Zagreb</w:t>
      </w:r>
      <w:r w:rsidRPr="00191F9C">
        <w:rPr>
          <w:rFonts w:eastAsia="PMingLiU" w:cs="Calibri"/>
          <w:spacing w:val="-2"/>
        </w:rPr>
        <w:t xml:space="preserve"> </w:t>
      </w:r>
      <w:r w:rsidRPr="00191F9C">
        <w:rPr>
          <w:rFonts w:eastAsia="PMingLiU" w:cs="Calibri"/>
        </w:rPr>
        <w:t>u</w:t>
      </w:r>
      <w:r w:rsidRPr="00191F9C">
        <w:rPr>
          <w:rFonts w:eastAsia="PMingLiU" w:cs="Calibri"/>
          <w:spacing w:val="4"/>
        </w:rPr>
        <w:t xml:space="preserve"> </w:t>
      </w:r>
      <w:r w:rsidRPr="00191F9C">
        <w:rPr>
          <w:rFonts w:eastAsia="PMingLiU" w:cs="Calibri"/>
        </w:rPr>
        <w:t>gradskim</w:t>
      </w:r>
      <w:r w:rsidRPr="00191F9C">
        <w:rPr>
          <w:rFonts w:eastAsia="PMingLiU" w:cs="Calibri"/>
          <w:spacing w:val="-3"/>
        </w:rPr>
        <w:t xml:space="preserve"> </w:t>
      </w:r>
      <w:r w:rsidRPr="00191F9C">
        <w:rPr>
          <w:rFonts w:eastAsia="PMingLiU" w:cs="Calibri"/>
          <w:spacing w:val="1"/>
        </w:rPr>
        <w:t>č</w:t>
      </w:r>
      <w:r w:rsidRPr="00191F9C">
        <w:rPr>
          <w:rFonts w:eastAsia="PMingLiU" w:cs="Calibri"/>
        </w:rPr>
        <w:t>etvrtima</w:t>
      </w:r>
      <w:r w:rsidRPr="00191F9C">
        <w:rPr>
          <w:rFonts w:eastAsia="PMingLiU" w:cs="Calibri"/>
          <w:spacing w:val="-4"/>
        </w:rPr>
        <w:t xml:space="preserve"> </w:t>
      </w:r>
      <w:r w:rsidRPr="00191F9C">
        <w:rPr>
          <w:rFonts w:eastAsia="PMingLiU" w:cs="Calibri"/>
        </w:rPr>
        <w:t>Novi</w:t>
      </w:r>
      <w:r w:rsidRPr="00191F9C">
        <w:rPr>
          <w:rFonts w:eastAsia="PMingLiU" w:cs="Calibri"/>
          <w:spacing w:val="1"/>
        </w:rPr>
        <w:t xml:space="preserve"> </w:t>
      </w:r>
      <w:r w:rsidRPr="00191F9C">
        <w:rPr>
          <w:rFonts w:eastAsia="PMingLiU" w:cs="Calibri"/>
          <w:spacing w:val="2"/>
        </w:rPr>
        <w:t>Z</w:t>
      </w:r>
      <w:r w:rsidRPr="00191F9C">
        <w:rPr>
          <w:rFonts w:eastAsia="PMingLiU" w:cs="Calibri"/>
        </w:rPr>
        <w:t>agreb</w:t>
      </w:r>
      <w:r w:rsidRPr="00191F9C">
        <w:rPr>
          <w:rFonts w:eastAsia="PMingLiU" w:cs="Calibri"/>
          <w:spacing w:val="-2"/>
        </w:rPr>
        <w:t xml:space="preserve"> </w:t>
      </w:r>
      <w:r w:rsidRPr="00191F9C">
        <w:rPr>
          <w:rFonts w:eastAsia="PMingLiU" w:cs="Calibri"/>
        </w:rPr>
        <w:t>istok</w:t>
      </w:r>
      <w:r w:rsidRPr="00191F9C">
        <w:rPr>
          <w:rFonts w:eastAsia="PMingLiU" w:cs="Calibri"/>
          <w:spacing w:val="-1"/>
        </w:rPr>
        <w:t xml:space="preserve"> </w:t>
      </w:r>
      <w:r w:rsidRPr="00191F9C">
        <w:rPr>
          <w:rFonts w:eastAsia="PMingLiU" w:cs="Calibri"/>
        </w:rPr>
        <w:t>i</w:t>
      </w:r>
      <w:r w:rsidRPr="00191F9C">
        <w:rPr>
          <w:rFonts w:eastAsia="PMingLiU" w:cs="Calibri"/>
          <w:spacing w:val="4"/>
        </w:rPr>
        <w:t xml:space="preserve"> </w:t>
      </w:r>
      <w:r w:rsidRPr="00191F9C">
        <w:rPr>
          <w:rFonts w:eastAsia="PMingLiU" w:cs="Calibri"/>
        </w:rPr>
        <w:t>zapad,</w:t>
      </w:r>
      <w:r w:rsidRPr="00191F9C">
        <w:rPr>
          <w:rFonts w:eastAsia="PMingLiU" w:cs="Calibri"/>
          <w:spacing w:val="-2"/>
        </w:rPr>
        <w:t xml:space="preserve"> </w:t>
      </w:r>
      <w:r w:rsidRPr="00191F9C">
        <w:rPr>
          <w:rFonts w:eastAsia="PMingLiU" w:cs="Calibri"/>
        </w:rPr>
        <w:t>a</w:t>
      </w:r>
      <w:r w:rsidRPr="00191F9C">
        <w:rPr>
          <w:rFonts w:eastAsia="PMingLiU" w:cs="Calibri"/>
          <w:spacing w:val="4"/>
        </w:rPr>
        <w:t xml:space="preserve"> </w:t>
      </w:r>
      <w:r w:rsidRPr="00191F9C">
        <w:rPr>
          <w:rFonts w:eastAsia="PMingLiU" w:cs="Calibri"/>
        </w:rPr>
        <w:t>tu</w:t>
      </w:r>
      <w:r w:rsidRPr="00191F9C">
        <w:rPr>
          <w:rFonts w:eastAsia="PMingLiU" w:cs="Calibri"/>
          <w:spacing w:val="2"/>
        </w:rPr>
        <w:t xml:space="preserve"> </w:t>
      </w:r>
      <w:r w:rsidRPr="00191F9C">
        <w:rPr>
          <w:rFonts w:eastAsia="PMingLiU" w:cs="Calibri"/>
        </w:rPr>
        <w:t>se,</w:t>
      </w:r>
      <w:r w:rsidRPr="00191F9C">
        <w:rPr>
          <w:rFonts w:eastAsia="PMingLiU" w:cs="Calibri"/>
          <w:spacing w:val="2"/>
        </w:rPr>
        <w:t xml:space="preserve"> </w:t>
      </w:r>
      <w:r w:rsidRPr="00191F9C">
        <w:rPr>
          <w:rFonts w:eastAsia="PMingLiU" w:cs="Calibri"/>
        </w:rPr>
        <w:t>po</w:t>
      </w:r>
      <w:r w:rsidRPr="00191F9C">
        <w:rPr>
          <w:rFonts w:eastAsia="PMingLiU" w:cs="Calibri"/>
          <w:spacing w:val="3"/>
        </w:rPr>
        <w:t xml:space="preserve"> </w:t>
      </w:r>
      <w:r w:rsidRPr="00191F9C">
        <w:rPr>
          <w:rFonts w:eastAsia="PMingLiU" w:cs="Calibri"/>
        </w:rPr>
        <w:t>njih</w:t>
      </w:r>
      <w:r w:rsidRPr="00191F9C">
        <w:rPr>
          <w:rFonts w:eastAsia="PMingLiU" w:cs="Calibri"/>
          <w:spacing w:val="-1"/>
        </w:rPr>
        <w:t>ov</w:t>
      </w:r>
      <w:r w:rsidRPr="00191F9C">
        <w:rPr>
          <w:rFonts w:eastAsia="PMingLiU" w:cs="Calibri"/>
        </w:rPr>
        <w:t>om</w:t>
      </w:r>
      <w:r w:rsidRPr="00191F9C">
        <w:rPr>
          <w:rFonts w:eastAsia="PMingLiU" w:cs="Calibri"/>
          <w:spacing w:val="-4"/>
        </w:rPr>
        <w:t xml:space="preserve"> </w:t>
      </w:r>
      <w:r w:rsidRPr="00191F9C">
        <w:rPr>
          <w:rFonts w:eastAsia="PMingLiU" w:cs="Calibri"/>
        </w:rPr>
        <w:t>karakteru</w:t>
      </w:r>
      <w:r w:rsidRPr="00191F9C">
        <w:rPr>
          <w:rFonts w:eastAsia="PMingLiU" w:cs="Calibri"/>
          <w:spacing w:val="-4"/>
        </w:rPr>
        <w:t xml:space="preserve"> </w:t>
      </w:r>
      <w:r w:rsidRPr="00191F9C">
        <w:rPr>
          <w:rFonts w:eastAsia="PMingLiU" w:cs="Calibri"/>
        </w:rPr>
        <w:t>može uvrstiti</w:t>
      </w:r>
      <w:r w:rsidRPr="00191F9C">
        <w:rPr>
          <w:rFonts w:eastAsia="PMingLiU" w:cs="Calibri"/>
          <w:spacing w:val="29"/>
        </w:rPr>
        <w:t xml:space="preserve"> </w:t>
      </w:r>
      <w:r w:rsidRPr="00191F9C">
        <w:rPr>
          <w:rFonts w:eastAsia="PMingLiU" w:cs="Calibri"/>
        </w:rPr>
        <w:t>i</w:t>
      </w:r>
      <w:r w:rsidRPr="00191F9C">
        <w:rPr>
          <w:rFonts w:eastAsia="PMingLiU" w:cs="Calibri"/>
          <w:spacing w:val="35"/>
        </w:rPr>
        <w:t xml:space="preserve"> </w:t>
      </w:r>
      <w:r w:rsidRPr="00191F9C">
        <w:rPr>
          <w:rFonts w:eastAsia="PMingLiU" w:cs="Calibri"/>
        </w:rPr>
        <w:t>nekoliko</w:t>
      </w:r>
      <w:r w:rsidRPr="00191F9C">
        <w:rPr>
          <w:rFonts w:eastAsia="PMingLiU" w:cs="Calibri"/>
          <w:spacing w:val="27"/>
        </w:rPr>
        <w:t xml:space="preserve"> </w:t>
      </w:r>
      <w:r w:rsidRPr="00191F9C">
        <w:rPr>
          <w:rFonts w:eastAsia="PMingLiU" w:cs="Calibri"/>
        </w:rPr>
        <w:t>z</w:t>
      </w:r>
      <w:r w:rsidRPr="00191F9C">
        <w:rPr>
          <w:rFonts w:eastAsia="PMingLiU" w:cs="Calibri"/>
          <w:spacing w:val="-1"/>
        </w:rPr>
        <w:t>a</w:t>
      </w:r>
      <w:r w:rsidRPr="00191F9C">
        <w:rPr>
          <w:rFonts w:eastAsia="PMingLiU" w:cs="Calibri"/>
        </w:rPr>
        <w:t>selaka</w:t>
      </w:r>
      <w:r w:rsidRPr="00191F9C">
        <w:rPr>
          <w:rFonts w:eastAsia="PMingLiU" w:cs="Calibri"/>
          <w:spacing w:val="26"/>
        </w:rPr>
        <w:t xml:space="preserve"> </w:t>
      </w:r>
      <w:r w:rsidRPr="00191F9C">
        <w:rPr>
          <w:rFonts w:eastAsia="PMingLiU" w:cs="Calibri"/>
        </w:rPr>
        <w:t>krajnjeg</w:t>
      </w:r>
      <w:r w:rsidRPr="00191F9C">
        <w:rPr>
          <w:rFonts w:eastAsia="PMingLiU" w:cs="Calibri"/>
          <w:spacing w:val="25"/>
        </w:rPr>
        <w:t xml:space="preserve"> </w:t>
      </w:r>
      <w:r w:rsidRPr="00191F9C">
        <w:rPr>
          <w:rFonts w:eastAsia="PMingLiU" w:cs="Calibri"/>
        </w:rPr>
        <w:t>sjeverozapadnog</w:t>
      </w:r>
      <w:r w:rsidRPr="00191F9C">
        <w:rPr>
          <w:rFonts w:eastAsia="PMingLiU" w:cs="Calibri"/>
          <w:spacing w:val="18"/>
        </w:rPr>
        <w:t xml:space="preserve"> </w:t>
      </w:r>
      <w:r w:rsidRPr="00191F9C">
        <w:rPr>
          <w:rFonts w:eastAsia="PMingLiU" w:cs="Calibri"/>
        </w:rPr>
        <w:t>dijela</w:t>
      </w:r>
      <w:r w:rsidRPr="00191F9C">
        <w:rPr>
          <w:rFonts w:eastAsia="PMingLiU" w:cs="Calibri"/>
          <w:spacing w:val="28"/>
        </w:rPr>
        <w:t xml:space="preserve"> </w:t>
      </w:r>
      <w:r w:rsidRPr="00191F9C">
        <w:rPr>
          <w:rFonts w:eastAsia="PMingLiU" w:cs="Calibri"/>
        </w:rPr>
        <w:t>naselja</w:t>
      </w:r>
      <w:r w:rsidRPr="00191F9C">
        <w:rPr>
          <w:rFonts w:eastAsia="PMingLiU" w:cs="Calibri"/>
          <w:spacing w:val="28"/>
        </w:rPr>
        <w:t xml:space="preserve"> </w:t>
      </w:r>
      <w:r w:rsidRPr="00191F9C">
        <w:rPr>
          <w:rFonts w:eastAsia="PMingLiU" w:cs="Calibri"/>
        </w:rPr>
        <w:t>Zagreb,</w:t>
      </w:r>
      <w:r w:rsidRPr="00191F9C">
        <w:rPr>
          <w:rFonts w:eastAsia="PMingLiU" w:cs="Calibri"/>
          <w:spacing w:val="28"/>
        </w:rPr>
        <w:t xml:space="preserve"> </w:t>
      </w:r>
      <w:r w:rsidRPr="00191F9C">
        <w:rPr>
          <w:rFonts w:eastAsia="PMingLiU" w:cs="Calibri"/>
        </w:rPr>
        <w:t>koja</w:t>
      </w:r>
      <w:r w:rsidRPr="00191F9C">
        <w:rPr>
          <w:rFonts w:eastAsia="PMingLiU" w:cs="Calibri"/>
          <w:spacing w:val="31"/>
        </w:rPr>
        <w:t xml:space="preserve"> </w:t>
      </w:r>
      <w:r w:rsidRPr="00191F9C">
        <w:rPr>
          <w:rFonts w:eastAsia="PMingLiU" w:cs="Calibri"/>
        </w:rPr>
        <w:t>su</w:t>
      </w:r>
      <w:r w:rsidRPr="00191F9C">
        <w:rPr>
          <w:rFonts w:eastAsia="PMingLiU" w:cs="Calibri"/>
          <w:spacing w:val="33"/>
        </w:rPr>
        <w:t xml:space="preserve"> </w:t>
      </w:r>
      <w:r w:rsidRPr="00191F9C">
        <w:rPr>
          <w:rFonts w:eastAsia="PMingLiU" w:cs="Calibri"/>
        </w:rPr>
        <w:t>danas njegov</w:t>
      </w:r>
      <w:r w:rsidRPr="00191F9C">
        <w:rPr>
          <w:rFonts w:eastAsia="PMingLiU" w:cs="Calibri"/>
          <w:spacing w:val="-6"/>
        </w:rPr>
        <w:t xml:space="preserve"> </w:t>
      </w:r>
      <w:r w:rsidRPr="00191F9C">
        <w:rPr>
          <w:rFonts w:eastAsia="PMingLiU" w:cs="Calibri"/>
        </w:rPr>
        <w:t>sas</w:t>
      </w:r>
      <w:r w:rsidRPr="00191F9C">
        <w:rPr>
          <w:rFonts w:eastAsia="PMingLiU" w:cs="Calibri"/>
          <w:spacing w:val="-1"/>
        </w:rPr>
        <w:t>t</w:t>
      </w:r>
      <w:r w:rsidRPr="00191F9C">
        <w:rPr>
          <w:rFonts w:eastAsia="PMingLiU" w:cs="Calibri"/>
        </w:rPr>
        <w:t>avni</w:t>
      </w:r>
      <w:r w:rsidRPr="00191F9C">
        <w:rPr>
          <w:rFonts w:eastAsia="PMingLiU" w:cs="Calibri"/>
          <w:spacing w:val="-8"/>
        </w:rPr>
        <w:t xml:space="preserve"> </w:t>
      </w:r>
      <w:r w:rsidRPr="00191F9C">
        <w:rPr>
          <w:rFonts w:eastAsia="PMingLiU" w:cs="Calibri"/>
        </w:rPr>
        <w:t>dio</w:t>
      </w:r>
      <w:r w:rsidRPr="00191F9C">
        <w:rPr>
          <w:rFonts w:eastAsia="PMingLiU" w:cs="Calibri"/>
          <w:spacing w:val="-3"/>
        </w:rPr>
        <w:t xml:space="preserve"> </w:t>
      </w:r>
      <w:r w:rsidRPr="00191F9C">
        <w:rPr>
          <w:rFonts w:eastAsia="PMingLiU" w:cs="Calibri"/>
        </w:rPr>
        <w:t>(ali</w:t>
      </w:r>
      <w:r w:rsidRPr="00191F9C">
        <w:rPr>
          <w:rFonts w:eastAsia="PMingLiU" w:cs="Calibri"/>
          <w:spacing w:val="-3"/>
        </w:rPr>
        <w:t xml:space="preserve"> </w:t>
      </w:r>
      <w:r w:rsidRPr="00191F9C">
        <w:rPr>
          <w:rFonts w:eastAsia="PMingLiU" w:cs="Calibri"/>
        </w:rPr>
        <w:t>izvan</w:t>
      </w:r>
      <w:r w:rsidRPr="00191F9C">
        <w:rPr>
          <w:rFonts w:eastAsia="PMingLiU" w:cs="Calibri"/>
          <w:spacing w:val="-5"/>
        </w:rPr>
        <w:t xml:space="preserve"> </w:t>
      </w:r>
      <w:r w:rsidRPr="00191F9C">
        <w:rPr>
          <w:rFonts w:eastAsia="PMingLiU" w:cs="Calibri"/>
        </w:rPr>
        <w:t>granica</w:t>
      </w:r>
      <w:r w:rsidRPr="00191F9C">
        <w:rPr>
          <w:rFonts w:eastAsia="PMingLiU" w:cs="Calibri"/>
          <w:spacing w:val="-7"/>
        </w:rPr>
        <w:t xml:space="preserve"> </w:t>
      </w:r>
      <w:r w:rsidRPr="00191F9C">
        <w:rPr>
          <w:rFonts w:eastAsia="PMingLiU" w:cs="Calibri"/>
        </w:rPr>
        <w:t>Generalnog</w:t>
      </w:r>
      <w:r w:rsidRPr="00191F9C">
        <w:rPr>
          <w:rFonts w:eastAsia="PMingLiU" w:cs="Calibri"/>
          <w:spacing w:val="-11"/>
        </w:rPr>
        <w:t xml:space="preserve"> </w:t>
      </w:r>
      <w:r w:rsidRPr="00191F9C">
        <w:rPr>
          <w:rFonts w:eastAsia="PMingLiU" w:cs="Calibri"/>
        </w:rPr>
        <w:t>urbanist</w:t>
      </w:r>
      <w:r w:rsidRPr="00191F9C">
        <w:rPr>
          <w:rFonts w:eastAsia="PMingLiU" w:cs="Calibri"/>
          <w:spacing w:val="-1"/>
        </w:rPr>
        <w:t>ič</w:t>
      </w:r>
      <w:r w:rsidRPr="00191F9C">
        <w:rPr>
          <w:rFonts w:eastAsia="PMingLiU" w:cs="Calibri"/>
        </w:rPr>
        <w:t>kog</w:t>
      </w:r>
      <w:r w:rsidRPr="00191F9C">
        <w:rPr>
          <w:rFonts w:eastAsia="PMingLiU" w:cs="Calibri"/>
          <w:spacing w:val="-13"/>
        </w:rPr>
        <w:t xml:space="preserve"> </w:t>
      </w:r>
      <w:r w:rsidRPr="00191F9C">
        <w:rPr>
          <w:rFonts w:eastAsia="PMingLiU" w:cs="Calibri"/>
        </w:rPr>
        <w:t>plana</w:t>
      </w:r>
      <w:r w:rsidRPr="00191F9C">
        <w:rPr>
          <w:rFonts w:eastAsia="PMingLiU" w:cs="Calibri"/>
          <w:spacing w:val="-5"/>
        </w:rPr>
        <w:t xml:space="preserve"> </w:t>
      </w:r>
      <w:r w:rsidRPr="00191F9C">
        <w:rPr>
          <w:rFonts w:eastAsia="PMingLiU" w:cs="Calibri"/>
        </w:rPr>
        <w:t>g</w:t>
      </w:r>
      <w:r w:rsidRPr="00191F9C">
        <w:rPr>
          <w:rFonts w:eastAsia="PMingLiU" w:cs="Calibri"/>
          <w:spacing w:val="-1"/>
        </w:rPr>
        <w:t>r</w:t>
      </w:r>
      <w:r w:rsidRPr="00191F9C">
        <w:rPr>
          <w:rFonts w:eastAsia="PMingLiU" w:cs="Calibri"/>
        </w:rPr>
        <w:t>ada</w:t>
      </w:r>
      <w:r w:rsidRPr="00191F9C">
        <w:rPr>
          <w:rFonts w:eastAsia="PMingLiU" w:cs="Calibri"/>
          <w:spacing w:val="-6"/>
        </w:rPr>
        <w:t xml:space="preserve"> </w:t>
      </w:r>
      <w:r w:rsidRPr="00191F9C">
        <w:rPr>
          <w:rFonts w:eastAsia="PMingLiU" w:cs="Calibri"/>
        </w:rPr>
        <w:t>Zagreba). Posebnost</w:t>
      </w:r>
      <w:r w:rsidRPr="00191F9C">
        <w:rPr>
          <w:rFonts w:eastAsia="PMingLiU" w:cs="Calibri"/>
          <w:spacing w:val="-9"/>
        </w:rPr>
        <w:t xml:space="preserve"> </w:t>
      </w:r>
      <w:r w:rsidRPr="00191F9C">
        <w:rPr>
          <w:rFonts w:eastAsia="PMingLiU" w:cs="Calibri"/>
          <w:spacing w:val="-1"/>
        </w:rPr>
        <w:t>p</w:t>
      </w:r>
      <w:r w:rsidRPr="00191F9C">
        <w:rPr>
          <w:rFonts w:eastAsia="PMingLiU" w:cs="Calibri"/>
        </w:rPr>
        <w:t>rostora</w:t>
      </w:r>
      <w:r w:rsidRPr="00191F9C">
        <w:rPr>
          <w:rFonts w:eastAsia="PMingLiU" w:cs="Calibri"/>
          <w:spacing w:val="-7"/>
        </w:rPr>
        <w:t xml:space="preserve"> </w:t>
      </w:r>
      <w:r w:rsidRPr="00191F9C">
        <w:rPr>
          <w:rFonts w:eastAsia="PMingLiU" w:cs="Calibri"/>
        </w:rPr>
        <w:t>temelji</w:t>
      </w:r>
      <w:r w:rsidRPr="00191F9C">
        <w:rPr>
          <w:rFonts w:eastAsia="PMingLiU" w:cs="Calibri"/>
          <w:spacing w:val="-4"/>
        </w:rPr>
        <w:t xml:space="preserve"> </w:t>
      </w:r>
      <w:r w:rsidRPr="00191F9C">
        <w:rPr>
          <w:rFonts w:eastAsia="PMingLiU" w:cs="Calibri"/>
        </w:rPr>
        <w:t>se</w:t>
      </w:r>
      <w:r w:rsidRPr="00191F9C">
        <w:rPr>
          <w:rFonts w:eastAsia="PMingLiU" w:cs="Calibri"/>
          <w:spacing w:val="-1"/>
        </w:rPr>
        <w:t xml:space="preserve"> </w:t>
      </w:r>
      <w:r w:rsidRPr="00191F9C">
        <w:rPr>
          <w:rFonts w:eastAsia="PMingLiU" w:cs="Calibri"/>
        </w:rPr>
        <w:t>na</w:t>
      </w:r>
      <w:r w:rsidRPr="00191F9C">
        <w:rPr>
          <w:rFonts w:eastAsia="PMingLiU" w:cs="Calibri"/>
          <w:spacing w:val="-2"/>
        </w:rPr>
        <w:t xml:space="preserve"> </w:t>
      </w:r>
      <w:r w:rsidRPr="00191F9C">
        <w:rPr>
          <w:rFonts w:eastAsia="PMingLiU" w:cs="Calibri"/>
        </w:rPr>
        <w:t>mreži</w:t>
      </w:r>
      <w:r w:rsidRPr="00191F9C">
        <w:rPr>
          <w:rFonts w:eastAsia="PMingLiU" w:cs="Calibri"/>
          <w:spacing w:val="-4"/>
        </w:rPr>
        <w:t xml:space="preserve"> </w:t>
      </w:r>
      <w:r w:rsidRPr="00191F9C">
        <w:rPr>
          <w:rFonts w:eastAsia="PMingLiU" w:cs="Calibri"/>
        </w:rPr>
        <w:t>relativno</w:t>
      </w:r>
      <w:r w:rsidRPr="00191F9C">
        <w:rPr>
          <w:rFonts w:eastAsia="PMingLiU" w:cs="Calibri"/>
          <w:spacing w:val="-7"/>
        </w:rPr>
        <w:t xml:space="preserve"> </w:t>
      </w:r>
      <w:r w:rsidRPr="00191F9C">
        <w:rPr>
          <w:rFonts w:eastAsia="PMingLiU" w:cs="Calibri"/>
        </w:rPr>
        <w:t>malih</w:t>
      </w:r>
      <w:r w:rsidRPr="00191F9C">
        <w:rPr>
          <w:rFonts w:eastAsia="PMingLiU" w:cs="Calibri"/>
          <w:spacing w:val="-4"/>
        </w:rPr>
        <w:t xml:space="preserve"> </w:t>
      </w:r>
      <w:r w:rsidRPr="00191F9C">
        <w:rPr>
          <w:rFonts w:eastAsia="PMingLiU" w:cs="Calibri"/>
        </w:rPr>
        <w:t>samos</w:t>
      </w:r>
      <w:r w:rsidRPr="00191F9C">
        <w:rPr>
          <w:rFonts w:eastAsia="PMingLiU" w:cs="Calibri"/>
          <w:spacing w:val="-1"/>
        </w:rPr>
        <w:t>t</w:t>
      </w:r>
      <w:r w:rsidRPr="00191F9C">
        <w:rPr>
          <w:rFonts w:eastAsia="PMingLiU" w:cs="Calibri"/>
        </w:rPr>
        <w:t>alnih</w:t>
      </w:r>
      <w:r w:rsidRPr="00191F9C">
        <w:rPr>
          <w:rFonts w:eastAsia="PMingLiU" w:cs="Calibri"/>
          <w:spacing w:val="-11"/>
        </w:rPr>
        <w:t xml:space="preserve"> </w:t>
      </w:r>
      <w:r w:rsidRPr="00191F9C">
        <w:rPr>
          <w:rFonts w:eastAsia="PMingLiU" w:cs="Calibri"/>
        </w:rPr>
        <w:t>nas</w:t>
      </w:r>
      <w:r w:rsidRPr="00191F9C">
        <w:rPr>
          <w:rFonts w:eastAsia="PMingLiU" w:cs="Calibri"/>
          <w:spacing w:val="-1"/>
        </w:rPr>
        <w:t>e</w:t>
      </w:r>
      <w:r w:rsidRPr="00191F9C">
        <w:rPr>
          <w:rFonts w:eastAsia="PMingLiU" w:cs="Calibri"/>
        </w:rPr>
        <w:t>lja</w:t>
      </w:r>
      <w:r w:rsidRPr="00191F9C">
        <w:rPr>
          <w:rFonts w:eastAsia="PMingLiU" w:cs="Calibri"/>
          <w:spacing w:val="-7"/>
        </w:rPr>
        <w:t xml:space="preserve"> </w:t>
      </w:r>
      <w:r w:rsidRPr="00191F9C">
        <w:rPr>
          <w:rFonts w:eastAsia="PMingLiU" w:cs="Calibri"/>
        </w:rPr>
        <w:t>i njihovih</w:t>
      </w:r>
      <w:r w:rsidRPr="00191F9C">
        <w:rPr>
          <w:rFonts w:eastAsia="PMingLiU" w:cs="Calibri"/>
          <w:spacing w:val="-6"/>
        </w:rPr>
        <w:t xml:space="preserve"> </w:t>
      </w:r>
      <w:r w:rsidRPr="00191F9C">
        <w:rPr>
          <w:rFonts w:eastAsia="PMingLiU" w:cs="Calibri"/>
        </w:rPr>
        <w:t>z</w:t>
      </w:r>
      <w:r w:rsidRPr="00191F9C">
        <w:rPr>
          <w:rFonts w:eastAsia="PMingLiU" w:cs="Calibri"/>
          <w:spacing w:val="-1"/>
        </w:rPr>
        <w:t>a</w:t>
      </w:r>
      <w:r w:rsidRPr="00191F9C">
        <w:rPr>
          <w:rFonts w:eastAsia="PMingLiU" w:cs="Calibri"/>
        </w:rPr>
        <w:t>selaka, s</w:t>
      </w:r>
      <w:r w:rsidRPr="00191F9C">
        <w:rPr>
          <w:rFonts w:eastAsia="PMingLiU" w:cs="Calibri"/>
          <w:spacing w:val="14"/>
        </w:rPr>
        <w:t xml:space="preserve"> </w:t>
      </w:r>
      <w:r w:rsidRPr="00191F9C">
        <w:rPr>
          <w:rFonts w:eastAsia="PMingLiU" w:cs="Calibri"/>
        </w:rPr>
        <w:t>p</w:t>
      </w:r>
      <w:r w:rsidRPr="00191F9C">
        <w:rPr>
          <w:rFonts w:eastAsia="PMingLiU" w:cs="Calibri"/>
          <w:spacing w:val="-1"/>
        </w:rPr>
        <w:t>o</w:t>
      </w:r>
      <w:r w:rsidRPr="00191F9C">
        <w:rPr>
          <w:rFonts w:eastAsia="PMingLiU" w:cs="Calibri"/>
        </w:rPr>
        <w:t>ljoprivrednom proizvodnjom</w:t>
      </w:r>
      <w:r w:rsidRPr="00191F9C">
        <w:rPr>
          <w:rFonts w:eastAsia="PMingLiU" w:cs="Calibri"/>
          <w:spacing w:val="3"/>
        </w:rPr>
        <w:t xml:space="preserve"> </w:t>
      </w:r>
      <w:r w:rsidRPr="00191F9C">
        <w:rPr>
          <w:rFonts w:eastAsia="PMingLiU" w:cs="Calibri"/>
        </w:rPr>
        <w:t>kao</w:t>
      </w:r>
      <w:r w:rsidRPr="00191F9C">
        <w:rPr>
          <w:rFonts w:eastAsia="PMingLiU" w:cs="Calibri"/>
          <w:spacing w:val="12"/>
        </w:rPr>
        <w:t xml:space="preserve"> </w:t>
      </w:r>
      <w:r w:rsidRPr="00191F9C">
        <w:rPr>
          <w:rFonts w:eastAsia="PMingLiU" w:cs="Calibri"/>
        </w:rPr>
        <w:t>tradici</w:t>
      </w:r>
      <w:r w:rsidRPr="00191F9C">
        <w:rPr>
          <w:rFonts w:eastAsia="PMingLiU" w:cs="Calibri"/>
          <w:spacing w:val="-1"/>
        </w:rPr>
        <w:t>o</w:t>
      </w:r>
      <w:r w:rsidRPr="00191F9C">
        <w:rPr>
          <w:rFonts w:eastAsia="PMingLiU" w:cs="Calibri"/>
        </w:rPr>
        <w:t>naln</w:t>
      </w:r>
      <w:r w:rsidRPr="00191F9C">
        <w:rPr>
          <w:rFonts w:eastAsia="PMingLiU" w:cs="Calibri"/>
          <w:spacing w:val="1"/>
        </w:rPr>
        <w:t>o</w:t>
      </w:r>
      <w:r w:rsidRPr="00191F9C">
        <w:rPr>
          <w:rFonts w:eastAsia="PMingLiU" w:cs="Calibri"/>
        </w:rPr>
        <w:t>m obliku</w:t>
      </w:r>
      <w:r w:rsidRPr="00191F9C">
        <w:rPr>
          <w:rFonts w:eastAsia="PMingLiU" w:cs="Calibri"/>
          <w:spacing w:val="-4"/>
        </w:rPr>
        <w:t xml:space="preserve"> </w:t>
      </w:r>
      <w:r w:rsidRPr="00191F9C">
        <w:rPr>
          <w:rFonts w:eastAsia="PMingLiU" w:cs="Calibri"/>
        </w:rPr>
        <w:t>gos</w:t>
      </w:r>
      <w:r w:rsidRPr="00191F9C">
        <w:rPr>
          <w:rFonts w:eastAsia="PMingLiU" w:cs="Calibri"/>
          <w:spacing w:val="-1"/>
        </w:rPr>
        <w:t>p</w:t>
      </w:r>
      <w:r w:rsidRPr="00191F9C">
        <w:rPr>
          <w:rFonts w:eastAsia="PMingLiU" w:cs="Calibri"/>
        </w:rPr>
        <w:t>odarstva.</w:t>
      </w:r>
      <w:r w:rsidRPr="00191F9C">
        <w:rPr>
          <w:rFonts w:eastAsia="PMingLiU" w:cs="Calibri"/>
          <w:spacing w:val="-10"/>
        </w:rPr>
        <w:t xml:space="preserve"> </w:t>
      </w:r>
      <w:r w:rsidRPr="00191F9C">
        <w:rPr>
          <w:rFonts w:eastAsia="PMingLiU" w:cs="Calibri"/>
        </w:rPr>
        <w:t>Neka</w:t>
      </w:r>
      <w:r w:rsidRPr="00191F9C">
        <w:rPr>
          <w:rFonts w:eastAsia="PMingLiU" w:cs="Calibri"/>
          <w:spacing w:val="-1"/>
        </w:rPr>
        <w:t xml:space="preserve"> </w:t>
      </w:r>
      <w:r w:rsidRPr="00191F9C">
        <w:rPr>
          <w:rFonts w:eastAsia="PMingLiU" w:cs="Calibri"/>
        </w:rPr>
        <w:t>od</w:t>
      </w:r>
      <w:r w:rsidRPr="00191F9C">
        <w:rPr>
          <w:rFonts w:eastAsia="PMingLiU" w:cs="Calibri"/>
          <w:spacing w:val="2"/>
        </w:rPr>
        <w:t xml:space="preserve"> </w:t>
      </w:r>
      <w:r w:rsidRPr="00191F9C">
        <w:rPr>
          <w:rFonts w:eastAsia="PMingLiU" w:cs="Calibri"/>
          <w:spacing w:val="-1"/>
        </w:rPr>
        <w:t>o</w:t>
      </w:r>
      <w:r w:rsidRPr="00191F9C">
        <w:rPr>
          <w:rFonts w:eastAsia="PMingLiU" w:cs="Calibri"/>
        </w:rPr>
        <w:t>bilježja</w:t>
      </w:r>
      <w:r w:rsidRPr="00191F9C">
        <w:rPr>
          <w:rFonts w:eastAsia="PMingLiU" w:cs="Calibri"/>
          <w:spacing w:val="-4"/>
        </w:rPr>
        <w:t xml:space="preserve"> </w:t>
      </w:r>
      <w:r w:rsidRPr="00191F9C">
        <w:rPr>
          <w:rFonts w:eastAsia="PMingLiU" w:cs="Calibri"/>
        </w:rPr>
        <w:t>razvoj</w:t>
      </w:r>
      <w:r w:rsidRPr="00191F9C">
        <w:rPr>
          <w:rFonts w:eastAsia="PMingLiU" w:cs="Calibri"/>
          <w:spacing w:val="-1"/>
        </w:rPr>
        <w:t>n</w:t>
      </w:r>
      <w:r w:rsidRPr="00191F9C">
        <w:rPr>
          <w:rFonts w:eastAsia="PMingLiU" w:cs="Calibri"/>
        </w:rPr>
        <w:t>og</w:t>
      </w:r>
      <w:r w:rsidRPr="00191F9C">
        <w:rPr>
          <w:rFonts w:eastAsia="PMingLiU" w:cs="Calibri"/>
          <w:spacing w:val="-6"/>
        </w:rPr>
        <w:t xml:space="preserve"> </w:t>
      </w:r>
      <w:r w:rsidRPr="00191F9C">
        <w:rPr>
          <w:rFonts w:eastAsia="PMingLiU" w:cs="Calibri"/>
        </w:rPr>
        <w:t>potencij</w:t>
      </w:r>
      <w:r w:rsidRPr="00191F9C">
        <w:rPr>
          <w:rFonts w:eastAsia="PMingLiU" w:cs="Calibri"/>
          <w:spacing w:val="-1"/>
        </w:rPr>
        <w:t>a</w:t>
      </w:r>
      <w:r w:rsidRPr="00191F9C">
        <w:rPr>
          <w:rFonts w:eastAsia="PMingLiU" w:cs="Calibri"/>
        </w:rPr>
        <w:t>la</w:t>
      </w:r>
      <w:r w:rsidRPr="00191F9C">
        <w:rPr>
          <w:rFonts w:eastAsia="PMingLiU" w:cs="Calibri"/>
          <w:spacing w:val="-7"/>
        </w:rPr>
        <w:t xml:space="preserve"> </w:t>
      </w:r>
      <w:r w:rsidRPr="00191F9C">
        <w:rPr>
          <w:rFonts w:eastAsia="PMingLiU" w:cs="Calibri"/>
        </w:rPr>
        <w:t>te</w:t>
      </w:r>
      <w:r w:rsidRPr="00191F9C">
        <w:rPr>
          <w:rFonts w:eastAsia="PMingLiU" w:cs="Calibri"/>
          <w:spacing w:val="2"/>
        </w:rPr>
        <w:t xml:space="preserve"> </w:t>
      </w:r>
      <w:r w:rsidRPr="00191F9C">
        <w:rPr>
          <w:rFonts w:eastAsia="PMingLiU" w:cs="Calibri"/>
        </w:rPr>
        <w:t>pr</w:t>
      </w:r>
      <w:r w:rsidRPr="00191F9C">
        <w:rPr>
          <w:rFonts w:eastAsia="PMingLiU" w:cs="Calibri"/>
          <w:spacing w:val="-1"/>
        </w:rPr>
        <w:t>o</w:t>
      </w:r>
      <w:r w:rsidRPr="00191F9C">
        <w:rPr>
          <w:rFonts w:eastAsia="PMingLiU" w:cs="Calibri"/>
        </w:rPr>
        <w:t>izvodnje</w:t>
      </w:r>
      <w:r w:rsidRPr="00191F9C">
        <w:rPr>
          <w:rFonts w:eastAsia="PMingLiU" w:cs="Calibri"/>
          <w:spacing w:val="-7"/>
        </w:rPr>
        <w:t xml:space="preserve"> </w:t>
      </w:r>
      <w:r w:rsidRPr="00191F9C">
        <w:rPr>
          <w:rFonts w:eastAsia="PMingLiU" w:cs="Calibri"/>
        </w:rPr>
        <w:t>su</w:t>
      </w:r>
      <w:r w:rsidRPr="00191F9C">
        <w:rPr>
          <w:rFonts w:eastAsia="PMingLiU" w:cs="Calibri"/>
          <w:spacing w:val="1"/>
        </w:rPr>
        <w:t xml:space="preserve"> </w:t>
      </w:r>
      <w:r w:rsidRPr="00191F9C">
        <w:rPr>
          <w:rFonts w:eastAsia="PMingLiU" w:cs="Calibri"/>
        </w:rPr>
        <w:t>blizina</w:t>
      </w:r>
      <w:r w:rsidRPr="00191F9C">
        <w:rPr>
          <w:rFonts w:eastAsia="PMingLiU" w:cs="Calibri"/>
          <w:spacing w:val="-2"/>
        </w:rPr>
        <w:t xml:space="preserve"> </w:t>
      </w:r>
      <w:r w:rsidRPr="00191F9C">
        <w:rPr>
          <w:rFonts w:eastAsia="PMingLiU" w:cs="Calibri"/>
        </w:rPr>
        <w:t>velikog</w:t>
      </w:r>
      <w:r w:rsidRPr="00191F9C">
        <w:rPr>
          <w:rFonts w:eastAsia="PMingLiU" w:cs="Calibri"/>
          <w:spacing w:val="-7"/>
        </w:rPr>
        <w:t xml:space="preserve"> </w:t>
      </w:r>
      <w:r w:rsidRPr="00191F9C">
        <w:rPr>
          <w:rFonts w:eastAsia="PMingLiU" w:cs="Calibri"/>
        </w:rPr>
        <w:t>i</w:t>
      </w:r>
      <w:r w:rsidRPr="00191F9C">
        <w:rPr>
          <w:rFonts w:eastAsia="PMingLiU" w:cs="Calibri"/>
          <w:spacing w:val="24"/>
        </w:rPr>
        <w:t xml:space="preserve"> </w:t>
      </w:r>
      <w:r w:rsidRPr="00191F9C">
        <w:rPr>
          <w:rFonts w:eastAsia="PMingLiU" w:cs="Calibri"/>
        </w:rPr>
        <w:t>diversifici</w:t>
      </w:r>
      <w:r w:rsidRPr="00191F9C">
        <w:rPr>
          <w:rFonts w:eastAsia="PMingLiU" w:cs="Calibri"/>
          <w:spacing w:val="-1"/>
        </w:rPr>
        <w:t>r</w:t>
      </w:r>
      <w:r w:rsidRPr="00191F9C">
        <w:rPr>
          <w:rFonts w:eastAsia="PMingLiU" w:cs="Calibri"/>
        </w:rPr>
        <w:t>anog zagreba</w:t>
      </w:r>
      <w:r w:rsidRPr="00191F9C">
        <w:rPr>
          <w:rFonts w:eastAsia="PMingLiU" w:cs="Calibri"/>
          <w:spacing w:val="1"/>
        </w:rPr>
        <w:t>č</w:t>
      </w:r>
      <w:r w:rsidRPr="00191F9C">
        <w:rPr>
          <w:rFonts w:eastAsia="PMingLiU" w:cs="Calibri"/>
        </w:rPr>
        <w:t>kog</w:t>
      </w:r>
      <w:r w:rsidRPr="00191F9C">
        <w:rPr>
          <w:rFonts w:eastAsia="PMingLiU" w:cs="Calibri"/>
          <w:spacing w:val="2"/>
        </w:rPr>
        <w:t xml:space="preserve"> </w:t>
      </w:r>
      <w:r w:rsidRPr="00191F9C">
        <w:rPr>
          <w:rFonts w:eastAsia="PMingLiU" w:cs="Calibri"/>
        </w:rPr>
        <w:t>tržišta.</w:t>
      </w:r>
      <w:r w:rsidRPr="00191F9C">
        <w:rPr>
          <w:rFonts w:eastAsia="PMingLiU" w:cs="Calibri"/>
          <w:spacing w:val="6"/>
        </w:rPr>
        <w:t xml:space="preserve"> </w:t>
      </w:r>
      <w:r w:rsidRPr="00191F9C">
        <w:rPr>
          <w:rFonts w:eastAsia="PMingLiU" w:cs="Calibri"/>
        </w:rPr>
        <w:t>U</w:t>
      </w:r>
      <w:r w:rsidRPr="00191F9C">
        <w:rPr>
          <w:rFonts w:eastAsia="PMingLiU" w:cs="Calibri"/>
          <w:spacing w:val="11"/>
        </w:rPr>
        <w:t xml:space="preserve"> </w:t>
      </w:r>
      <w:r w:rsidRPr="00191F9C">
        <w:rPr>
          <w:rFonts w:eastAsia="PMingLiU" w:cs="Calibri"/>
        </w:rPr>
        <w:t>težnji</w:t>
      </w:r>
      <w:r w:rsidRPr="00191F9C">
        <w:rPr>
          <w:rFonts w:eastAsia="PMingLiU" w:cs="Calibri"/>
          <w:spacing w:val="8"/>
        </w:rPr>
        <w:t xml:space="preserve"> </w:t>
      </w:r>
      <w:r w:rsidRPr="00191F9C">
        <w:rPr>
          <w:rFonts w:eastAsia="PMingLiU" w:cs="Calibri"/>
        </w:rPr>
        <w:t>o</w:t>
      </w:r>
      <w:r w:rsidRPr="00191F9C">
        <w:rPr>
          <w:rFonts w:eastAsia="PMingLiU" w:cs="Calibri"/>
          <w:spacing w:val="1"/>
        </w:rPr>
        <w:t>č</w:t>
      </w:r>
      <w:r w:rsidRPr="00191F9C">
        <w:rPr>
          <w:rFonts w:eastAsia="PMingLiU" w:cs="Calibri"/>
          <w:spacing w:val="-1"/>
        </w:rPr>
        <w:t>uv</w:t>
      </w:r>
      <w:r w:rsidRPr="00191F9C">
        <w:rPr>
          <w:rFonts w:eastAsia="PMingLiU" w:cs="Calibri"/>
        </w:rPr>
        <w:t>anja</w:t>
      </w:r>
      <w:r w:rsidRPr="00191F9C">
        <w:rPr>
          <w:rFonts w:eastAsia="PMingLiU" w:cs="Calibri"/>
          <w:spacing w:val="3"/>
        </w:rPr>
        <w:t xml:space="preserve"> </w:t>
      </w:r>
      <w:r w:rsidRPr="00191F9C">
        <w:rPr>
          <w:rFonts w:eastAsia="PMingLiU" w:cs="Calibri"/>
        </w:rPr>
        <w:t>prostora</w:t>
      </w:r>
      <w:r w:rsidRPr="00191F9C">
        <w:rPr>
          <w:rFonts w:eastAsia="PMingLiU" w:cs="Calibri"/>
          <w:spacing w:val="4"/>
        </w:rPr>
        <w:t xml:space="preserve"> </w:t>
      </w:r>
      <w:r w:rsidRPr="00191F9C">
        <w:rPr>
          <w:rFonts w:eastAsia="PMingLiU" w:cs="Calibri"/>
        </w:rPr>
        <w:t>i</w:t>
      </w:r>
      <w:r w:rsidRPr="00191F9C">
        <w:rPr>
          <w:rFonts w:eastAsia="PMingLiU" w:cs="Calibri"/>
          <w:spacing w:val="12"/>
        </w:rPr>
        <w:t xml:space="preserve"> </w:t>
      </w:r>
      <w:r w:rsidRPr="00191F9C">
        <w:rPr>
          <w:rFonts w:eastAsia="PMingLiU" w:cs="Calibri"/>
        </w:rPr>
        <w:t>poljoprivredne proizvodnje</w:t>
      </w:r>
      <w:r w:rsidRPr="00191F9C">
        <w:rPr>
          <w:rFonts w:eastAsia="PMingLiU" w:cs="Calibri"/>
          <w:spacing w:val="1"/>
        </w:rPr>
        <w:t xml:space="preserve"> </w:t>
      </w:r>
      <w:r w:rsidRPr="00191F9C">
        <w:rPr>
          <w:rFonts w:eastAsia="PMingLiU" w:cs="Calibri"/>
        </w:rPr>
        <w:t>nadležni</w:t>
      </w:r>
      <w:r w:rsidRPr="00191F9C">
        <w:rPr>
          <w:rFonts w:eastAsia="PMingLiU" w:cs="Calibri"/>
          <w:spacing w:val="3"/>
        </w:rPr>
        <w:t xml:space="preserve"> </w:t>
      </w:r>
      <w:r w:rsidRPr="00191F9C">
        <w:rPr>
          <w:rFonts w:eastAsia="PMingLiU" w:cs="Calibri"/>
        </w:rPr>
        <w:t>ured</w:t>
      </w:r>
      <w:r w:rsidRPr="00191F9C">
        <w:rPr>
          <w:rFonts w:eastAsia="PMingLiU" w:cs="Calibri"/>
          <w:spacing w:val="9"/>
        </w:rPr>
        <w:t xml:space="preserve"> </w:t>
      </w:r>
      <w:r w:rsidRPr="00191F9C">
        <w:rPr>
          <w:rFonts w:eastAsia="PMingLiU" w:cs="Calibri"/>
          <w:spacing w:val="-1"/>
        </w:rPr>
        <w:t>p</w:t>
      </w:r>
      <w:r w:rsidRPr="00191F9C">
        <w:rPr>
          <w:rFonts w:eastAsia="PMingLiU" w:cs="Calibri"/>
        </w:rPr>
        <w:t>odupire</w:t>
      </w:r>
      <w:r w:rsidRPr="00191F9C">
        <w:rPr>
          <w:rFonts w:eastAsia="PMingLiU" w:cs="Calibri"/>
          <w:spacing w:val="5"/>
        </w:rPr>
        <w:t xml:space="preserve"> </w:t>
      </w:r>
      <w:r w:rsidRPr="00191F9C">
        <w:rPr>
          <w:rFonts w:eastAsia="PMingLiU" w:cs="Calibri"/>
        </w:rPr>
        <w:t>razvoj</w:t>
      </w:r>
      <w:r w:rsidRPr="00191F9C">
        <w:rPr>
          <w:rFonts w:eastAsia="PMingLiU" w:cs="Calibri"/>
          <w:spacing w:val="8"/>
        </w:rPr>
        <w:t xml:space="preserve"> </w:t>
      </w:r>
      <w:r w:rsidRPr="00191F9C">
        <w:rPr>
          <w:rFonts w:eastAsia="PMingLiU" w:cs="Calibri"/>
        </w:rPr>
        <w:t xml:space="preserve">poljoprivrede </w:t>
      </w:r>
      <w:r>
        <w:rPr>
          <w:rFonts w:eastAsia="PMingLiU" w:cs="Calibri"/>
        </w:rPr>
        <w:t>potporama za razvoj primarne poljoprivredne proizvodnje te za razvoj prerade poljoprivrednih proizvoda i promociju poljoprivrednih proizvoda i gospodarstava</w:t>
      </w:r>
      <w:r w:rsidRPr="00191F9C" w:rsidDel="002668ED">
        <w:rPr>
          <w:rFonts w:eastAsia="PMingLiU" w:cs="Calibri"/>
        </w:rPr>
        <w:t xml:space="preserve"> </w:t>
      </w:r>
      <w:r w:rsidRPr="00191F9C">
        <w:rPr>
          <w:rFonts w:eastAsia="PMingLiU" w:cs="Calibri"/>
        </w:rPr>
        <w:t>te provođenjem</w:t>
      </w:r>
      <w:r w:rsidRPr="00191F9C">
        <w:rPr>
          <w:rFonts w:eastAsia="PMingLiU" w:cs="Calibri"/>
          <w:spacing w:val="29"/>
        </w:rPr>
        <w:t xml:space="preserve"> </w:t>
      </w:r>
      <w:r w:rsidRPr="00191F9C">
        <w:rPr>
          <w:rFonts w:eastAsia="PMingLiU" w:cs="Calibri"/>
        </w:rPr>
        <w:t>lokalne</w:t>
      </w:r>
      <w:r w:rsidRPr="00191F9C">
        <w:rPr>
          <w:rFonts w:eastAsia="PMingLiU" w:cs="Calibri"/>
          <w:spacing w:val="35"/>
        </w:rPr>
        <w:t xml:space="preserve"> </w:t>
      </w:r>
      <w:r w:rsidRPr="00191F9C">
        <w:rPr>
          <w:rFonts w:eastAsia="PMingLiU" w:cs="Calibri"/>
        </w:rPr>
        <w:t>poljoprivredne</w:t>
      </w:r>
      <w:r w:rsidRPr="00191F9C">
        <w:rPr>
          <w:rFonts w:eastAsia="PMingLiU" w:cs="Calibri"/>
          <w:spacing w:val="28"/>
        </w:rPr>
        <w:t xml:space="preserve"> </w:t>
      </w:r>
      <w:r w:rsidRPr="00191F9C">
        <w:rPr>
          <w:rFonts w:eastAsia="PMingLiU" w:cs="Calibri"/>
        </w:rPr>
        <w:t>politike.</w:t>
      </w:r>
      <w:r w:rsidRPr="00191F9C">
        <w:rPr>
          <w:rFonts w:eastAsia="PMingLiU" w:cs="Calibri"/>
          <w:spacing w:val="3"/>
        </w:rPr>
        <w:t xml:space="preserve"> </w:t>
      </w:r>
      <w:r w:rsidRPr="00191F9C">
        <w:rPr>
          <w:rFonts w:eastAsia="PMingLiU" w:cs="Calibri"/>
        </w:rPr>
        <w:t>Planira</w:t>
      </w:r>
      <w:r w:rsidRPr="00191F9C">
        <w:rPr>
          <w:rFonts w:eastAsia="PMingLiU" w:cs="Calibri"/>
          <w:spacing w:val="-1"/>
        </w:rPr>
        <w:t>n</w:t>
      </w:r>
      <w:r w:rsidRPr="00191F9C">
        <w:rPr>
          <w:rFonts w:eastAsia="PMingLiU" w:cs="Calibri"/>
        </w:rPr>
        <w:t>im</w:t>
      </w:r>
      <w:r w:rsidRPr="00191F9C">
        <w:rPr>
          <w:rFonts w:eastAsia="PMingLiU" w:cs="Calibri"/>
          <w:spacing w:val="24"/>
        </w:rPr>
        <w:t xml:space="preserve"> </w:t>
      </w:r>
      <w:r w:rsidRPr="00191F9C">
        <w:rPr>
          <w:rFonts w:eastAsia="PMingLiU" w:cs="Calibri"/>
        </w:rPr>
        <w:t>programima</w:t>
      </w:r>
      <w:r w:rsidRPr="00191F9C">
        <w:rPr>
          <w:rFonts w:eastAsia="PMingLiU" w:cs="Calibri"/>
          <w:spacing w:val="22"/>
        </w:rPr>
        <w:t xml:space="preserve"> </w:t>
      </w:r>
      <w:r w:rsidRPr="00191F9C">
        <w:rPr>
          <w:rFonts w:eastAsia="PMingLiU" w:cs="Calibri"/>
        </w:rPr>
        <w:t>i</w:t>
      </w:r>
      <w:r w:rsidRPr="00191F9C">
        <w:rPr>
          <w:rFonts w:eastAsia="PMingLiU" w:cs="Calibri"/>
          <w:spacing w:val="34"/>
        </w:rPr>
        <w:t xml:space="preserve"> </w:t>
      </w:r>
      <w:r w:rsidRPr="00191F9C">
        <w:rPr>
          <w:rFonts w:eastAsia="PMingLiU" w:cs="Calibri"/>
        </w:rPr>
        <w:t>mjerama</w:t>
      </w:r>
      <w:r w:rsidRPr="00191F9C">
        <w:rPr>
          <w:rFonts w:eastAsia="PMingLiU" w:cs="Calibri"/>
          <w:spacing w:val="26"/>
        </w:rPr>
        <w:t xml:space="preserve"> </w:t>
      </w:r>
      <w:r w:rsidRPr="00191F9C">
        <w:rPr>
          <w:rFonts w:eastAsia="PMingLiU" w:cs="Calibri"/>
        </w:rPr>
        <w:t>treba</w:t>
      </w:r>
      <w:r w:rsidRPr="00191F9C">
        <w:rPr>
          <w:rFonts w:eastAsia="PMingLiU" w:cs="Calibri"/>
          <w:spacing w:val="29"/>
        </w:rPr>
        <w:t xml:space="preserve"> </w:t>
      </w:r>
      <w:r w:rsidRPr="00191F9C">
        <w:rPr>
          <w:rFonts w:eastAsia="PMingLiU" w:cs="Calibri"/>
        </w:rPr>
        <w:t>nastojati sprije</w:t>
      </w:r>
      <w:r w:rsidRPr="00191F9C">
        <w:rPr>
          <w:rFonts w:eastAsia="PMingLiU" w:cs="Calibri"/>
          <w:spacing w:val="-1"/>
        </w:rPr>
        <w:t>č</w:t>
      </w:r>
      <w:r w:rsidRPr="00191F9C">
        <w:rPr>
          <w:rFonts w:eastAsia="PMingLiU" w:cs="Calibri"/>
        </w:rPr>
        <w:t>iti</w:t>
      </w:r>
      <w:r w:rsidRPr="00191F9C">
        <w:rPr>
          <w:rFonts w:eastAsia="PMingLiU" w:cs="Calibri"/>
          <w:spacing w:val="9"/>
        </w:rPr>
        <w:t xml:space="preserve"> </w:t>
      </w:r>
      <w:r w:rsidRPr="00191F9C">
        <w:rPr>
          <w:rFonts w:eastAsia="PMingLiU" w:cs="Calibri"/>
        </w:rPr>
        <w:t>negativni</w:t>
      </w:r>
      <w:r w:rsidRPr="00191F9C">
        <w:rPr>
          <w:rFonts w:eastAsia="PMingLiU" w:cs="Calibri"/>
          <w:spacing w:val="8"/>
        </w:rPr>
        <w:t xml:space="preserve"> </w:t>
      </w:r>
      <w:r w:rsidRPr="00191F9C">
        <w:rPr>
          <w:rFonts w:eastAsia="PMingLiU" w:cs="Calibri"/>
        </w:rPr>
        <w:t>utjecaj</w:t>
      </w:r>
      <w:r w:rsidRPr="00191F9C">
        <w:rPr>
          <w:rFonts w:eastAsia="PMingLiU" w:cs="Calibri"/>
          <w:spacing w:val="10"/>
        </w:rPr>
        <w:t xml:space="preserve"> </w:t>
      </w:r>
      <w:r w:rsidRPr="00191F9C">
        <w:rPr>
          <w:rFonts w:eastAsia="PMingLiU" w:cs="Calibri"/>
        </w:rPr>
        <w:t>(sub)urbanizacije na</w:t>
      </w:r>
      <w:r w:rsidRPr="00191F9C">
        <w:rPr>
          <w:rFonts w:eastAsia="PMingLiU" w:cs="Calibri"/>
          <w:spacing w:val="14"/>
        </w:rPr>
        <w:t xml:space="preserve"> </w:t>
      </w:r>
      <w:r w:rsidRPr="00191F9C">
        <w:rPr>
          <w:rFonts w:eastAsia="PMingLiU" w:cs="Calibri"/>
        </w:rPr>
        <w:t>okolicu</w:t>
      </w:r>
      <w:r w:rsidRPr="00191F9C">
        <w:rPr>
          <w:rFonts w:eastAsia="PMingLiU" w:cs="Calibri"/>
          <w:spacing w:val="10"/>
        </w:rPr>
        <w:t xml:space="preserve"> </w:t>
      </w:r>
      <w:r w:rsidRPr="00191F9C">
        <w:rPr>
          <w:rFonts w:eastAsia="PMingLiU" w:cs="Calibri"/>
        </w:rPr>
        <w:t>i</w:t>
      </w:r>
      <w:r w:rsidRPr="00191F9C">
        <w:rPr>
          <w:rFonts w:eastAsia="PMingLiU" w:cs="Calibri"/>
          <w:spacing w:val="16"/>
        </w:rPr>
        <w:t xml:space="preserve"> </w:t>
      </w:r>
      <w:r w:rsidRPr="00191F9C">
        <w:rPr>
          <w:rFonts w:eastAsia="PMingLiU" w:cs="Calibri"/>
        </w:rPr>
        <w:t>njen</w:t>
      </w:r>
      <w:r w:rsidRPr="00191F9C">
        <w:rPr>
          <w:rFonts w:eastAsia="PMingLiU" w:cs="Calibri"/>
          <w:spacing w:val="13"/>
        </w:rPr>
        <w:t xml:space="preserve"> </w:t>
      </w:r>
      <w:r w:rsidRPr="00191F9C">
        <w:rPr>
          <w:rFonts w:eastAsia="PMingLiU" w:cs="Calibri"/>
        </w:rPr>
        <w:t>okoliš,</w:t>
      </w:r>
      <w:r w:rsidRPr="00191F9C">
        <w:rPr>
          <w:rFonts w:eastAsia="PMingLiU" w:cs="Calibri"/>
          <w:spacing w:val="10"/>
        </w:rPr>
        <w:t xml:space="preserve"> </w:t>
      </w:r>
      <w:r w:rsidRPr="00191F9C">
        <w:rPr>
          <w:rFonts w:eastAsia="PMingLiU" w:cs="Calibri"/>
        </w:rPr>
        <w:t>zaštitom</w:t>
      </w:r>
      <w:r w:rsidRPr="00191F9C">
        <w:rPr>
          <w:rFonts w:eastAsia="PMingLiU" w:cs="Calibri"/>
          <w:spacing w:val="9"/>
        </w:rPr>
        <w:t xml:space="preserve"> </w:t>
      </w:r>
      <w:r w:rsidRPr="00191F9C">
        <w:rPr>
          <w:rFonts w:eastAsia="PMingLiU" w:cs="Calibri"/>
        </w:rPr>
        <w:t>prirodne</w:t>
      </w:r>
      <w:r w:rsidRPr="00191F9C">
        <w:rPr>
          <w:rFonts w:eastAsia="PMingLiU" w:cs="Calibri"/>
          <w:spacing w:val="9"/>
        </w:rPr>
        <w:t xml:space="preserve"> </w:t>
      </w:r>
      <w:r w:rsidRPr="00191F9C">
        <w:rPr>
          <w:rFonts w:eastAsia="PMingLiU" w:cs="Calibri"/>
        </w:rPr>
        <w:t>i kulturne</w:t>
      </w:r>
      <w:r w:rsidRPr="00191F9C">
        <w:rPr>
          <w:rFonts w:eastAsia="PMingLiU" w:cs="Calibri"/>
          <w:spacing w:val="4"/>
        </w:rPr>
        <w:t xml:space="preserve"> </w:t>
      </w:r>
      <w:r w:rsidRPr="00191F9C">
        <w:rPr>
          <w:rFonts w:eastAsia="PMingLiU" w:cs="Calibri"/>
        </w:rPr>
        <w:t>b</w:t>
      </w:r>
      <w:r w:rsidRPr="00191F9C">
        <w:rPr>
          <w:rFonts w:eastAsia="PMingLiU" w:cs="Calibri"/>
          <w:spacing w:val="-1"/>
        </w:rPr>
        <w:t>a</w:t>
      </w:r>
      <w:r w:rsidRPr="00191F9C">
        <w:rPr>
          <w:rFonts w:eastAsia="PMingLiU" w:cs="Calibri"/>
        </w:rPr>
        <w:t>štine</w:t>
      </w:r>
      <w:r w:rsidRPr="00191F9C">
        <w:rPr>
          <w:rFonts w:eastAsia="PMingLiU" w:cs="Calibri"/>
          <w:spacing w:val="5"/>
        </w:rPr>
        <w:t xml:space="preserve"> </w:t>
      </w:r>
      <w:r w:rsidRPr="00191F9C">
        <w:rPr>
          <w:rFonts w:eastAsia="PMingLiU" w:cs="Calibri"/>
        </w:rPr>
        <w:t>doda</w:t>
      </w:r>
      <w:r w:rsidRPr="00191F9C">
        <w:rPr>
          <w:rFonts w:eastAsia="PMingLiU" w:cs="Calibri"/>
          <w:spacing w:val="-1"/>
        </w:rPr>
        <w:t>t</w:t>
      </w:r>
      <w:r w:rsidRPr="00191F9C">
        <w:rPr>
          <w:rFonts w:eastAsia="PMingLiU" w:cs="Calibri"/>
        </w:rPr>
        <w:t>no</w:t>
      </w:r>
      <w:r w:rsidRPr="00191F9C">
        <w:rPr>
          <w:rFonts w:eastAsia="PMingLiU" w:cs="Calibri"/>
          <w:spacing w:val="4"/>
        </w:rPr>
        <w:t xml:space="preserve"> </w:t>
      </w:r>
      <w:r w:rsidRPr="00191F9C">
        <w:rPr>
          <w:rFonts w:eastAsia="PMingLiU" w:cs="Calibri"/>
        </w:rPr>
        <w:t>pod</w:t>
      </w:r>
      <w:r w:rsidRPr="00191F9C">
        <w:rPr>
          <w:rFonts w:eastAsia="PMingLiU" w:cs="Calibri"/>
          <w:spacing w:val="2"/>
        </w:rPr>
        <w:t>i</w:t>
      </w:r>
      <w:r w:rsidRPr="00191F9C">
        <w:rPr>
          <w:rFonts w:eastAsia="PMingLiU" w:cs="Calibri"/>
          <w:spacing w:val="1"/>
        </w:rPr>
        <w:t>ć</w:t>
      </w:r>
      <w:r w:rsidRPr="00191F9C">
        <w:rPr>
          <w:rFonts w:eastAsia="PMingLiU" w:cs="Calibri"/>
        </w:rPr>
        <w:t>i</w:t>
      </w:r>
      <w:r w:rsidRPr="00191F9C">
        <w:rPr>
          <w:rFonts w:eastAsia="PMingLiU" w:cs="Calibri"/>
          <w:spacing w:val="6"/>
        </w:rPr>
        <w:t xml:space="preserve"> </w:t>
      </w:r>
      <w:r w:rsidRPr="00191F9C">
        <w:rPr>
          <w:rFonts w:eastAsia="PMingLiU" w:cs="Calibri"/>
          <w:spacing w:val="-1"/>
        </w:rPr>
        <w:t>d</w:t>
      </w:r>
      <w:r w:rsidRPr="00191F9C">
        <w:rPr>
          <w:rFonts w:eastAsia="PMingLiU" w:cs="Calibri"/>
        </w:rPr>
        <w:t>odanu</w:t>
      </w:r>
      <w:r w:rsidRPr="00191F9C">
        <w:rPr>
          <w:rFonts w:eastAsia="PMingLiU" w:cs="Calibri"/>
          <w:spacing w:val="5"/>
        </w:rPr>
        <w:t xml:space="preserve"> </w:t>
      </w:r>
      <w:r w:rsidRPr="00191F9C">
        <w:rPr>
          <w:rFonts w:eastAsia="PMingLiU" w:cs="Calibri"/>
        </w:rPr>
        <w:t>vrijednost</w:t>
      </w:r>
      <w:r w:rsidRPr="00191F9C">
        <w:rPr>
          <w:rFonts w:eastAsia="PMingLiU" w:cs="Calibri"/>
          <w:spacing w:val="2"/>
        </w:rPr>
        <w:t xml:space="preserve"> </w:t>
      </w:r>
      <w:r w:rsidRPr="00191F9C">
        <w:rPr>
          <w:rFonts w:eastAsia="PMingLiU" w:cs="Calibri"/>
        </w:rPr>
        <w:t>i</w:t>
      </w:r>
      <w:r w:rsidRPr="00191F9C">
        <w:rPr>
          <w:rFonts w:eastAsia="PMingLiU" w:cs="Calibri"/>
          <w:spacing w:val="11"/>
        </w:rPr>
        <w:t xml:space="preserve"> </w:t>
      </w:r>
      <w:r w:rsidRPr="00191F9C">
        <w:rPr>
          <w:rFonts w:eastAsia="PMingLiU" w:cs="Calibri"/>
        </w:rPr>
        <w:t>atr</w:t>
      </w:r>
      <w:r w:rsidRPr="00191F9C">
        <w:rPr>
          <w:rFonts w:eastAsia="PMingLiU" w:cs="Calibri"/>
          <w:spacing w:val="-1"/>
        </w:rPr>
        <w:t>a</w:t>
      </w:r>
      <w:r w:rsidRPr="00191F9C">
        <w:rPr>
          <w:rFonts w:eastAsia="PMingLiU" w:cs="Calibri"/>
        </w:rPr>
        <w:t>ktivnost, a</w:t>
      </w:r>
      <w:r w:rsidRPr="00191F9C">
        <w:rPr>
          <w:rFonts w:eastAsia="PMingLiU" w:cs="Calibri"/>
          <w:spacing w:val="10"/>
        </w:rPr>
        <w:t xml:space="preserve"> </w:t>
      </w:r>
      <w:r w:rsidRPr="00191F9C">
        <w:rPr>
          <w:rFonts w:eastAsia="PMingLiU" w:cs="Calibri"/>
        </w:rPr>
        <w:t>visokim</w:t>
      </w:r>
      <w:r w:rsidRPr="00191F9C">
        <w:rPr>
          <w:rFonts w:eastAsia="PMingLiU" w:cs="Calibri"/>
          <w:spacing w:val="5"/>
        </w:rPr>
        <w:t xml:space="preserve"> </w:t>
      </w:r>
      <w:r w:rsidRPr="00191F9C">
        <w:rPr>
          <w:rFonts w:eastAsia="PMingLiU" w:cs="Calibri"/>
        </w:rPr>
        <w:t>st</w:t>
      </w:r>
      <w:r w:rsidRPr="00191F9C">
        <w:rPr>
          <w:rFonts w:eastAsia="PMingLiU" w:cs="Calibri"/>
          <w:spacing w:val="-1"/>
        </w:rPr>
        <w:t>a</w:t>
      </w:r>
      <w:r w:rsidRPr="00191F9C">
        <w:rPr>
          <w:rFonts w:eastAsia="PMingLiU" w:cs="Calibri"/>
        </w:rPr>
        <w:t>ndardima infrastruktu</w:t>
      </w:r>
      <w:r w:rsidRPr="00191F9C">
        <w:rPr>
          <w:rFonts w:eastAsia="PMingLiU" w:cs="Calibri"/>
          <w:spacing w:val="-1"/>
        </w:rPr>
        <w:t>r</w:t>
      </w:r>
      <w:r w:rsidRPr="00191F9C">
        <w:rPr>
          <w:rFonts w:eastAsia="PMingLiU" w:cs="Calibri"/>
        </w:rPr>
        <w:t>e, dostup</w:t>
      </w:r>
      <w:r w:rsidRPr="00191F9C">
        <w:rPr>
          <w:rFonts w:eastAsia="PMingLiU" w:cs="Calibri"/>
          <w:spacing w:val="-1"/>
        </w:rPr>
        <w:t>n</w:t>
      </w:r>
      <w:r w:rsidRPr="00191F9C">
        <w:rPr>
          <w:rFonts w:eastAsia="PMingLiU" w:cs="Calibri"/>
        </w:rPr>
        <w:t>osti,</w:t>
      </w:r>
      <w:r w:rsidRPr="00191F9C">
        <w:rPr>
          <w:rFonts w:eastAsia="PMingLiU" w:cs="Calibri"/>
          <w:spacing w:val="2"/>
        </w:rPr>
        <w:t xml:space="preserve"> </w:t>
      </w:r>
      <w:r w:rsidRPr="00191F9C">
        <w:rPr>
          <w:rFonts w:eastAsia="PMingLiU" w:cs="Calibri"/>
        </w:rPr>
        <w:t>stano</w:t>
      </w:r>
      <w:r w:rsidRPr="00191F9C">
        <w:rPr>
          <w:rFonts w:eastAsia="PMingLiU" w:cs="Calibri"/>
          <w:spacing w:val="-2"/>
        </w:rPr>
        <w:t>v</w:t>
      </w:r>
      <w:r w:rsidRPr="00191F9C">
        <w:rPr>
          <w:rFonts w:eastAsia="PMingLiU" w:cs="Calibri"/>
        </w:rPr>
        <w:t>anja</w:t>
      </w:r>
      <w:r w:rsidRPr="00191F9C">
        <w:rPr>
          <w:rFonts w:eastAsia="PMingLiU" w:cs="Calibri"/>
          <w:spacing w:val="3"/>
        </w:rPr>
        <w:t xml:space="preserve"> </w:t>
      </w:r>
      <w:r w:rsidRPr="00191F9C">
        <w:rPr>
          <w:rFonts w:eastAsia="PMingLiU" w:cs="Calibri"/>
        </w:rPr>
        <w:t>i</w:t>
      </w:r>
      <w:r w:rsidRPr="00191F9C">
        <w:rPr>
          <w:rFonts w:eastAsia="PMingLiU" w:cs="Calibri"/>
          <w:spacing w:val="13"/>
        </w:rPr>
        <w:t xml:space="preserve"> </w:t>
      </w:r>
      <w:r w:rsidRPr="00191F9C">
        <w:rPr>
          <w:rFonts w:eastAsia="PMingLiU" w:cs="Calibri"/>
        </w:rPr>
        <w:t>pra</w:t>
      </w:r>
      <w:r w:rsidRPr="00191F9C">
        <w:rPr>
          <w:rFonts w:eastAsia="PMingLiU" w:cs="Calibri"/>
          <w:spacing w:val="-1"/>
        </w:rPr>
        <w:t>t</w:t>
      </w:r>
      <w:r w:rsidRPr="00191F9C">
        <w:rPr>
          <w:rFonts w:eastAsia="PMingLiU" w:cs="Calibri"/>
          <w:spacing w:val="1"/>
        </w:rPr>
        <w:t>eć</w:t>
      </w:r>
      <w:r w:rsidRPr="00191F9C">
        <w:rPr>
          <w:rFonts w:eastAsia="PMingLiU" w:cs="Calibri"/>
        </w:rPr>
        <w:t>ih</w:t>
      </w:r>
      <w:r w:rsidRPr="00191F9C">
        <w:rPr>
          <w:rFonts w:eastAsia="PMingLiU" w:cs="Calibri"/>
          <w:spacing w:val="6"/>
        </w:rPr>
        <w:t xml:space="preserve"> </w:t>
      </w:r>
      <w:r w:rsidRPr="00191F9C">
        <w:rPr>
          <w:rFonts w:eastAsia="PMingLiU" w:cs="Calibri"/>
        </w:rPr>
        <w:t>sadr</w:t>
      </w:r>
      <w:r w:rsidRPr="00191F9C">
        <w:rPr>
          <w:rFonts w:eastAsia="PMingLiU" w:cs="Calibri"/>
          <w:spacing w:val="-1"/>
        </w:rPr>
        <w:t>ž</w:t>
      </w:r>
      <w:r w:rsidRPr="00191F9C">
        <w:rPr>
          <w:rFonts w:eastAsia="PMingLiU" w:cs="Calibri"/>
        </w:rPr>
        <w:t>aja</w:t>
      </w:r>
      <w:r w:rsidRPr="00191F9C">
        <w:rPr>
          <w:rFonts w:eastAsia="PMingLiU" w:cs="Calibri"/>
          <w:spacing w:val="5"/>
        </w:rPr>
        <w:t xml:space="preserve"> </w:t>
      </w:r>
      <w:r w:rsidRPr="00191F9C">
        <w:rPr>
          <w:rFonts w:eastAsia="PMingLiU" w:cs="Calibri"/>
          <w:spacing w:val="-1"/>
        </w:rPr>
        <w:t>v</w:t>
      </w:r>
      <w:r w:rsidRPr="00191F9C">
        <w:rPr>
          <w:rFonts w:eastAsia="PMingLiU" w:cs="Calibri"/>
        </w:rPr>
        <w:t>isoke</w:t>
      </w:r>
      <w:r w:rsidRPr="00191F9C">
        <w:rPr>
          <w:rFonts w:eastAsia="PMingLiU" w:cs="Calibri"/>
          <w:spacing w:val="6"/>
        </w:rPr>
        <w:t xml:space="preserve"> </w:t>
      </w:r>
      <w:r w:rsidRPr="00191F9C">
        <w:rPr>
          <w:rFonts w:eastAsia="PMingLiU" w:cs="Calibri"/>
        </w:rPr>
        <w:t>kak</w:t>
      </w:r>
      <w:r w:rsidRPr="00191F9C">
        <w:rPr>
          <w:rFonts w:eastAsia="PMingLiU" w:cs="Calibri"/>
          <w:spacing w:val="-1"/>
        </w:rPr>
        <w:t>v</w:t>
      </w:r>
      <w:r w:rsidRPr="00191F9C">
        <w:rPr>
          <w:rFonts w:eastAsia="PMingLiU" w:cs="Calibri"/>
        </w:rPr>
        <w:t>o</w:t>
      </w:r>
      <w:r w:rsidRPr="00191F9C">
        <w:rPr>
          <w:rFonts w:eastAsia="PMingLiU" w:cs="Calibri"/>
          <w:spacing w:val="1"/>
        </w:rPr>
        <w:t>ć</w:t>
      </w:r>
      <w:r w:rsidRPr="00191F9C">
        <w:rPr>
          <w:rFonts w:eastAsia="PMingLiU" w:cs="Calibri"/>
        </w:rPr>
        <w:t>e</w:t>
      </w:r>
      <w:r w:rsidRPr="00191F9C">
        <w:rPr>
          <w:rFonts w:eastAsia="PMingLiU" w:cs="Calibri"/>
          <w:spacing w:val="4"/>
        </w:rPr>
        <w:t xml:space="preserve"> </w:t>
      </w:r>
      <w:r w:rsidRPr="00191F9C">
        <w:rPr>
          <w:rFonts w:eastAsia="PMingLiU" w:cs="Calibri"/>
        </w:rPr>
        <w:t>primjerene sadašnjim</w:t>
      </w:r>
      <w:r w:rsidRPr="00191F9C">
        <w:rPr>
          <w:rFonts w:eastAsia="PMingLiU" w:cs="Calibri"/>
          <w:spacing w:val="-4"/>
        </w:rPr>
        <w:t xml:space="preserve"> </w:t>
      </w:r>
      <w:r w:rsidRPr="00191F9C">
        <w:rPr>
          <w:rFonts w:eastAsia="PMingLiU" w:cs="Calibri"/>
        </w:rPr>
        <w:t>potrebama,</w:t>
      </w:r>
      <w:r w:rsidRPr="00191F9C">
        <w:rPr>
          <w:rFonts w:eastAsia="PMingLiU" w:cs="Calibri"/>
          <w:spacing w:val="-5"/>
        </w:rPr>
        <w:t xml:space="preserve"> </w:t>
      </w:r>
      <w:r w:rsidRPr="00191F9C">
        <w:rPr>
          <w:rFonts w:eastAsia="PMingLiU" w:cs="Calibri"/>
          <w:spacing w:val="1"/>
        </w:rPr>
        <w:t>u</w:t>
      </w:r>
      <w:r w:rsidRPr="00191F9C">
        <w:rPr>
          <w:rFonts w:eastAsia="PMingLiU" w:cs="Calibri"/>
        </w:rPr>
        <w:t>z</w:t>
      </w:r>
      <w:r w:rsidRPr="00191F9C">
        <w:rPr>
          <w:rFonts w:eastAsia="PMingLiU" w:cs="Calibri"/>
          <w:spacing w:val="5"/>
        </w:rPr>
        <w:t xml:space="preserve"> </w:t>
      </w:r>
      <w:r w:rsidRPr="00191F9C">
        <w:rPr>
          <w:rFonts w:eastAsia="PMingLiU" w:cs="Calibri"/>
        </w:rPr>
        <w:t>istodobno</w:t>
      </w:r>
      <w:r w:rsidRPr="00191F9C">
        <w:rPr>
          <w:rFonts w:eastAsia="PMingLiU" w:cs="Calibri"/>
          <w:spacing w:val="-4"/>
        </w:rPr>
        <w:t xml:space="preserve"> </w:t>
      </w:r>
      <w:r w:rsidRPr="00191F9C">
        <w:rPr>
          <w:rFonts w:eastAsia="PMingLiU" w:cs="Calibri"/>
        </w:rPr>
        <w:t>poštivanje</w:t>
      </w:r>
      <w:r w:rsidRPr="00191F9C">
        <w:rPr>
          <w:rFonts w:eastAsia="PMingLiU" w:cs="Calibri"/>
          <w:spacing w:val="-4"/>
        </w:rPr>
        <w:t xml:space="preserve"> </w:t>
      </w:r>
      <w:r w:rsidRPr="00191F9C">
        <w:rPr>
          <w:rFonts w:eastAsia="PMingLiU" w:cs="Calibri"/>
        </w:rPr>
        <w:t>graditeljske</w:t>
      </w:r>
      <w:r w:rsidRPr="00191F9C">
        <w:rPr>
          <w:rFonts w:eastAsia="PMingLiU" w:cs="Calibri"/>
          <w:spacing w:val="-5"/>
        </w:rPr>
        <w:t xml:space="preserve"> </w:t>
      </w:r>
      <w:r w:rsidRPr="00191F9C">
        <w:rPr>
          <w:rFonts w:eastAsia="PMingLiU" w:cs="Calibri"/>
        </w:rPr>
        <w:t>tradicije</w:t>
      </w:r>
      <w:r w:rsidRPr="00191F9C">
        <w:rPr>
          <w:rFonts w:eastAsia="PMingLiU" w:cs="Calibri"/>
          <w:spacing w:val="-2"/>
        </w:rPr>
        <w:t xml:space="preserve"> </w:t>
      </w:r>
      <w:r w:rsidRPr="00191F9C">
        <w:rPr>
          <w:rFonts w:eastAsia="PMingLiU" w:cs="Calibri"/>
        </w:rPr>
        <w:t xml:space="preserve">učiniti prostor atraktivnim za život. Uspostava suradnje traži intenzivno komuniciranje sa mjesnom samoupravom i svim dionicima razvoja, postojećim i potencijalnim, te stanovništvom kako bi imali mogućnost iskazati svoje prijedloge. </w:t>
      </w:r>
    </w:p>
    <w:tbl>
      <w:tblPr>
        <w:tblpPr w:leftFromText="180" w:rightFromText="180" w:vertAnchor="text" w:horzAnchor="margin" w:tblpY="37"/>
        <w:tblW w:w="5156" w:type="pct"/>
        <w:shd w:val="clear" w:color="auto" w:fill="D9D9D9"/>
        <w:tblLook w:val="01E0" w:firstRow="1" w:lastRow="1" w:firstColumn="1" w:lastColumn="1" w:noHBand="0" w:noVBand="0"/>
      </w:tblPr>
      <w:tblGrid>
        <w:gridCol w:w="4677"/>
        <w:gridCol w:w="4678"/>
      </w:tblGrid>
      <w:tr w:rsidR="00072476" w:rsidRPr="00191F9C" w14:paraId="343A346F" w14:textId="77777777" w:rsidTr="00072476">
        <w:tc>
          <w:tcPr>
            <w:tcW w:w="2500" w:type="pct"/>
            <w:shd w:val="clear" w:color="auto" w:fill="D9D9D9"/>
          </w:tcPr>
          <w:p w14:paraId="4017D5CA"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br w:type="page"/>
              <w:t>RAZVOJNI PROBLEMI</w:t>
            </w:r>
          </w:p>
        </w:tc>
        <w:tc>
          <w:tcPr>
            <w:tcW w:w="2500" w:type="pct"/>
            <w:shd w:val="clear" w:color="auto" w:fill="99CCFF"/>
          </w:tcPr>
          <w:p w14:paraId="6D717248" w14:textId="77777777" w:rsidR="00072476" w:rsidRPr="00191F9C" w:rsidRDefault="00072476" w:rsidP="00072476">
            <w:pPr>
              <w:spacing w:before="60" w:after="60" w:line="240" w:lineRule="auto"/>
              <w:ind w:right="-2"/>
              <w:rPr>
                <w:rFonts w:eastAsia="Times New Roman" w:cs="Calibri"/>
                <w:b/>
                <w:sz w:val="18"/>
                <w:szCs w:val="18"/>
                <w:lang w:eastAsia="hr-HR"/>
              </w:rPr>
            </w:pPr>
            <w:r w:rsidRPr="00191F9C">
              <w:rPr>
                <w:rFonts w:eastAsia="Times New Roman" w:cs="Calibri"/>
                <w:b/>
                <w:sz w:val="18"/>
                <w:szCs w:val="18"/>
                <w:lang w:eastAsia="hr-HR"/>
              </w:rPr>
              <w:t>RAZVOJNE POTREBE</w:t>
            </w:r>
          </w:p>
        </w:tc>
      </w:tr>
      <w:tr w:rsidR="00072476" w:rsidRPr="00191F9C" w14:paraId="2A5BAF01" w14:textId="77777777" w:rsidTr="00072476">
        <w:tc>
          <w:tcPr>
            <w:tcW w:w="2500" w:type="pct"/>
            <w:shd w:val="clear" w:color="auto" w:fill="D9D9D9"/>
          </w:tcPr>
          <w:p w14:paraId="37FA5EF7"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Gubitak tradicionalnih obilježja naselja i prostora</w:t>
            </w:r>
          </w:p>
          <w:p w14:paraId="1B19FF00"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Urbanizacija koja mijenja vizuru ruralnog prostora te stvara potencijalne konfliktne situacije među starosjediocima i novim stanovnicima</w:t>
            </w:r>
          </w:p>
          <w:p w14:paraId="4F587199"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Niska komunalna i prometna infrastruktura nekih</w:t>
            </w:r>
          </w:p>
          <w:p w14:paraId="0F0AE92E" w14:textId="77777777" w:rsidR="00072476" w:rsidRPr="00191F9C" w:rsidRDefault="00072476" w:rsidP="00072476">
            <w:pPr>
              <w:spacing w:before="60" w:after="60" w:line="240" w:lineRule="auto"/>
              <w:ind w:left="284" w:right="-2"/>
              <w:rPr>
                <w:rFonts w:eastAsia="Times New Roman" w:cs="Calibri"/>
                <w:sz w:val="18"/>
                <w:szCs w:val="18"/>
                <w:lang w:eastAsia="hr-HR"/>
              </w:rPr>
            </w:pPr>
            <w:r w:rsidRPr="00191F9C">
              <w:rPr>
                <w:rFonts w:eastAsia="Times New Roman" w:cs="Calibri"/>
                <w:sz w:val="18"/>
                <w:szCs w:val="18"/>
                <w:lang w:eastAsia="hr-HR"/>
              </w:rPr>
              <w:t>dijelova prostora</w:t>
            </w:r>
          </w:p>
          <w:p w14:paraId="30A04116"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Neusklađenost stvarnih potreba i mogućnosti s</w:t>
            </w:r>
          </w:p>
          <w:p w14:paraId="0EEDA563" w14:textId="77777777" w:rsidR="00072476" w:rsidRPr="00191F9C" w:rsidRDefault="00072476" w:rsidP="00072476">
            <w:pPr>
              <w:spacing w:before="60" w:after="60" w:line="240" w:lineRule="auto"/>
              <w:ind w:left="284" w:right="-2"/>
              <w:rPr>
                <w:rFonts w:eastAsia="Times New Roman" w:cs="Calibri"/>
                <w:sz w:val="18"/>
                <w:szCs w:val="18"/>
                <w:lang w:eastAsia="hr-HR"/>
              </w:rPr>
            </w:pPr>
            <w:r w:rsidRPr="00191F9C">
              <w:rPr>
                <w:rFonts w:eastAsia="Times New Roman" w:cs="Calibri"/>
                <w:sz w:val="18"/>
                <w:szCs w:val="18"/>
                <w:lang w:eastAsia="hr-HR"/>
              </w:rPr>
              <w:t>odredbama u prostorno-planskoj dokumentaciji</w:t>
            </w:r>
          </w:p>
          <w:p w14:paraId="4DEE89E0" w14:textId="77777777" w:rsidR="00072476" w:rsidRPr="00191F9C" w:rsidRDefault="00072476" w:rsidP="00072476">
            <w:pPr>
              <w:spacing w:before="60" w:after="60" w:line="240" w:lineRule="auto"/>
              <w:ind w:left="284" w:right="-2"/>
              <w:rPr>
                <w:rFonts w:eastAsia="Times New Roman" w:cs="Calibri"/>
                <w:sz w:val="18"/>
                <w:szCs w:val="18"/>
                <w:lang w:eastAsia="hr-HR"/>
              </w:rPr>
            </w:pPr>
          </w:p>
        </w:tc>
        <w:tc>
          <w:tcPr>
            <w:tcW w:w="2500" w:type="pct"/>
            <w:shd w:val="clear" w:color="auto" w:fill="99CCFF"/>
          </w:tcPr>
          <w:p w14:paraId="532C3815"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Uređivanje naselja i stvaranje temelja za razvoj kvalitetne društveno/gospodarske podloge za život u naseljima ruralnog i suburbanog karaktera</w:t>
            </w:r>
          </w:p>
          <w:p w14:paraId="62705212"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Očuvanje i revitalizacija kvalitetne estetske,</w:t>
            </w:r>
            <w:r>
              <w:rPr>
                <w:rFonts w:eastAsia="Times New Roman" w:cs="Calibri"/>
                <w:sz w:val="18"/>
                <w:szCs w:val="18"/>
                <w:lang w:eastAsia="hr-HR"/>
              </w:rPr>
              <w:t xml:space="preserve"> </w:t>
            </w:r>
            <w:r w:rsidRPr="00191F9C">
              <w:rPr>
                <w:rFonts w:eastAsia="Times New Roman" w:cs="Calibri"/>
                <w:sz w:val="18"/>
                <w:szCs w:val="18"/>
                <w:lang w:eastAsia="hr-HR"/>
              </w:rPr>
              <w:t>kulturne, ekološke i gospodarske funkcije ruralnih i suburbanih prostora</w:t>
            </w:r>
          </w:p>
          <w:p w14:paraId="0A097195"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Ciljana revitalizacija postojećih sela uz očuvanje tipoloških značajki i poboljšanje kakvoće životnog standarda</w:t>
            </w:r>
          </w:p>
          <w:p w14:paraId="275709F7"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Sprečavanje gubitka karakterističnog krajobraza, te zaštita prirodnih i kulturnih potencijala</w:t>
            </w:r>
          </w:p>
          <w:p w14:paraId="51262258"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Razvijanje programa i mjera za učinkovitiju zaštitu ruralne kulturne baštine, materijalne i nematerijalne</w:t>
            </w:r>
          </w:p>
          <w:p w14:paraId="3F006D19"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Osiguravanje preduvjeta za unapređivanje poljoprivredne djelatnosti daljnjim razvijanjem mjera potpora i specifičnih programa orijentiranih na zagrebačko tržište</w:t>
            </w:r>
          </w:p>
          <w:p w14:paraId="0E663DD7"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Poticanje razvoja komplementarnih aktivnosti temeljenih na i prilagođenih vrijednostima i specifičnostima prostora kao temelja za nova i atraktivna (zelena) radna mjesta osobito za mlade</w:t>
            </w:r>
          </w:p>
          <w:p w14:paraId="035F07D9"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Poticanje i razvoj inovativne turističke ponude</w:t>
            </w:r>
          </w:p>
          <w:p w14:paraId="6FBCBFC9" w14:textId="77777777" w:rsidR="00072476"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191F9C">
              <w:rPr>
                <w:rFonts w:eastAsia="Times New Roman" w:cs="Calibri"/>
                <w:sz w:val="18"/>
                <w:szCs w:val="18"/>
                <w:lang w:eastAsia="hr-HR"/>
              </w:rPr>
              <w:t>Finije strukturiranje odredbi u prostorno-planskoj dokumentaciji temeljenih na stvarnim potrebama i mogućnostima vodeći računa o specifičnom karakteru i vrijednostima prostora</w:t>
            </w:r>
          </w:p>
          <w:p w14:paraId="37166573" w14:textId="77777777" w:rsidR="00072476" w:rsidRPr="00DE5A8A"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DE5A8A">
              <w:rPr>
                <w:rFonts w:eastAsia="Times New Roman" w:cs="Calibri"/>
                <w:sz w:val="18"/>
                <w:szCs w:val="18"/>
                <w:lang w:eastAsia="hr-HR"/>
              </w:rPr>
              <w:t>Jačanje međusobne funkcionalne veze između suburbanih i ruralnih naselja susjednih jedinica lokalne i regionalne samouprave</w:t>
            </w:r>
          </w:p>
          <w:p w14:paraId="713EC81D" w14:textId="77777777" w:rsidR="00072476" w:rsidRPr="00DE5A8A"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DE5A8A">
              <w:rPr>
                <w:rFonts w:eastAsia="Times New Roman" w:cs="Calibri"/>
                <w:sz w:val="18"/>
                <w:szCs w:val="18"/>
                <w:lang w:eastAsia="hr-HR"/>
              </w:rPr>
              <w:t>Očuvanje poljoprivredne površine u funkciji gradskog tržišta i poljoprivrede za vlastiti potrebe</w:t>
            </w:r>
          </w:p>
          <w:p w14:paraId="108FEA7D" w14:textId="77777777" w:rsidR="00072476" w:rsidRPr="00DE5A8A"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DE5A8A">
              <w:rPr>
                <w:rFonts w:eastAsia="Times New Roman" w:cs="Calibri"/>
                <w:sz w:val="18"/>
                <w:szCs w:val="18"/>
                <w:lang w:eastAsia="hr-HR"/>
              </w:rPr>
              <w:t>Diversifikacija obiteljskih poljoprivrednih gospodarstava u smjeru pružanja usluge rekreacije, turizma i izravne prodaje poljoprivrednih proizvoda</w:t>
            </w:r>
          </w:p>
          <w:p w14:paraId="7C236AE3" w14:textId="77777777" w:rsidR="00072476" w:rsidRPr="00DE5A8A"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DE5A8A">
              <w:rPr>
                <w:rFonts w:eastAsia="Times New Roman" w:cs="Calibri"/>
                <w:sz w:val="18"/>
                <w:szCs w:val="18"/>
                <w:lang w:eastAsia="hr-HR"/>
              </w:rPr>
              <w:t>Poticanje ekološke proizvodnje u cilju zdrave prehrane i jačanja sustava OPG-ova</w:t>
            </w:r>
          </w:p>
          <w:p w14:paraId="75C8907B" w14:textId="77777777" w:rsidR="00072476" w:rsidRPr="00191F9C" w:rsidRDefault="00072476" w:rsidP="00165C16">
            <w:pPr>
              <w:numPr>
                <w:ilvl w:val="0"/>
                <w:numId w:val="1"/>
              </w:numPr>
              <w:tabs>
                <w:tab w:val="num" w:pos="284"/>
              </w:tabs>
              <w:spacing w:before="60" w:after="60" w:line="240" w:lineRule="auto"/>
              <w:ind w:left="284" w:right="-2" w:hanging="284"/>
              <w:rPr>
                <w:rFonts w:eastAsia="Times New Roman" w:cs="Calibri"/>
                <w:sz w:val="18"/>
                <w:szCs w:val="18"/>
                <w:lang w:eastAsia="hr-HR"/>
              </w:rPr>
            </w:pPr>
            <w:r w:rsidRPr="00DE5A8A">
              <w:rPr>
                <w:rFonts w:eastAsia="Times New Roman" w:cs="Calibri"/>
                <w:sz w:val="18"/>
                <w:szCs w:val="18"/>
                <w:lang w:eastAsia="hr-HR"/>
              </w:rPr>
              <w:t>Podrška poljoprivrednim proizvođačima pri apliciranju projekata na EU natječaje</w:t>
            </w:r>
          </w:p>
        </w:tc>
      </w:tr>
    </w:tbl>
    <w:p w14:paraId="1A5577A2" w14:textId="77777777" w:rsidR="00072476" w:rsidRPr="00191F9C" w:rsidRDefault="00072476" w:rsidP="00072476">
      <w:pPr>
        <w:tabs>
          <w:tab w:val="left" w:pos="284"/>
        </w:tabs>
        <w:spacing w:after="0" w:line="240" w:lineRule="atLeast"/>
        <w:rPr>
          <w:rFonts w:cs="Calibri"/>
          <w:lang w:eastAsia="hr-HR"/>
        </w:rPr>
      </w:pPr>
    </w:p>
    <w:p w14:paraId="5BDB3327" w14:textId="77777777" w:rsidR="00072476" w:rsidRPr="00732E86" w:rsidRDefault="00072476" w:rsidP="00072476">
      <w:pPr>
        <w:autoSpaceDE w:val="0"/>
        <w:autoSpaceDN w:val="0"/>
        <w:adjustRightInd w:val="0"/>
        <w:spacing w:after="0" w:line="240" w:lineRule="auto"/>
        <w:jc w:val="both"/>
        <w:rPr>
          <w:rFonts w:ascii="Verdana" w:eastAsia="Times New Roman" w:hAnsi="Verdana" w:cs="Calibri"/>
          <w:b/>
          <w:bCs/>
          <w:color w:val="000000"/>
          <w:kern w:val="24"/>
          <w:sz w:val="24"/>
          <w:szCs w:val="24"/>
          <w:lang w:eastAsia="hr-HR"/>
        </w:rPr>
      </w:pPr>
    </w:p>
    <w:p w14:paraId="03464CF1" w14:textId="77777777" w:rsidR="00072476" w:rsidRDefault="00072476" w:rsidP="00072476"/>
    <w:p w14:paraId="2791A958" w14:textId="3B027100" w:rsidR="00034784" w:rsidRDefault="00034784" w:rsidP="00034784">
      <w:pPr>
        <w:jc w:val="both"/>
        <w:rPr>
          <w:rFonts w:cs="Calibri"/>
        </w:rPr>
      </w:pPr>
    </w:p>
    <w:p w14:paraId="1A1A64C5" w14:textId="77777777" w:rsidR="00034784" w:rsidRPr="00EA5540" w:rsidRDefault="00034784" w:rsidP="00034784">
      <w:pPr>
        <w:spacing w:line="240" w:lineRule="auto"/>
        <w:jc w:val="both"/>
        <w:rPr>
          <w:rFonts w:cs="Calibri"/>
          <w:b/>
          <w:bCs/>
          <w:strike/>
          <w:color w:val="00B0F0"/>
        </w:rPr>
      </w:pPr>
    </w:p>
    <w:p w14:paraId="1A45EFC0" w14:textId="77777777" w:rsidR="00034784" w:rsidRDefault="00034784">
      <w:pPr>
        <w:rPr>
          <w:rFonts w:cs="Calibri"/>
          <w:b/>
          <w:bCs/>
          <w:sz w:val="24"/>
          <w:szCs w:val="24"/>
        </w:rPr>
      </w:pPr>
      <w:r>
        <w:rPr>
          <w:rFonts w:cs="Calibri"/>
          <w:b/>
          <w:bCs/>
          <w:sz w:val="24"/>
          <w:szCs w:val="24"/>
        </w:rPr>
        <w:br w:type="page"/>
      </w:r>
    </w:p>
    <w:p w14:paraId="650C43A7" w14:textId="7BD798D6" w:rsidR="00BD5055" w:rsidRDefault="00BD5055" w:rsidP="00BD5055">
      <w:pPr>
        <w:pStyle w:val="Stil2"/>
      </w:pPr>
      <w:bookmarkStart w:id="167" w:name="_Toc97123872"/>
      <w:r>
        <w:t>SWOT ANALIZA</w:t>
      </w:r>
      <w:bookmarkEnd w:id="167"/>
    </w:p>
    <w:p w14:paraId="66F960E0" w14:textId="7B5E619E" w:rsidR="004976E4" w:rsidRPr="00BD5055" w:rsidRDefault="004976E4" w:rsidP="00BD5055">
      <w:pPr>
        <w:pStyle w:val="Stil2"/>
      </w:pPr>
      <w:bookmarkStart w:id="168" w:name="_Toc97123873"/>
      <w:r w:rsidRPr="00BD5055">
        <w:rPr>
          <w:rStyle w:val="Stil2Char"/>
          <w:b/>
          <w:bCs/>
        </w:rPr>
        <w:t>SWOT - Društvo</w:t>
      </w:r>
      <w:r w:rsidRPr="00BD5055">
        <w:t xml:space="preserve"> </w:t>
      </w:r>
      <w:r w:rsidRPr="00BD5055">
        <w:rPr>
          <w:rStyle w:val="Stil2Char"/>
          <w:b/>
          <w:bCs/>
        </w:rPr>
        <w:t>(društvene djelatnosti, prava i participacija građana, upravljanje razvojem)</w:t>
      </w:r>
      <w:bookmarkEnd w:id="168"/>
      <w:r w:rsidRPr="00BD5055">
        <w:t xml:space="preserve"> </w:t>
      </w:r>
    </w:p>
    <w:tbl>
      <w:tblPr>
        <w:tblW w:w="0" w:type="auto"/>
        <w:tblLook w:val="01E0" w:firstRow="1" w:lastRow="1" w:firstColumn="1" w:lastColumn="1" w:noHBand="0" w:noVBand="0"/>
      </w:tblPr>
      <w:tblGrid>
        <w:gridCol w:w="4428"/>
        <w:gridCol w:w="4428"/>
      </w:tblGrid>
      <w:tr w:rsidR="004976E4" w14:paraId="5DBCD44E" w14:textId="77777777" w:rsidTr="001378AF">
        <w:trPr>
          <w:trHeight w:val="348"/>
        </w:trPr>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8064C6B" w14:textId="77777777" w:rsidR="004976E4" w:rsidRDefault="004976E4" w:rsidP="001378AF">
            <w:pPr>
              <w:jc w:val="center"/>
              <w:rPr>
                <w:rFonts w:cs="Calibri"/>
                <w:b/>
                <w:bCs/>
              </w:rPr>
            </w:pPr>
            <w:r>
              <w:rPr>
                <w:rFonts w:cs="Calibri"/>
                <w:b/>
                <w:bCs/>
              </w:rPr>
              <w:t>Snage (S)</w:t>
            </w:r>
          </w:p>
        </w:tc>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4AE4C95" w14:textId="77777777" w:rsidR="004976E4" w:rsidRDefault="004976E4" w:rsidP="001378AF">
            <w:pPr>
              <w:jc w:val="center"/>
              <w:rPr>
                <w:rFonts w:cs="Calibri"/>
                <w:b/>
                <w:bCs/>
              </w:rPr>
            </w:pPr>
            <w:r>
              <w:rPr>
                <w:rFonts w:cs="Calibri"/>
                <w:b/>
                <w:bCs/>
              </w:rPr>
              <w:t>Slabosti (W)</w:t>
            </w:r>
          </w:p>
        </w:tc>
      </w:tr>
      <w:tr w:rsidR="004976E4" w14:paraId="3189D6B2" w14:textId="77777777" w:rsidTr="00F50578">
        <w:trPr>
          <w:trHeight w:val="1124"/>
        </w:trPr>
        <w:tc>
          <w:tcPr>
            <w:tcW w:w="4428" w:type="dxa"/>
            <w:tcBorders>
              <w:top w:val="single" w:sz="4" w:space="0" w:color="auto"/>
              <w:left w:val="single" w:sz="4" w:space="0" w:color="auto"/>
              <w:bottom w:val="single" w:sz="4" w:space="0" w:color="auto"/>
              <w:right w:val="single" w:sz="4" w:space="0" w:color="auto"/>
            </w:tcBorders>
          </w:tcPr>
          <w:p w14:paraId="6F67D066" w14:textId="77777777" w:rsidR="00DF5F68" w:rsidRDefault="004976E4" w:rsidP="00165C16">
            <w:pPr>
              <w:pStyle w:val="Odlomakpopisa"/>
              <w:numPr>
                <w:ilvl w:val="0"/>
                <w:numId w:val="15"/>
              </w:numPr>
              <w:spacing w:after="0" w:line="240" w:lineRule="auto"/>
              <w:rPr>
                <w:rFonts w:cs="Calibri"/>
              </w:rPr>
            </w:pPr>
            <w:r w:rsidRPr="00514937">
              <w:rPr>
                <w:rFonts w:cs="Calibri"/>
              </w:rPr>
              <w:t>obrazovano stanovništvo</w:t>
            </w:r>
          </w:p>
          <w:p w14:paraId="3029AEFF" w14:textId="47788B1E" w:rsidR="004976E4" w:rsidRPr="00DF5F68" w:rsidRDefault="00DF5F68" w:rsidP="00E070D3">
            <w:pPr>
              <w:pStyle w:val="Odlomakpopisa"/>
              <w:numPr>
                <w:ilvl w:val="0"/>
                <w:numId w:val="15"/>
              </w:numPr>
              <w:rPr>
                <w:rFonts w:cs="Calibri"/>
              </w:rPr>
            </w:pPr>
            <w:r w:rsidRPr="00DF5F68">
              <w:rPr>
                <w:rFonts w:cs="Calibri"/>
              </w:rPr>
              <w:t>Zagreb – sveučilišni grad</w:t>
            </w:r>
            <w:r w:rsidR="004976E4" w:rsidRPr="00DF5F68">
              <w:rPr>
                <w:rFonts w:cs="Calibri"/>
              </w:rPr>
              <w:t xml:space="preserve"> </w:t>
            </w:r>
          </w:p>
          <w:p w14:paraId="4A2B2D60" w14:textId="77777777" w:rsidR="004976E4" w:rsidRDefault="004976E4" w:rsidP="00165C16">
            <w:pPr>
              <w:pStyle w:val="Odlomakpopisa"/>
              <w:numPr>
                <w:ilvl w:val="0"/>
                <w:numId w:val="15"/>
              </w:numPr>
              <w:spacing w:after="0" w:line="240" w:lineRule="auto"/>
              <w:rPr>
                <w:rFonts w:cs="Calibri"/>
              </w:rPr>
            </w:pPr>
            <w:r w:rsidRPr="00514937">
              <w:rPr>
                <w:rFonts w:cs="Calibri"/>
              </w:rPr>
              <w:t>povijesno i kulturno nasljeđe</w:t>
            </w:r>
          </w:p>
          <w:p w14:paraId="75789350" w14:textId="77777777" w:rsidR="004976E4" w:rsidRPr="00514937" w:rsidRDefault="004976E4" w:rsidP="00165C16">
            <w:pPr>
              <w:pStyle w:val="Odlomakpopisa"/>
              <w:numPr>
                <w:ilvl w:val="0"/>
                <w:numId w:val="15"/>
              </w:numPr>
              <w:spacing w:after="0" w:line="240" w:lineRule="auto"/>
              <w:rPr>
                <w:rFonts w:cs="Calibri"/>
              </w:rPr>
            </w:pPr>
            <w:r w:rsidRPr="00514937">
              <w:rPr>
                <w:rFonts w:cs="Calibri"/>
              </w:rPr>
              <w:t xml:space="preserve"> raznovrsne kulturne, obrazovne</w:t>
            </w:r>
            <w:r>
              <w:rPr>
                <w:rFonts w:cs="Calibri"/>
              </w:rPr>
              <w:t xml:space="preserve">, zdravstvene  i </w:t>
            </w:r>
            <w:r w:rsidRPr="00514937">
              <w:rPr>
                <w:rFonts w:cs="Calibri"/>
              </w:rPr>
              <w:t>znanstveno-istraživačke institucije</w:t>
            </w:r>
          </w:p>
          <w:p w14:paraId="2DB8634B" w14:textId="77777777" w:rsidR="004976E4" w:rsidRPr="00514937" w:rsidRDefault="004976E4" w:rsidP="00165C16">
            <w:pPr>
              <w:pStyle w:val="Odlomakpopisa"/>
              <w:numPr>
                <w:ilvl w:val="0"/>
                <w:numId w:val="15"/>
              </w:numPr>
              <w:spacing w:after="0" w:line="240" w:lineRule="auto"/>
              <w:rPr>
                <w:rFonts w:cs="Calibri"/>
                <w:lang w:val="lt-LT"/>
              </w:rPr>
            </w:pPr>
            <w:r w:rsidRPr="00514937">
              <w:rPr>
                <w:rFonts w:cs="Calibri"/>
                <w:lang w:val="lt-LT"/>
              </w:rPr>
              <w:t>raznovrsnost kulturnih programa, kreativnost/inovativnost</w:t>
            </w:r>
          </w:p>
          <w:p w14:paraId="15C5F835" w14:textId="77777777" w:rsidR="004976E4" w:rsidRPr="00514937" w:rsidRDefault="004976E4" w:rsidP="00165C16">
            <w:pPr>
              <w:pStyle w:val="Odlomakpopisa"/>
              <w:numPr>
                <w:ilvl w:val="0"/>
                <w:numId w:val="15"/>
              </w:numPr>
              <w:spacing w:after="0" w:line="240" w:lineRule="auto"/>
              <w:rPr>
                <w:rFonts w:cs="Calibri"/>
                <w:lang w:val="lt-LT"/>
              </w:rPr>
            </w:pPr>
            <w:r w:rsidRPr="00514937">
              <w:rPr>
                <w:rFonts w:cs="Calibri"/>
                <w:lang w:val="lt-LT"/>
              </w:rPr>
              <w:t>dobra reputacija i umreženost unutar kulturnog sektora</w:t>
            </w:r>
          </w:p>
          <w:p w14:paraId="66CFD96D" w14:textId="422C2615" w:rsidR="004976E4" w:rsidRPr="00514937" w:rsidRDefault="004976E4" w:rsidP="00165C16">
            <w:pPr>
              <w:pStyle w:val="Odlomakpopisa"/>
              <w:numPr>
                <w:ilvl w:val="0"/>
                <w:numId w:val="15"/>
              </w:numPr>
              <w:autoSpaceDE w:val="0"/>
              <w:autoSpaceDN w:val="0"/>
              <w:adjustRightInd w:val="0"/>
              <w:spacing w:after="0" w:line="240" w:lineRule="auto"/>
              <w:rPr>
                <w:rFonts w:cs="Calibri"/>
              </w:rPr>
            </w:pPr>
          </w:p>
          <w:p w14:paraId="4ED51213" w14:textId="2655ACC1" w:rsidR="004976E4" w:rsidRPr="00514937" w:rsidRDefault="004976E4" w:rsidP="00165C16">
            <w:pPr>
              <w:pStyle w:val="Odlomakpopisa"/>
              <w:numPr>
                <w:ilvl w:val="0"/>
                <w:numId w:val="15"/>
              </w:numPr>
              <w:autoSpaceDE w:val="0"/>
              <w:autoSpaceDN w:val="0"/>
              <w:adjustRightInd w:val="0"/>
              <w:spacing w:after="0" w:line="240" w:lineRule="auto"/>
              <w:rPr>
                <w:rFonts w:cs="Calibri"/>
              </w:rPr>
            </w:pPr>
            <w:r w:rsidRPr="00514937">
              <w:rPr>
                <w:rFonts w:cs="Calibri"/>
              </w:rPr>
              <w:t xml:space="preserve">trend </w:t>
            </w:r>
            <w:r w:rsidR="00F06B6A">
              <w:rPr>
                <w:rFonts w:cs="Calibri"/>
              </w:rPr>
              <w:t>produženja</w:t>
            </w:r>
            <w:r w:rsidRPr="00514937">
              <w:rPr>
                <w:rFonts w:cs="Calibri"/>
              </w:rPr>
              <w:t xml:space="preserve"> očekivanog trajanja života </w:t>
            </w:r>
          </w:p>
          <w:p w14:paraId="5F2336D2" w14:textId="77777777" w:rsidR="004976E4" w:rsidRPr="00514937" w:rsidRDefault="004976E4" w:rsidP="00165C16">
            <w:pPr>
              <w:pStyle w:val="Odlomakpopisa"/>
              <w:numPr>
                <w:ilvl w:val="0"/>
                <w:numId w:val="15"/>
              </w:numPr>
              <w:autoSpaceDE w:val="0"/>
              <w:autoSpaceDN w:val="0"/>
              <w:adjustRightInd w:val="0"/>
              <w:spacing w:after="0" w:line="240" w:lineRule="auto"/>
              <w:rPr>
                <w:rFonts w:cs="Calibri"/>
              </w:rPr>
            </w:pPr>
            <w:r w:rsidRPr="00514937">
              <w:rPr>
                <w:rFonts w:cs="Calibri"/>
              </w:rPr>
              <w:t>razvijen sustav socijalne skrbi (novčane pomoći i usluge iznad zakonskog standarda)</w:t>
            </w:r>
          </w:p>
          <w:p w14:paraId="64FB00E9" w14:textId="77777777" w:rsidR="004976E4" w:rsidRPr="00514937" w:rsidRDefault="004976E4" w:rsidP="00165C16">
            <w:pPr>
              <w:pStyle w:val="Odlomakpopisa"/>
              <w:numPr>
                <w:ilvl w:val="0"/>
                <w:numId w:val="15"/>
              </w:numPr>
              <w:spacing w:after="0" w:line="240" w:lineRule="auto"/>
              <w:rPr>
                <w:rFonts w:cs="Calibri"/>
              </w:rPr>
            </w:pPr>
            <w:r w:rsidRPr="00514937">
              <w:rPr>
                <w:rFonts w:cs="Calibri"/>
              </w:rPr>
              <w:t xml:space="preserve">raznovrsnost i brojnost organizacija civilnog društva </w:t>
            </w:r>
          </w:p>
          <w:p w14:paraId="0C5ED6B2" w14:textId="77777777" w:rsidR="004976E4" w:rsidRPr="00514937" w:rsidRDefault="004976E4" w:rsidP="00165C16">
            <w:pPr>
              <w:pStyle w:val="Odlomakpopisa"/>
              <w:numPr>
                <w:ilvl w:val="0"/>
                <w:numId w:val="15"/>
              </w:numPr>
              <w:spacing w:after="0" w:line="240" w:lineRule="auto"/>
              <w:rPr>
                <w:rFonts w:cs="Calibri"/>
              </w:rPr>
            </w:pPr>
            <w:r w:rsidRPr="00514937">
              <w:rPr>
                <w:rFonts w:cs="Calibri"/>
              </w:rPr>
              <w:t>prepoznatljivost po postizanju vrhunskih sportskih rezultata</w:t>
            </w:r>
          </w:p>
          <w:p w14:paraId="2D5F1B4B" w14:textId="77777777" w:rsidR="004976E4" w:rsidRDefault="004976E4" w:rsidP="00F50578">
            <w:pPr>
              <w:rPr>
                <w:rFonts w:cs="Calibri"/>
              </w:rPr>
            </w:pPr>
          </w:p>
        </w:tc>
        <w:tc>
          <w:tcPr>
            <w:tcW w:w="4428" w:type="dxa"/>
            <w:tcBorders>
              <w:top w:val="single" w:sz="4" w:space="0" w:color="auto"/>
              <w:left w:val="single" w:sz="4" w:space="0" w:color="auto"/>
              <w:bottom w:val="single" w:sz="4" w:space="0" w:color="auto"/>
              <w:right w:val="single" w:sz="4" w:space="0" w:color="auto"/>
            </w:tcBorders>
            <w:hideMark/>
          </w:tcPr>
          <w:p w14:paraId="34A6E1AA" w14:textId="77777777" w:rsidR="004976E4" w:rsidRPr="00514937" w:rsidRDefault="004976E4" w:rsidP="00165C16">
            <w:pPr>
              <w:pStyle w:val="Odlomakpopisa"/>
              <w:numPr>
                <w:ilvl w:val="0"/>
                <w:numId w:val="15"/>
              </w:numPr>
              <w:autoSpaceDE w:val="0"/>
              <w:autoSpaceDN w:val="0"/>
              <w:adjustRightInd w:val="0"/>
              <w:spacing w:after="0" w:line="240" w:lineRule="auto"/>
              <w:rPr>
                <w:rFonts w:cs="Calibri"/>
              </w:rPr>
            </w:pPr>
            <w:r w:rsidRPr="00514937">
              <w:rPr>
                <w:rFonts w:cs="Calibri"/>
              </w:rPr>
              <w:t>nedostatak financijskih sredstava za izgradnju utvrđenih prostornih potreba društvenih djelatnosti i realizaciju planiranih programa</w:t>
            </w:r>
          </w:p>
          <w:p w14:paraId="012C134C" w14:textId="680B1087" w:rsidR="004976E4" w:rsidRPr="00514937" w:rsidRDefault="004976E4" w:rsidP="00165C16">
            <w:pPr>
              <w:pStyle w:val="Odlomakpopisa"/>
              <w:numPr>
                <w:ilvl w:val="0"/>
                <w:numId w:val="15"/>
              </w:numPr>
              <w:autoSpaceDE w:val="0"/>
              <w:autoSpaceDN w:val="0"/>
              <w:adjustRightInd w:val="0"/>
              <w:spacing w:after="0" w:line="240" w:lineRule="auto"/>
              <w:rPr>
                <w:rFonts w:cs="Calibri"/>
              </w:rPr>
            </w:pPr>
            <w:r w:rsidRPr="00514937">
              <w:rPr>
                <w:rFonts w:cs="Calibri"/>
              </w:rPr>
              <w:t>premal</w:t>
            </w:r>
            <w:r w:rsidR="00E84D50">
              <w:rPr>
                <w:rFonts w:cs="Calibri"/>
              </w:rPr>
              <w:t xml:space="preserve">o  </w:t>
            </w:r>
            <w:r w:rsidRPr="00514937">
              <w:rPr>
                <w:rFonts w:cs="Calibri"/>
              </w:rPr>
              <w:t>građana uključenih u sportske aktivnosti</w:t>
            </w:r>
          </w:p>
          <w:p w14:paraId="225DBC2E" w14:textId="77777777" w:rsidR="00B15A4F" w:rsidRDefault="004976E4" w:rsidP="00165C16">
            <w:pPr>
              <w:pStyle w:val="Odlomakpopisa"/>
              <w:numPr>
                <w:ilvl w:val="0"/>
                <w:numId w:val="15"/>
              </w:numPr>
              <w:autoSpaceDE w:val="0"/>
              <w:autoSpaceDN w:val="0"/>
              <w:adjustRightInd w:val="0"/>
              <w:spacing w:after="0" w:line="240" w:lineRule="auto"/>
              <w:rPr>
                <w:rFonts w:cs="Calibri"/>
              </w:rPr>
            </w:pPr>
            <w:r w:rsidRPr="00514937">
              <w:rPr>
                <w:rFonts w:cs="Calibri"/>
              </w:rPr>
              <w:t>nedostatan broj, dotrajalost i neravnomjerna raspodjela postojećih sportskih i rekreativnih objekata</w:t>
            </w:r>
          </w:p>
          <w:p w14:paraId="12ED0A9A" w14:textId="23073C85" w:rsidR="004976E4" w:rsidRPr="00B15A4F" w:rsidRDefault="004976E4" w:rsidP="006535CB">
            <w:pPr>
              <w:pStyle w:val="Odlomakpopisa"/>
              <w:numPr>
                <w:ilvl w:val="0"/>
                <w:numId w:val="15"/>
              </w:numPr>
              <w:rPr>
                <w:rFonts w:cs="Calibri"/>
              </w:rPr>
            </w:pPr>
            <w:r w:rsidRPr="00B15A4F">
              <w:rPr>
                <w:rFonts w:cs="Calibri"/>
              </w:rPr>
              <w:t xml:space="preserve"> </w:t>
            </w:r>
            <w:r w:rsidR="00B15A4F" w:rsidRPr="00B15A4F">
              <w:rPr>
                <w:rFonts w:cs="Calibri"/>
              </w:rPr>
              <w:t xml:space="preserve">nedovoljna tjelesna aktivnost građana </w:t>
            </w:r>
            <w:r w:rsidR="00F32031">
              <w:rPr>
                <w:rFonts w:cs="Calibri"/>
              </w:rPr>
              <w:t>koja</w:t>
            </w:r>
            <w:r w:rsidR="00564F60">
              <w:rPr>
                <w:rFonts w:cs="Calibri"/>
              </w:rPr>
              <w:t xml:space="preserve"> </w:t>
            </w:r>
            <w:r w:rsidR="00B15A4F" w:rsidRPr="00B15A4F">
              <w:rPr>
                <w:rFonts w:cs="Calibri"/>
              </w:rPr>
              <w:t>predstavlja opasnost za zdravlje, funkcionalnu sposobnost i kvalitetu života</w:t>
            </w:r>
          </w:p>
          <w:p w14:paraId="2ABC6E12" w14:textId="77777777" w:rsidR="004976E4" w:rsidRPr="00514937" w:rsidRDefault="004976E4" w:rsidP="00165C16">
            <w:pPr>
              <w:pStyle w:val="Odlomakpopisa"/>
              <w:numPr>
                <w:ilvl w:val="0"/>
                <w:numId w:val="15"/>
              </w:numPr>
              <w:autoSpaceDE w:val="0"/>
              <w:autoSpaceDN w:val="0"/>
              <w:adjustRightInd w:val="0"/>
              <w:spacing w:after="0" w:line="240" w:lineRule="auto"/>
              <w:rPr>
                <w:rFonts w:cs="Calibri"/>
              </w:rPr>
            </w:pPr>
            <w:r w:rsidRPr="00514937">
              <w:rPr>
                <w:rFonts w:cs="Calibri"/>
              </w:rPr>
              <w:t xml:space="preserve">nedovoljni kapaciteti i dotrajalost odgojno obrazovnih ustanova </w:t>
            </w:r>
          </w:p>
          <w:p w14:paraId="19D76964" w14:textId="77777777" w:rsidR="004976E4" w:rsidRPr="00514937" w:rsidRDefault="004976E4" w:rsidP="00165C16">
            <w:pPr>
              <w:pStyle w:val="Odlomakpopisa"/>
              <w:numPr>
                <w:ilvl w:val="0"/>
                <w:numId w:val="15"/>
              </w:numPr>
              <w:autoSpaceDE w:val="0"/>
              <w:autoSpaceDN w:val="0"/>
              <w:adjustRightInd w:val="0"/>
              <w:spacing w:after="0" w:line="240" w:lineRule="auto"/>
              <w:rPr>
                <w:rFonts w:cs="Calibri"/>
              </w:rPr>
            </w:pPr>
            <w:r w:rsidRPr="00514937">
              <w:rPr>
                <w:rFonts w:cs="Calibri"/>
              </w:rPr>
              <w:t>nedostatak stambenih zajednica</w:t>
            </w:r>
          </w:p>
          <w:p w14:paraId="77F2F00A" w14:textId="225BC18B"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nedovoljna umreženost dionika sustava socijalne skrbi lokalnoj razini</w:t>
            </w:r>
          </w:p>
          <w:p w14:paraId="3DEF9580"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neadekvatna uključenost marginaliziranih skupina</w:t>
            </w:r>
          </w:p>
          <w:p w14:paraId="128464E4" w14:textId="35511D55" w:rsidR="004A307A" w:rsidRPr="00392F62" w:rsidRDefault="004976E4" w:rsidP="00392F62">
            <w:pPr>
              <w:pStyle w:val="Odlomakpopisa"/>
              <w:numPr>
                <w:ilvl w:val="0"/>
                <w:numId w:val="16"/>
              </w:numPr>
              <w:autoSpaceDE w:val="0"/>
              <w:autoSpaceDN w:val="0"/>
              <w:adjustRightInd w:val="0"/>
              <w:spacing w:after="0" w:line="240" w:lineRule="auto"/>
              <w:rPr>
                <w:rFonts w:cs="Calibri"/>
              </w:rPr>
            </w:pPr>
            <w:r w:rsidRPr="00514937">
              <w:rPr>
                <w:rFonts w:cs="Calibri"/>
              </w:rPr>
              <w:t>nedostatak izvaninstitucijskih oblika skrbi za mlade koji izlaze iz alternativnih oblika skrbi i za beskućnike</w:t>
            </w:r>
          </w:p>
          <w:p w14:paraId="5168E155" w14:textId="62592F9C" w:rsidR="004A307A" w:rsidRPr="004A307A" w:rsidRDefault="004A307A" w:rsidP="004A307A">
            <w:pPr>
              <w:pStyle w:val="Odlomakpopisa"/>
              <w:numPr>
                <w:ilvl w:val="0"/>
                <w:numId w:val="16"/>
              </w:numPr>
              <w:autoSpaceDE w:val="0"/>
              <w:autoSpaceDN w:val="0"/>
              <w:adjustRightInd w:val="0"/>
              <w:spacing w:after="0" w:line="240" w:lineRule="auto"/>
              <w:rPr>
                <w:rFonts w:cs="Calibri"/>
              </w:rPr>
            </w:pPr>
            <w:r w:rsidRPr="004A307A">
              <w:rPr>
                <w:rFonts w:cs="Calibri"/>
              </w:rPr>
              <w:t>smanjena dostupnost zdravstvenih i bolničkih kapaciteta osobito u pojedinim zdravstvenim djelatnostima; dotrajalost zdravstvenih objekata i opreme</w:t>
            </w:r>
          </w:p>
          <w:p w14:paraId="3277F074"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stopa smrtnosti veća od EU prosjeka (kronične bolesti, ozljede, neke vrste raka i dr.)</w:t>
            </w:r>
          </w:p>
          <w:p w14:paraId="2DBE7432"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nedostatni kapaciteti usluga  u području palijativne skrbi</w:t>
            </w:r>
          </w:p>
          <w:p w14:paraId="7E7C5F4D"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nedostatak smještajnih kapaciteta za starije osobe</w:t>
            </w:r>
          </w:p>
          <w:p w14:paraId="04611592"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nedostatni kapaciteti usluga u području rane intervencije</w:t>
            </w:r>
          </w:p>
          <w:p w14:paraId="1B853A9D"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nedovoljna razina svijesti građana o potrebi uključivanja u sustave civilne zaštite</w:t>
            </w:r>
          </w:p>
          <w:p w14:paraId="612651D4"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vandalizam / grafiti</w:t>
            </w:r>
          </w:p>
          <w:p w14:paraId="161E2615"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nepostojanje kriterija vrednovanja rada, rezultata i razvojnih učinaka organizacija civilnog društva</w:t>
            </w:r>
          </w:p>
          <w:p w14:paraId="1DA7B4F8"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nedovoljna povezanost gospodarstva i znanosti/istraživanja</w:t>
            </w:r>
          </w:p>
          <w:p w14:paraId="45D6508E" w14:textId="77777777" w:rsidR="004976E4" w:rsidRPr="00514937" w:rsidRDefault="004976E4" w:rsidP="00165C16">
            <w:pPr>
              <w:pStyle w:val="Odlomakpopisa"/>
              <w:numPr>
                <w:ilvl w:val="0"/>
                <w:numId w:val="16"/>
              </w:numPr>
              <w:autoSpaceDE w:val="0"/>
              <w:autoSpaceDN w:val="0"/>
              <w:adjustRightInd w:val="0"/>
              <w:spacing w:after="0" w:line="240" w:lineRule="auto"/>
              <w:rPr>
                <w:rFonts w:cs="Calibri"/>
              </w:rPr>
            </w:pPr>
            <w:r w:rsidRPr="00514937">
              <w:rPr>
                <w:rFonts w:cs="Calibri"/>
              </w:rPr>
              <w:t>nedovoljno razvijene metode razvoja publike  kroz kulturne programe</w:t>
            </w:r>
          </w:p>
          <w:p w14:paraId="49DD35D8" w14:textId="31A0BE96" w:rsidR="004976E4" w:rsidRPr="00EE5C87" w:rsidRDefault="00EE5C87" w:rsidP="00EE5C87">
            <w:pPr>
              <w:autoSpaceDE w:val="0"/>
              <w:autoSpaceDN w:val="0"/>
              <w:adjustRightInd w:val="0"/>
              <w:spacing w:after="0" w:line="240" w:lineRule="auto"/>
              <w:ind w:left="45"/>
              <w:rPr>
                <w:rFonts w:cs="Calibri"/>
              </w:rPr>
            </w:pPr>
            <w:r>
              <w:rPr>
                <w:rFonts w:cs="Calibri"/>
              </w:rPr>
              <w:t xml:space="preserve">- </w:t>
            </w:r>
            <w:r w:rsidR="004976E4" w:rsidRPr="00EE5C87">
              <w:rPr>
                <w:rFonts w:cs="Calibri"/>
              </w:rPr>
              <w:t xml:space="preserve">nedovoljna iskorištenost informacijskih i komunikacijskih tehnologija za povećanje dostupnosti kulturnih sadržaja </w:t>
            </w:r>
          </w:p>
          <w:p w14:paraId="46678CA4" w14:textId="77777777" w:rsidR="004976E4" w:rsidRDefault="004976E4" w:rsidP="00F50578">
            <w:pPr>
              <w:autoSpaceDE w:val="0"/>
              <w:autoSpaceDN w:val="0"/>
              <w:adjustRightInd w:val="0"/>
              <w:spacing w:after="0" w:line="240" w:lineRule="auto"/>
              <w:rPr>
                <w:rFonts w:cs="Calibri"/>
                <w:lang w:eastAsia="x-none"/>
              </w:rPr>
            </w:pPr>
            <w:r w:rsidRPr="00F458D7">
              <w:rPr>
                <w:rFonts w:cs="Calibri"/>
              </w:rPr>
              <w:t>-</w:t>
            </w:r>
            <w:r w:rsidRPr="00514937">
              <w:rPr>
                <w:rFonts w:cs="Calibri"/>
                <w:lang w:eastAsia="x-none"/>
              </w:rPr>
              <w:t xml:space="preserve"> nedovoljno razvijena metodologija </w:t>
            </w:r>
            <w:r>
              <w:rPr>
                <w:rFonts w:cs="Calibri"/>
                <w:lang w:eastAsia="x-none"/>
              </w:rPr>
              <w:t xml:space="preserve"> </w:t>
            </w:r>
          </w:p>
          <w:p w14:paraId="0DF4E257" w14:textId="77777777" w:rsidR="004976E4" w:rsidRDefault="004976E4" w:rsidP="00F50578">
            <w:pPr>
              <w:autoSpaceDE w:val="0"/>
              <w:autoSpaceDN w:val="0"/>
              <w:adjustRightInd w:val="0"/>
              <w:spacing w:after="0" w:line="240" w:lineRule="auto"/>
              <w:rPr>
                <w:rFonts w:cs="Calibri"/>
                <w:lang w:eastAsia="x-none"/>
              </w:rPr>
            </w:pPr>
            <w:r w:rsidRPr="00514937">
              <w:rPr>
                <w:rFonts w:cs="Calibri"/>
                <w:lang w:eastAsia="x-none"/>
              </w:rPr>
              <w:t>valorizacije i nedostaci strateškog planiranja i monitoringa</w:t>
            </w:r>
          </w:p>
          <w:p w14:paraId="3A37D228" w14:textId="77777777" w:rsidR="00DF5F68" w:rsidRDefault="00DF5F68" w:rsidP="00F50578">
            <w:pPr>
              <w:autoSpaceDE w:val="0"/>
              <w:autoSpaceDN w:val="0"/>
              <w:adjustRightInd w:val="0"/>
              <w:spacing w:after="0" w:line="240" w:lineRule="auto"/>
              <w:rPr>
                <w:rFonts w:cs="Calibri"/>
                <w:lang w:eastAsia="x-none"/>
              </w:rPr>
            </w:pPr>
            <w:r>
              <w:rPr>
                <w:rFonts w:cs="Calibri"/>
                <w:lang w:eastAsia="x-none"/>
              </w:rPr>
              <w:t>-</w:t>
            </w:r>
            <w:r>
              <w:t xml:space="preserve"> </w:t>
            </w:r>
            <w:r w:rsidRPr="00DF5F68">
              <w:rPr>
                <w:rFonts w:cs="Calibri"/>
                <w:lang w:eastAsia="x-none"/>
              </w:rPr>
              <w:t>nedovoljno razvijeni kapaciteti ljudskih potencijala  i nedostatak iskustva unutar organizacija civilnog društva u povlačenju bespovratnih sredstava iz programa i fondova Europske unije</w:t>
            </w:r>
          </w:p>
          <w:p w14:paraId="0D8B3C02" w14:textId="47C988E3" w:rsidR="00AA47D6" w:rsidRDefault="00AA47D6" w:rsidP="00F50578">
            <w:pPr>
              <w:autoSpaceDE w:val="0"/>
              <w:autoSpaceDN w:val="0"/>
              <w:adjustRightInd w:val="0"/>
              <w:spacing w:after="0" w:line="240" w:lineRule="auto"/>
              <w:rPr>
                <w:rFonts w:cs="Calibri"/>
              </w:rPr>
            </w:pPr>
            <w:r w:rsidRPr="00AA47D6">
              <w:rPr>
                <w:rFonts w:cs="Calibri"/>
              </w:rPr>
              <w:t>-</w:t>
            </w:r>
            <w:r>
              <w:rPr>
                <w:rFonts w:cs="Calibri"/>
              </w:rPr>
              <w:t xml:space="preserve"> </w:t>
            </w:r>
            <w:r w:rsidRPr="00AA47D6">
              <w:rPr>
                <w:rFonts w:cs="Calibri"/>
              </w:rPr>
              <w:t>ovisnost razvojnih strategija, projekata i programa o političkim promjenama i političkoj volji u Gradu</w:t>
            </w:r>
          </w:p>
        </w:tc>
      </w:tr>
      <w:tr w:rsidR="004976E4" w14:paraId="01FEB502" w14:textId="77777777" w:rsidTr="00F81346">
        <w:trPr>
          <w:trHeight w:val="309"/>
        </w:trPr>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FFE2676" w14:textId="77777777" w:rsidR="004976E4" w:rsidRDefault="004976E4" w:rsidP="00F81346">
            <w:pPr>
              <w:jc w:val="center"/>
              <w:rPr>
                <w:rFonts w:cs="Calibri"/>
                <w:b/>
                <w:bCs/>
              </w:rPr>
            </w:pPr>
            <w:r>
              <w:rPr>
                <w:rFonts w:cs="Calibri"/>
                <w:b/>
                <w:bCs/>
              </w:rPr>
              <w:t>Prilike (O)</w:t>
            </w:r>
          </w:p>
        </w:tc>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162E66" w14:textId="77777777" w:rsidR="004976E4" w:rsidRDefault="004976E4" w:rsidP="00F81346">
            <w:pPr>
              <w:jc w:val="center"/>
              <w:rPr>
                <w:rFonts w:cs="Calibri"/>
                <w:b/>
                <w:bCs/>
              </w:rPr>
            </w:pPr>
            <w:r>
              <w:rPr>
                <w:rFonts w:cs="Calibri"/>
                <w:b/>
                <w:bCs/>
              </w:rPr>
              <w:t>Prijetnje (T)</w:t>
            </w:r>
          </w:p>
        </w:tc>
      </w:tr>
      <w:tr w:rsidR="004976E4" w14:paraId="1AE97825" w14:textId="77777777" w:rsidTr="00F50578">
        <w:trPr>
          <w:trHeight w:val="4958"/>
        </w:trPr>
        <w:tc>
          <w:tcPr>
            <w:tcW w:w="4428" w:type="dxa"/>
            <w:tcBorders>
              <w:top w:val="single" w:sz="4" w:space="0" w:color="auto"/>
              <w:left w:val="single" w:sz="4" w:space="0" w:color="auto"/>
              <w:bottom w:val="single" w:sz="4" w:space="0" w:color="auto"/>
              <w:right w:val="single" w:sz="4" w:space="0" w:color="auto"/>
            </w:tcBorders>
            <w:hideMark/>
          </w:tcPr>
          <w:p w14:paraId="2372B8D0" w14:textId="781D6451" w:rsidR="004976E4" w:rsidRPr="009F67AF" w:rsidRDefault="004976E4" w:rsidP="00165C16">
            <w:pPr>
              <w:pStyle w:val="Odlomakpopisa"/>
              <w:numPr>
                <w:ilvl w:val="0"/>
                <w:numId w:val="17"/>
              </w:numPr>
              <w:spacing w:after="0" w:line="240" w:lineRule="auto"/>
              <w:rPr>
                <w:rFonts w:cs="Calibri"/>
              </w:rPr>
            </w:pPr>
            <w:r w:rsidRPr="009F67AF">
              <w:rPr>
                <w:rFonts w:cs="Calibri"/>
              </w:rPr>
              <w:t xml:space="preserve"> novi izvor</w:t>
            </w:r>
            <w:r w:rsidR="005B41BF">
              <w:rPr>
                <w:rFonts w:cs="Calibri"/>
              </w:rPr>
              <w:t>i</w:t>
            </w:r>
            <w:r w:rsidRPr="009F67AF">
              <w:rPr>
                <w:rFonts w:cs="Calibri"/>
              </w:rPr>
              <w:t xml:space="preserve"> financiranja</w:t>
            </w:r>
          </w:p>
          <w:p w14:paraId="0328C80E" w14:textId="4BEAD38E" w:rsidR="004976E4" w:rsidRPr="009F67AF" w:rsidRDefault="004976E4" w:rsidP="00165C16">
            <w:pPr>
              <w:pStyle w:val="Odlomakpopisa"/>
              <w:numPr>
                <w:ilvl w:val="0"/>
                <w:numId w:val="17"/>
              </w:numPr>
              <w:spacing w:after="0" w:line="240" w:lineRule="auto"/>
              <w:rPr>
                <w:rFonts w:cs="Calibri"/>
              </w:rPr>
            </w:pPr>
            <w:r w:rsidRPr="009F67AF">
              <w:rPr>
                <w:rFonts w:cs="Calibri"/>
              </w:rPr>
              <w:t>ESI fondov</w:t>
            </w:r>
            <w:r w:rsidR="005B41BF">
              <w:rPr>
                <w:rFonts w:cs="Calibri"/>
              </w:rPr>
              <w:t>i</w:t>
            </w:r>
            <w:r w:rsidRPr="009F67AF">
              <w:rPr>
                <w:rFonts w:cs="Calibri"/>
              </w:rPr>
              <w:t xml:space="preserve"> i drugi inozemni financijski izvor</w:t>
            </w:r>
            <w:r w:rsidR="005B41BF">
              <w:rPr>
                <w:rFonts w:cs="Calibri"/>
              </w:rPr>
              <w:t>i</w:t>
            </w:r>
            <w:r w:rsidRPr="009F67AF">
              <w:rPr>
                <w:rFonts w:cs="Calibri"/>
              </w:rPr>
              <w:t xml:space="preserve"> za razvoj Grada</w:t>
            </w:r>
          </w:p>
          <w:p w14:paraId="4E8F65F3" w14:textId="0AC2C728" w:rsidR="004976E4" w:rsidRPr="009F67AF" w:rsidRDefault="004976E4" w:rsidP="00165C16">
            <w:pPr>
              <w:pStyle w:val="Odlomakpopisa"/>
              <w:numPr>
                <w:ilvl w:val="0"/>
                <w:numId w:val="17"/>
              </w:numPr>
              <w:spacing w:after="200" w:line="276" w:lineRule="auto"/>
            </w:pPr>
            <w:r>
              <w:t>sredstva EU i/ili sredstva drugih nacionalnih i/ili međunarodnih izvora financiranja</w:t>
            </w:r>
          </w:p>
          <w:p w14:paraId="6E470334" w14:textId="77777777" w:rsidR="004976E4" w:rsidRPr="009F67AF" w:rsidRDefault="004976E4" w:rsidP="00165C16">
            <w:pPr>
              <w:pStyle w:val="Odlomakpopisa"/>
              <w:numPr>
                <w:ilvl w:val="0"/>
                <w:numId w:val="17"/>
              </w:numPr>
              <w:spacing w:after="0" w:line="240" w:lineRule="auto"/>
              <w:rPr>
                <w:rFonts w:cs="Calibri"/>
              </w:rPr>
            </w:pPr>
            <w:r w:rsidRPr="009F67AF">
              <w:rPr>
                <w:rFonts w:cs="Calibri"/>
              </w:rPr>
              <w:t>europski programi cjeloživotnog obrazovanja i prekvalifikacije</w:t>
            </w:r>
          </w:p>
          <w:p w14:paraId="450C633F" w14:textId="77777777" w:rsidR="004976E4" w:rsidRDefault="004976E4" w:rsidP="00165C16">
            <w:pPr>
              <w:pStyle w:val="Odlomakpopisa"/>
              <w:numPr>
                <w:ilvl w:val="0"/>
                <w:numId w:val="17"/>
              </w:numPr>
              <w:spacing w:after="200" w:line="276" w:lineRule="auto"/>
            </w:pPr>
            <w:r w:rsidRPr="00514937">
              <w:rPr>
                <w:rFonts w:cs="Calibri"/>
              </w:rPr>
              <w:t>organizacija međunarodnih sportskih i kulturnih događanja koja pozicioniraju Zagreb na međunarodnoj sceni</w:t>
            </w:r>
          </w:p>
          <w:p w14:paraId="6ABAA2AC" w14:textId="77777777" w:rsidR="004976E4" w:rsidRPr="009F67AF" w:rsidRDefault="004976E4" w:rsidP="00165C16">
            <w:pPr>
              <w:pStyle w:val="Odlomakpopisa"/>
              <w:numPr>
                <w:ilvl w:val="0"/>
                <w:numId w:val="17"/>
              </w:numPr>
              <w:spacing w:after="0" w:line="240" w:lineRule="auto"/>
              <w:rPr>
                <w:rFonts w:cs="Calibri"/>
              </w:rPr>
            </w:pPr>
            <w:r w:rsidRPr="009F67AF">
              <w:rPr>
                <w:rFonts w:cs="Calibri"/>
              </w:rPr>
              <w:t>sudjelovanje u međunarodnim projektima  (umrežavanje s institucijama i drugim akterima civilnog sektora na europskoj razini u svrhu transfera znanja, iskustava i primjera dobre prakse)</w:t>
            </w:r>
          </w:p>
          <w:p w14:paraId="14FF8903" w14:textId="77777777" w:rsidR="004976E4" w:rsidRPr="009F67AF" w:rsidRDefault="004976E4" w:rsidP="00165C16">
            <w:pPr>
              <w:pStyle w:val="Odlomakpopisa"/>
              <w:numPr>
                <w:ilvl w:val="0"/>
                <w:numId w:val="17"/>
              </w:numPr>
              <w:spacing w:after="0" w:line="240" w:lineRule="auto"/>
              <w:rPr>
                <w:rFonts w:cs="Calibri"/>
              </w:rPr>
            </w:pPr>
            <w:r w:rsidRPr="009F67AF">
              <w:rPr>
                <w:rFonts w:cs="Calibri"/>
              </w:rPr>
              <w:t>umrežavanje i razmjena iskustava s gradovima unutar RH, EU i šire (partnerski programi)</w:t>
            </w:r>
          </w:p>
          <w:p w14:paraId="4090F19D" w14:textId="77777777" w:rsidR="004976E4" w:rsidRPr="009F67AF" w:rsidRDefault="004976E4" w:rsidP="00165C16">
            <w:pPr>
              <w:pStyle w:val="Odlomakpopisa"/>
              <w:numPr>
                <w:ilvl w:val="0"/>
                <w:numId w:val="17"/>
              </w:numPr>
              <w:spacing w:after="0" w:line="240" w:lineRule="auto"/>
              <w:rPr>
                <w:rFonts w:cs="Calibri"/>
              </w:rPr>
            </w:pPr>
            <w:r w:rsidRPr="009F67AF">
              <w:rPr>
                <w:rFonts w:cs="Calibri"/>
              </w:rPr>
              <w:t>pozicioniranje kao poveznica između EU i JI Europe</w:t>
            </w:r>
          </w:p>
          <w:p w14:paraId="392B88A0" w14:textId="52C79BD7" w:rsidR="004976E4" w:rsidRPr="0000743F" w:rsidRDefault="004976E4" w:rsidP="0000743F">
            <w:pPr>
              <w:pStyle w:val="Odlomakpopisa"/>
              <w:numPr>
                <w:ilvl w:val="0"/>
                <w:numId w:val="17"/>
              </w:numPr>
              <w:spacing w:after="0" w:line="240" w:lineRule="auto"/>
              <w:rPr>
                <w:rFonts w:cs="Calibri"/>
              </w:rPr>
            </w:pPr>
            <w:r w:rsidRPr="009F67AF">
              <w:rPr>
                <w:rFonts w:cs="Calibri"/>
              </w:rPr>
              <w:t xml:space="preserve">porast potražnje za kulturnim turizmom i (alternativnim) kulturnim sadržajima </w:t>
            </w:r>
          </w:p>
        </w:tc>
        <w:tc>
          <w:tcPr>
            <w:tcW w:w="4428" w:type="dxa"/>
            <w:tcBorders>
              <w:top w:val="single" w:sz="4" w:space="0" w:color="auto"/>
              <w:left w:val="single" w:sz="4" w:space="0" w:color="auto"/>
              <w:bottom w:val="single" w:sz="4" w:space="0" w:color="auto"/>
              <w:right w:val="single" w:sz="4" w:space="0" w:color="auto"/>
            </w:tcBorders>
          </w:tcPr>
          <w:p w14:paraId="56253824" w14:textId="77777777" w:rsidR="004976E4" w:rsidRPr="00514937" w:rsidRDefault="004976E4" w:rsidP="00165C16">
            <w:pPr>
              <w:pStyle w:val="Odlomakpopisa"/>
              <w:numPr>
                <w:ilvl w:val="0"/>
                <w:numId w:val="17"/>
              </w:numPr>
              <w:spacing w:after="0" w:line="240" w:lineRule="auto"/>
              <w:rPr>
                <w:rFonts w:cs="Calibri"/>
              </w:rPr>
            </w:pPr>
            <w:r w:rsidRPr="00514937">
              <w:rPr>
                <w:rFonts w:cs="Calibri"/>
              </w:rPr>
              <w:t xml:space="preserve">gubitak dijela proračunskih prihoda zbog promjena poreznih politika i smanjivanje ovlasti jedinica lokalne / regionalne samouprave </w:t>
            </w:r>
          </w:p>
          <w:p w14:paraId="6CE7AAFF" w14:textId="77777777" w:rsidR="004976E4" w:rsidRPr="00514937" w:rsidRDefault="004976E4" w:rsidP="00165C16">
            <w:pPr>
              <w:pStyle w:val="Odlomakpopisa"/>
              <w:numPr>
                <w:ilvl w:val="0"/>
                <w:numId w:val="17"/>
              </w:numPr>
              <w:spacing w:after="0" w:line="240" w:lineRule="auto"/>
              <w:rPr>
                <w:rFonts w:cs="Calibri"/>
              </w:rPr>
            </w:pPr>
            <w:r w:rsidRPr="00514937">
              <w:rPr>
                <w:rFonts w:cs="Calibri"/>
              </w:rPr>
              <w:t xml:space="preserve">konkurencija drugih europskih gradova u apliciranju i korištenju sredstava EU fondova </w:t>
            </w:r>
          </w:p>
          <w:p w14:paraId="0E97E463" w14:textId="78D86D1B" w:rsidR="004976E4" w:rsidRPr="00514937" w:rsidRDefault="004976E4" w:rsidP="00165C16">
            <w:pPr>
              <w:pStyle w:val="Odlomakpopisa"/>
              <w:numPr>
                <w:ilvl w:val="0"/>
                <w:numId w:val="17"/>
              </w:numPr>
              <w:spacing w:after="0" w:line="240" w:lineRule="auto"/>
              <w:rPr>
                <w:rFonts w:cs="Calibri"/>
              </w:rPr>
            </w:pPr>
            <w:r w:rsidRPr="00514937">
              <w:rPr>
                <w:rFonts w:cs="Calibri"/>
              </w:rPr>
              <w:t>ovisnost razvojnih strategija, projekata i programa o političkim promjenama i političkoj volji u državi</w:t>
            </w:r>
          </w:p>
          <w:p w14:paraId="40357C46" w14:textId="77777777" w:rsidR="004976E4" w:rsidRPr="00514937" w:rsidRDefault="004976E4" w:rsidP="00165C16">
            <w:pPr>
              <w:pStyle w:val="Odlomakpopisa"/>
              <w:numPr>
                <w:ilvl w:val="0"/>
                <w:numId w:val="17"/>
              </w:numPr>
              <w:spacing w:after="0" w:line="240" w:lineRule="auto"/>
              <w:rPr>
                <w:rFonts w:cs="Calibri"/>
              </w:rPr>
            </w:pPr>
            <w:r w:rsidRPr="00514937">
              <w:rPr>
                <w:rFonts w:cs="Calibri"/>
              </w:rPr>
              <w:t>neusklađenost ponude i potražnje za radnom snagom i prema opsegu i prema kvalitativnoj strukturi</w:t>
            </w:r>
          </w:p>
          <w:p w14:paraId="5EED5C60" w14:textId="77777777" w:rsidR="004976E4" w:rsidRPr="00514937" w:rsidRDefault="004976E4" w:rsidP="00165C16">
            <w:pPr>
              <w:pStyle w:val="Odlomakpopisa"/>
              <w:numPr>
                <w:ilvl w:val="0"/>
                <w:numId w:val="17"/>
              </w:numPr>
              <w:spacing w:after="0" w:line="240" w:lineRule="auto"/>
              <w:rPr>
                <w:rFonts w:cs="Calibri"/>
              </w:rPr>
            </w:pPr>
            <w:r w:rsidRPr="00514937">
              <w:rPr>
                <w:rFonts w:cs="Calibri"/>
              </w:rPr>
              <w:t>jačanje trenda odljeva stručnjaka</w:t>
            </w:r>
          </w:p>
          <w:p w14:paraId="52FDABA3" w14:textId="77777777" w:rsidR="004976E4" w:rsidRPr="00514937" w:rsidRDefault="004976E4" w:rsidP="00165C16">
            <w:pPr>
              <w:pStyle w:val="Odlomakpopisa"/>
              <w:numPr>
                <w:ilvl w:val="0"/>
                <w:numId w:val="17"/>
              </w:numPr>
              <w:spacing w:after="0" w:line="240" w:lineRule="auto"/>
              <w:rPr>
                <w:rFonts w:cs="Calibri"/>
              </w:rPr>
            </w:pPr>
            <w:r w:rsidRPr="00514937">
              <w:rPr>
                <w:rFonts w:cs="Calibri"/>
              </w:rPr>
              <w:t>globalna i nacionalna gospodarska kriza te opća kriza vrijednosti</w:t>
            </w:r>
          </w:p>
          <w:p w14:paraId="68AE611B" w14:textId="77777777" w:rsidR="004976E4" w:rsidRPr="00514937" w:rsidRDefault="004976E4" w:rsidP="00165C16">
            <w:pPr>
              <w:pStyle w:val="Odlomakpopisa"/>
              <w:numPr>
                <w:ilvl w:val="0"/>
                <w:numId w:val="17"/>
              </w:numPr>
              <w:spacing w:after="0" w:line="240" w:lineRule="auto"/>
              <w:rPr>
                <w:rFonts w:cs="Calibri"/>
              </w:rPr>
            </w:pPr>
            <w:r w:rsidRPr="00514937">
              <w:rPr>
                <w:rFonts w:cs="Calibri"/>
              </w:rPr>
              <w:t>rizici od novih bolesti i razvoja pandemije</w:t>
            </w:r>
          </w:p>
          <w:p w14:paraId="04D0414C" w14:textId="77777777" w:rsidR="004976E4" w:rsidRDefault="004976E4" w:rsidP="00165C16">
            <w:pPr>
              <w:pStyle w:val="Odlomakpopisa"/>
              <w:numPr>
                <w:ilvl w:val="0"/>
                <w:numId w:val="17"/>
              </w:numPr>
              <w:spacing w:after="0" w:line="240" w:lineRule="auto"/>
              <w:rPr>
                <w:rFonts w:cs="Calibri"/>
              </w:rPr>
            </w:pPr>
            <w:r w:rsidRPr="00514937">
              <w:rPr>
                <w:rFonts w:cs="Calibri"/>
              </w:rPr>
              <w:t>starenje stanovništva</w:t>
            </w:r>
          </w:p>
          <w:p w14:paraId="0D2D7C7F" w14:textId="77777777" w:rsidR="004976E4" w:rsidRPr="000B040F" w:rsidRDefault="004976E4" w:rsidP="00165C16">
            <w:pPr>
              <w:pStyle w:val="Odlomakpopisa"/>
              <w:numPr>
                <w:ilvl w:val="0"/>
                <w:numId w:val="18"/>
              </w:numPr>
              <w:spacing w:after="200" w:line="276" w:lineRule="auto"/>
              <w:rPr>
                <w:rFonts w:cs="Calibri"/>
              </w:rPr>
            </w:pPr>
            <w:r w:rsidRPr="000B040F">
              <w:rPr>
                <w:rFonts w:cs="Calibri"/>
              </w:rPr>
              <w:t xml:space="preserve">Potres i druge prirodne nepogode </w:t>
            </w:r>
          </w:p>
          <w:p w14:paraId="435AD406" w14:textId="77777777" w:rsidR="004976E4" w:rsidRDefault="004976E4" w:rsidP="00165C16">
            <w:pPr>
              <w:pStyle w:val="Odlomakpopisa"/>
              <w:numPr>
                <w:ilvl w:val="0"/>
                <w:numId w:val="18"/>
              </w:numPr>
              <w:spacing w:after="200" w:line="276" w:lineRule="auto"/>
              <w:rPr>
                <w:rFonts w:cs="Calibri"/>
              </w:rPr>
            </w:pPr>
            <w:r w:rsidRPr="000B040F">
              <w:rPr>
                <w:rFonts w:cs="Calibri"/>
              </w:rPr>
              <w:t>Emergentne i remergentne zarazne  bolesti</w:t>
            </w:r>
          </w:p>
          <w:p w14:paraId="250DBBC7" w14:textId="78B9FA6E" w:rsidR="00113F33" w:rsidRPr="0000743F" w:rsidRDefault="00113F33" w:rsidP="0000743F">
            <w:pPr>
              <w:pStyle w:val="Odlomakpopisa"/>
              <w:numPr>
                <w:ilvl w:val="0"/>
                <w:numId w:val="18"/>
              </w:numPr>
              <w:rPr>
                <w:rFonts w:cs="Calibri"/>
              </w:rPr>
            </w:pPr>
            <w:r w:rsidRPr="00113F33">
              <w:rPr>
                <w:rFonts w:cs="Calibri"/>
              </w:rPr>
              <w:t>nedovoljna umreženost dionika sustava socijalne skrbi</w:t>
            </w:r>
            <w:r>
              <w:rPr>
                <w:rFonts w:cs="Calibri"/>
              </w:rPr>
              <w:t xml:space="preserve"> na državnoj razini</w:t>
            </w:r>
          </w:p>
        </w:tc>
      </w:tr>
    </w:tbl>
    <w:p w14:paraId="09B2D56C" w14:textId="77777777" w:rsidR="004976E4" w:rsidRDefault="004976E4" w:rsidP="004976E4">
      <w:pPr>
        <w:spacing w:after="0" w:line="240" w:lineRule="auto"/>
        <w:contextualSpacing/>
        <w:jc w:val="both"/>
        <w:textAlignment w:val="baseline"/>
        <w:rPr>
          <w:rFonts w:eastAsia="Times New Roman" w:cs="Calibri"/>
          <w:b/>
          <w:bCs/>
          <w:color w:val="000000"/>
          <w:kern w:val="24"/>
          <w:lang w:eastAsia="hr-HR"/>
        </w:rPr>
      </w:pPr>
    </w:p>
    <w:p w14:paraId="2CB249A2" w14:textId="77777777" w:rsidR="004976E4" w:rsidRDefault="004976E4" w:rsidP="004976E4">
      <w:pPr>
        <w:spacing w:after="0" w:line="240" w:lineRule="auto"/>
        <w:contextualSpacing/>
        <w:jc w:val="both"/>
        <w:textAlignment w:val="baseline"/>
        <w:rPr>
          <w:rFonts w:eastAsia="Times New Roman" w:cs="Calibri"/>
          <w:b/>
          <w:bCs/>
          <w:color w:val="000000"/>
          <w:kern w:val="24"/>
          <w:lang w:eastAsia="hr-HR"/>
        </w:rPr>
      </w:pPr>
    </w:p>
    <w:p w14:paraId="74B0799D" w14:textId="77777777" w:rsidR="00E070D3" w:rsidRDefault="00E070D3" w:rsidP="004976E4">
      <w:pPr>
        <w:spacing w:after="0" w:line="240" w:lineRule="auto"/>
        <w:contextualSpacing/>
        <w:jc w:val="both"/>
        <w:textAlignment w:val="baseline"/>
        <w:rPr>
          <w:rFonts w:eastAsia="Times New Roman" w:cs="Calibri"/>
          <w:b/>
          <w:bCs/>
          <w:color w:val="000000"/>
          <w:kern w:val="24"/>
          <w:lang w:eastAsia="hr-HR"/>
        </w:rPr>
      </w:pPr>
    </w:p>
    <w:p w14:paraId="15C9D8B9" w14:textId="77777777" w:rsidR="00E070D3" w:rsidRDefault="00E070D3" w:rsidP="004976E4">
      <w:pPr>
        <w:spacing w:after="0" w:line="240" w:lineRule="auto"/>
        <w:contextualSpacing/>
        <w:jc w:val="both"/>
        <w:textAlignment w:val="baseline"/>
        <w:rPr>
          <w:rFonts w:eastAsia="Times New Roman" w:cs="Calibri"/>
          <w:b/>
          <w:bCs/>
          <w:color w:val="000000"/>
          <w:kern w:val="24"/>
          <w:lang w:eastAsia="hr-HR"/>
        </w:rPr>
      </w:pPr>
    </w:p>
    <w:p w14:paraId="62A884B7" w14:textId="77777777" w:rsidR="00DD4FB0" w:rsidRDefault="00DD4FB0" w:rsidP="004A307A">
      <w:pPr>
        <w:rPr>
          <w:rFonts w:eastAsia="Times New Roman" w:cs="Calibri"/>
          <w:b/>
          <w:bCs/>
          <w:color w:val="000000"/>
          <w:kern w:val="24"/>
          <w:lang w:eastAsia="hr-HR"/>
        </w:rPr>
      </w:pPr>
    </w:p>
    <w:p w14:paraId="531AFCD5" w14:textId="77777777" w:rsidR="00DD4FB0" w:rsidRDefault="00DD4FB0" w:rsidP="004A307A">
      <w:pPr>
        <w:rPr>
          <w:rFonts w:eastAsia="Times New Roman" w:cs="Calibri"/>
          <w:b/>
          <w:bCs/>
          <w:color w:val="000000"/>
          <w:kern w:val="24"/>
          <w:lang w:eastAsia="hr-HR"/>
        </w:rPr>
      </w:pPr>
    </w:p>
    <w:p w14:paraId="7F01AE75" w14:textId="77777777" w:rsidR="00EE7230" w:rsidRDefault="00EE7230" w:rsidP="004A307A">
      <w:pPr>
        <w:rPr>
          <w:rFonts w:eastAsia="Times New Roman" w:cs="Calibri"/>
          <w:b/>
          <w:bCs/>
          <w:color w:val="000000"/>
          <w:kern w:val="24"/>
          <w:lang w:eastAsia="hr-HR"/>
        </w:rPr>
      </w:pPr>
    </w:p>
    <w:p w14:paraId="46A40727" w14:textId="77777777" w:rsidR="00EE7230" w:rsidRDefault="00EE7230" w:rsidP="004A307A">
      <w:pPr>
        <w:rPr>
          <w:rFonts w:eastAsia="Times New Roman" w:cs="Calibri"/>
          <w:b/>
          <w:bCs/>
          <w:color w:val="000000"/>
          <w:kern w:val="24"/>
          <w:lang w:eastAsia="hr-HR"/>
        </w:rPr>
      </w:pPr>
    </w:p>
    <w:p w14:paraId="7E8EDA89" w14:textId="77777777" w:rsidR="00EE7230" w:rsidRDefault="00EE7230" w:rsidP="004A307A">
      <w:pPr>
        <w:rPr>
          <w:rFonts w:eastAsia="Times New Roman" w:cs="Calibri"/>
          <w:b/>
          <w:bCs/>
          <w:color w:val="000000"/>
          <w:kern w:val="24"/>
          <w:lang w:eastAsia="hr-HR"/>
        </w:rPr>
      </w:pPr>
    </w:p>
    <w:p w14:paraId="21838E1A" w14:textId="1DB331EC" w:rsidR="004976E4" w:rsidRDefault="004976E4" w:rsidP="004A307A">
      <w:pPr>
        <w:rPr>
          <w:rFonts w:eastAsia="Times New Roman" w:cs="Calibri"/>
          <w:b/>
          <w:bCs/>
          <w:color w:val="000000"/>
          <w:kern w:val="24"/>
          <w:lang w:eastAsia="hr-HR"/>
        </w:rPr>
      </w:pPr>
      <w:r>
        <w:rPr>
          <w:rFonts w:eastAsia="Times New Roman" w:cs="Calibri"/>
          <w:b/>
          <w:bCs/>
          <w:color w:val="000000"/>
          <w:kern w:val="24"/>
          <w:lang w:eastAsia="hr-HR"/>
        </w:rPr>
        <w:t>Društvo</w:t>
      </w:r>
    </w:p>
    <w:p w14:paraId="4EEF49F8" w14:textId="77777777" w:rsidR="004976E4" w:rsidRDefault="004976E4" w:rsidP="004976E4">
      <w:pPr>
        <w:spacing w:after="0" w:line="240" w:lineRule="auto"/>
        <w:contextualSpacing/>
        <w:jc w:val="both"/>
        <w:textAlignment w:val="baseline"/>
        <w:rPr>
          <w:rFonts w:eastAsia="Times New Roman" w:cs="Calibri"/>
          <w:b/>
          <w:bCs/>
          <w:color w:val="000000"/>
          <w:kern w:val="24"/>
          <w:lang w:eastAsia="hr-HR"/>
        </w:rPr>
      </w:pPr>
    </w:p>
    <w:p w14:paraId="4CF596B8" w14:textId="77777777" w:rsidR="004976E4" w:rsidRDefault="004976E4" w:rsidP="004976E4">
      <w:pPr>
        <w:spacing w:after="0" w:line="240" w:lineRule="auto"/>
        <w:contextualSpacing/>
        <w:jc w:val="both"/>
        <w:textAlignment w:val="baseline"/>
        <w:rPr>
          <w:rFonts w:eastAsia="Times New Roman" w:cs="Calibri"/>
          <w:b/>
          <w:bCs/>
          <w:color w:val="000000"/>
          <w:kern w:val="24"/>
          <w:u w:val="single"/>
          <w:lang w:eastAsia="hr-HR"/>
        </w:rPr>
      </w:pPr>
      <w:r>
        <w:rPr>
          <w:rFonts w:eastAsia="Times New Roman" w:cs="Calibri"/>
          <w:b/>
          <w:bCs/>
          <w:color w:val="000000"/>
          <w:kern w:val="24"/>
          <w:u w:val="single"/>
          <w:lang w:eastAsia="hr-HR"/>
        </w:rPr>
        <w:t xml:space="preserve">Snage </w:t>
      </w:r>
    </w:p>
    <w:p w14:paraId="04A3F2B4" w14:textId="77777777" w:rsidR="004976E4" w:rsidRDefault="004976E4" w:rsidP="004976E4">
      <w:pPr>
        <w:spacing w:line="240" w:lineRule="auto"/>
        <w:jc w:val="both"/>
        <w:rPr>
          <w:rFonts w:cs="Calibri"/>
        </w:rPr>
      </w:pPr>
      <w:r>
        <w:rPr>
          <w:rFonts w:cs="Calibri"/>
        </w:rPr>
        <w:t xml:space="preserve">Grad Zagreb kao glavni grad ima mnoge razvojne prednosti pošto je  gospodarsko, kulturno, obrazovno </w:t>
      </w:r>
      <w:r w:rsidRPr="00727DAD">
        <w:rPr>
          <w:rFonts w:cs="Calibri"/>
        </w:rPr>
        <w:t xml:space="preserve">i zdravstveno </w:t>
      </w:r>
      <w:r>
        <w:rPr>
          <w:rFonts w:cs="Calibri"/>
        </w:rPr>
        <w:t xml:space="preserve">središte Republike Hrvatske. Neke od prednosti su dostupnost zdravstvenih i bolničkih kapaciteta, raznovrsne kulturne, obrazovne i znanstveno-istraživačke institucije, te raznovrsnost i brojnost organizacija civilnog društva (u Gradu Zagrebu je prema podacima Registra udruga Ministarstva uprave registrirano 23,73 % aktivnih udruga na nacionalnoj razini). Udio osoba sa stručnim obrazovanjem (od SSS do visokog - specijalističkog i drugih stupnjeva visokog obrazovanja) u ukupno školovanom stanovništvu iznosi 81,3 % (nacionalni prosjek je 69 % po podacima Popisa stanovništva iz 2011.). Zagreb je na 1.000 stanovnika 2011. imao 290 visokoobrazovanih (2001. je imao 140), a na razini Hrvatske prosječno je tek 139 visokoobrazovanih na 1.000 stanovnika. Povijesno i kulturno nasljeđe također je prepoznato kao razvojni resurs (620 zaštićenih kulturnih dobara na području Grada po podacima iz Registra kulturnih dobara po podatcima iz 2020 ). </w:t>
      </w:r>
      <w:r w:rsidRPr="00727DAD">
        <w:rPr>
          <w:rFonts w:cs="Calibri"/>
        </w:rPr>
        <w:t>Grad Zagreb je zdravstveno središte Republike Hrvatske sa mnogobrojnim zdravstvenim ustanovama i koncentracijom zdravstvenih kadrova, moguće je pružanje najsofisticiranije i najsloženije zdravstvene zaštite</w:t>
      </w:r>
      <w:r w:rsidRPr="00B6498F">
        <w:rPr>
          <w:rFonts w:cs="Calibri"/>
          <w:color w:val="00B050"/>
        </w:rPr>
        <w:t xml:space="preserve">. </w:t>
      </w:r>
      <w:r>
        <w:rPr>
          <w:rFonts w:cs="Calibri"/>
        </w:rPr>
        <w:t xml:space="preserve">Također,  </w:t>
      </w:r>
      <w:r w:rsidRPr="00FC7801">
        <w:rPr>
          <w:rFonts w:cs="Calibri"/>
        </w:rPr>
        <w:t>Grad Zagreb je prepoznatljiv po svjetski priznatim sportašima i njihovim vrhunskim sportskim rezultatima.</w:t>
      </w:r>
    </w:p>
    <w:p w14:paraId="20A29F69" w14:textId="77777777" w:rsidR="004976E4" w:rsidRPr="00727DAD" w:rsidRDefault="004976E4" w:rsidP="004976E4">
      <w:pPr>
        <w:spacing w:line="240" w:lineRule="auto"/>
        <w:jc w:val="both"/>
        <w:rPr>
          <w:rFonts w:eastAsia="Times New Roman" w:cs="Calibri"/>
          <w:lang w:eastAsia="hr-HR"/>
        </w:rPr>
      </w:pPr>
      <w:r w:rsidRPr="00727DAD">
        <w:rPr>
          <w:rFonts w:eastAsia="Times New Roman" w:cs="Calibri"/>
          <w:lang w:eastAsia="hr-HR"/>
        </w:rPr>
        <w:t>Grad Zagreb različitim socijalnim mjerama skrbi za sve svoje sugrađane posebice za djecu, osobe s invaliditetom te osobe starije životne dobi te se socijalna politika Grada temelji na pravednoj raspodjeli pomoći prema svim ugroženim skupinama stanovništva</w:t>
      </w:r>
      <w:r w:rsidRPr="00727DAD">
        <w:rPr>
          <w:rFonts w:eastAsia="Times New Roman" w:cs="Calibri"/>
          <w:lang w:val="de-DE" w:eastAsia="hr-HR"/>
        </w:rPr>
        <w:t xml:space="preserve">. </w:t>
      </w:r>
      <w:r w:rsidRPr="00727DAD">
        <w:rPr>
          <w:rFonts w:eastAsia="Times New Roman" w:cs="Calibri"/>
          <w:lang w:eastAsia="hr-HR"/>
        </w:rPr>
        <w:t xml:space="preserve">Provođenjem prava i mjera utvrđenih Odlukom građanima se pruža pomoć iznad zakonskih okvira, a s ciljem općeg poboljšanja uvjeta života. </w:t>
      </w:r>
    </w:p>
    <w:p w14:paraId="7FDC0EB6" w14:textId="77777777" w:rsidR="004976E4" w:rsidRDefault="004976E4" w:rsidP="004976E4">
      <w:pPr>
        <w:spacing w:after="0" w:line="240" w:lineRule="auto"/>
        <w:contextualSpacing/>
        <w:jc w:val="both"/>
        <w:textAlignment w:val="baseline"/>
        <w:rPr>
          <w:rFonts w:eastAsia="Times New Roman" w:cs="Calibri"/>
          <w:b/>
          <w:bCs/>
          <w:color w:val="000000"/>
          <w:kern w:val="24"/>
          <w:u w:val="single"/>
          <w:lang w:eastAsia="hr-HR"/>
        </w:rPr>
      </w:pPr>
      <w:r>
        <w:rPr>
          <w:rFonts w:eastAsia="Times New Roman" w:cs="Calibri"/>
          <w:b/>
          <w:bCs/>
          <w:color w:val="000000"/>
          <w:kern w:val="24"/>
          <w:u w:val="single"/>
          <w:lang w:eastAsia="hr-HR"/>
        </w:rPr>
        <w:t xml:space="preserve">Slabosti </w:t>
      </w:r>
    </w:p>
    <w:p w14:paraId="382D550D" w14:textId="77777777" w:rsidR="004976E4" w:rsidRPr="00EE08EE" w:rsidRDefault="004976E4" w:rsidP="004976E4">
      <w:pPr>
        <w:pStyle w:val="Tijeloteksta2"/>
        <w:ind w:right="-2"/>
        <w:rPr>
          <w:rFonts w:ascii="Calibri" w:hAnsi="Calibri" w:cs="Calibri"/>
          <w:b w:val="0"/>
          <w:sz w:val="22"/>
          <w:szCs w:val="22"/>
        </w:rPr>
      </w:pPr>
      <w:r w:rsidRPr="00545DD7">
        <w:rPr>
          <w:rFonts w:ascii="Calibri" w:hAnsi="Calibri" w:cs="Calibri"/>
          <w:b w:val="0"/>
          <w:sz w:val="22"/>
          <w:szCs w:val="22"/>
        </w:rPr>
        <w:t xml:space="preserve">Od 111 redovnih osnovnih škola 42 rade u jednoj smjeni, 69 u dvije smjene. </w:t>
      </w:r>
      <w:r>
        <w:rPr>
          <w:rFonts w:ascii="Calibri" w:hAnsi="Calibri" w:cs="Calibri"/>
          <w:b w:val="0"/>
          <w:sz w:val="22"/>
          <w:szCs w:val="22"/>
        </w:rPr>
        <w:t xml:space="preserve"> Potrebna su znatna financijska sredstva kako bi sve škole mogle prijeći na rad u jednoj smjeni sukladno utvrđenom  Državnom pedagoškom standardu osnovnoškolskog sustava odgoja i obrazovanja.</w:t>
      </w:r>
      <w:r>
        <w:rPr>
          <w:rFonts w:ascii="Calibri" w:hAnsi="Calibri" w:cs="Calibri"/>
        </w:rPr>
        <w:t xml:space="preserve"> </w:t>
      </w:r>
      <w:r>
        <w:rPr>
          <w:rFonts w:ascii="Calibri" w:hAnsi="Calibri" w:cs="Calibri"/>
          <w:b w:val="0"/>
          <w:sz w:val="22"/>
          <w:szCs w:val="22"/>
        </w:rPr>
        <w:t xml:space="preserve">Broj škola i prostorni kapaciteti srednjih škola ne zadovoljavaju u cijelosti potrebe za srednjoškolskim obrazovanjem kako zagrebačke mladeži tako i mladeži s drugih područja Hrvatske koji dolaze na daljnje školovanje u Zagreb. </w:t>
      </w:r>
      <w:r w:rsidRPr="00EE08EE">
        <w:rPr>
          <w:rFonts w:ascii="Calibri" w:hAnsi="Calibri" w:cs="Calibri"/>
          <w:b w:val="0"/>
          <w:sz w:val="22"/>
          <w:szCs w:val="22"/>
        </w:rPr>
        <w:t>Potrebna su znatna financijska sredstva za provedbu Državnog pedagoškog standarda srednjoškolskog odgoja i obrazovanja kojim se uređuju jedinstveni uvjeti za kvalitetan odgojno-obrazovni rad i uspješno ostvarivanje ciljeva i zadataka u srednjoškolskim ustanovama.</w:t>
      </w:r>
    </w:p>
    <w:p w14:paraId="3E24B428" w14:textId="77777777" w:rsidR="004976E4" w:rsidRPr="00EE08EE" w:rsidRDefault="004976E4" w:rsidP="004976E4">
      <w:pPr>
        <w:pStyle w:val="Tijeloteksta2"/>
        <w:ind w:right="-2"/>
        <w:rPr>
          <w:rFonts w:ascii="Calibri" w:hAnsi="Calibri" w:cs="Calibri"/>
          <w:b w:val="0"/>
          <w:sz w:val="22"/>
          <w:szCs w:val="22"/>
        </w:rPr>
      </w:pPr>
    </w:p>
    <w:p w14:paraId="2120339B" w14:textId="77777777" w:rsidR="004976E4" w:rsidRDefault="004976E4" w:rsidP="004976E4">
      <w:pPr>
        <w:pStyle w:val="Tijeloteksta2"/>
        <w:ind w:right="-2"/>
        <w:rPr>
          <w:rFonts w:ascii="Calibri" w:hAnsi="Calibri" w:cs="Calibri"/>
          <w:b w:val="0"/>
          <w:sz w:val="22"/>
          <w:szCs w:val="22"/>
        </w:rPr>
      </w:pPr>
      <w:r>
        <w:rPr>
          <w:rFonts w:ascii="Calibri" w:hAnsi="Calibri" w:cs="Calibri"/>
          <w:b w:val="0"/>
          <w:sz w:val="22"/>
          <w:szCs w:val="22"/>
        </w:rPr>
        <w:t>U Zagrebu je u sustav sportske rekreacije uključeno oko 10 000 građana, a u povremenim sportsko-rekreacijskim aktivnostima sudjeluje oko 50.000 Zagrepčana. U usporedbi s gradovima razvijenih europskih zemalja, u kojima je u «sport za sve» aktivno uključeno od 30-70% građana, Zagreb znatno zaostaje jer je u rekreaciju uključeno samo 20% građana (djeca i odrasli, bez sportaša). Sadašnji objekti ne zadovoljavaju potrebe Zagrepčana ni prostorno niti kvalitetom.</w:t>
      </w:r>
    </w:p>
    <w:p w14:paraId="6B688950" w14:textId="77777777" w:rsidR="004976E4" w:rsidRDefault="004976E4" w:rsidP="004976E4">
      <w:pPr>
        <w:pStyle w:val="Tijeloteksta2"/>
        <w:ind w:right="-2"/>
        <w:rPr>
          <w:rFonts w:ascii="Calibri" w:hAnsi="Calibri" w:cs="Calibri"/>
          <w:b w:val="0"/>
          <w:sz w:val="22"/>
          <w:szCs w:val="22"/>
        </w:rPr>
      </w:pPr>
    </w:p>
    <w:p w14:paraId="2468B142" w14:textId="77777777" w:rsidR="004976E4" w:rsidRDefault="004976E4" w:rsidP="004976E4">
      <w:pPr>
        <w:spacing w:line="240" w:lineRule="auto"/>
        <w:jc w:val="both"/>
        <w:rPr>
          <w:rFonts w:cs="Calibri"/>
          <w:iCs/>
        </w:rPr>
      </w:pPr>
      <w:r>
        <w:t xml:space="preserve">Pored 11 domova za starije osobe u nadležnosti Grada Zagreba na području Zagreba djeluje  28 domova drugih osnivača (tzv. privatni domovi). Osim domova usluge stalnog smještaja za starije pružaju i 39  obiteljska  doma  te 4 pravne osobe. U razdoblju od 2008. do 2016. znatno se povećao smještajni kapacitet, posebice u privatnom sektoru, međutim cilj je dosegnuti europski standard od 5% smještajnog kapaciteta u odnosu na udio osoba starih 65 i više godina što je u skladu s recentnim demografskim trendovima </w:t>
      </w:r>
      <w:r>
        <w:rPr>
          <w:rFonts w:cs="Calibri"/>
        </w:rPr>
        <w:t>(</w:t>
      </w:r>
      <w:r>
        <w:rPr>
          <w:rFonts w:cs="Calibri"/>
          <w:iCs/>
        </w:rPr>
        <w:t xml:space="preserve">udio stanovništva u Gradu Zagrebu koje je staro 65 i više godina porastao je sa 14,9% 2001. na 17,3% 2011., </w:t>
      </w:r>
      <w:r>
        <w:t xml:space="preserve">dok je prema procjenama Državnog zavoda za statistiku za </w:t>
      </w:r>
      <w:r w:rsidRPr="00876941">
        <w:t>2018</w:t>
      </w:r>
      <w:r w:rsidRPr="00474481">
        <w:t>.</w:t>
      </w:r>
      <w:r>
        <w:t xml:space="preserve"> broj starijih od 65. godina porastao na 19,2 %.</w:t>
      </w:r>
      <w:r>
        <w:rPr>
          <w:rFonts w:cs="Calibri"/>
          <w:iCs/>
        </w:rPr>
        <w:t xml:space="preserve"> S kojima je povezano i povećanje potreba za zdravstvenom zaštitom.</w:t>
      </w:r>
    </w:p>
    <w:p w14:paraId="5F64F9BB" w14:textId="77777777" w:rsidR="004976E4" w:rsidRDefault="004976E4" w:rsidP="004976E4">
      <w:pPr>
        <w:spacing w:line="240" w:lineRule="auto"/>
        <w:jc w:val="both"/>
        <w:rPr>
          <w:rFonts w:cs="Calibri"/>
        </w:rPr>
      </w:pPr>
      <w:r>
        <w:rPr>
          <w:rFonts w:cs="Calibri"/>
          <w:bCs/>
        </w:rPr>
        <w:t xml:space="preserve">Grad Zagreb dodjeljuje financijske potpore programima i projektima </w:t>
      </w:r>
      <w:r>
        <w:rPr>
          <w:rFonts w:cs="Calibri"/>
        </w:rPr>
        <w:t>organizacija civilnog društva</w:t>
      </w:r>
      <w:r>
        <w:rPr>
          <w:rFonts w:cs="Calibri"/>
          <w:bCs/>
        </w:rPr>
        <w:t xml:space="preserve"> koji su od interesa za Grad te se udrugama daju na korištenje prostori za rad kako bi se i na taj način dodatno doprinijelo njihovom djelovanju</w:t>
      </w:r>
      <w:r>
        <w:rPr>
          <w:rFonts w:cs="Calibri"/>
        </w:rPr>
        <w:t xml:space="preserve">, međutim potrebno je uspostaviti kriterije vrednovanja rada, rezultata i razvojnih učinaka organizacija civilnog društva. </w:t>
      </w:r>
    </w:p>
    <w:p w14:paraId="3FCD6316" w14:textId="77777777" w:rsidR="004976E4" w:rsidRDefault="004976E4" w:rsidP="004976E4">
      <w:pPr>
        <w:spacing w:line="240" w:lineRule="auto"/>
        <w:jc w:val="both"/>
        <w:rPr>
          <w:rFonts w:cs="Calibri"/>
          <w:lang w:bidi="ta-IN"/>
        </w:rPr>
      </w:pPr>
      <w:r>
        <w:rPr>
          <w:rFonts w:cs="Calibri"/>
          <w:lang w:bidi="ta-IN"/>
        </w:rPr>
        <w:t xml:space="preserve">Grad Zagreb svojim građanima pruža pomoći iznad zakonskih standarda. Potrebno je provesti umrežavanje sustava socijalne skrbi na državnoj razini sa sustavom socijalne skrbi Grada Zagreba kako bi se brže i efikasnije detektirale ranjive skupine i građani kojima je pomoć najpotrebnija. </w:t>
      </w:r>
    </w:p>
    <w:p w14:paraId="69E54B73" w14:textId="77777777" w:rsidR="004976E4" w:rsidRDefault="004976E4" w:rsidP="004976E4">
      <w:pPr>
        <w:spacing w:after="0" w:line="240" w:lineRule="auto"/>
        <w:contextualSpacing/>
        <w:jc w:val="both"/>
        <w:textAlignment w:val="baseline"/>
        <w:rPr>
          <w:rFonts w:eastAsia="Times New Roman" w:cs="Calibri"/>
          <w:b/>
          <w:bCs/>
          <w:color w:val="000000"/>
          <w:kern w:val="24"/>
          <w:u w:val="single"/>
          <w:lang w:eastAsia="hr-HR"/>
        </w:rPr>
      </w:pPr>
      <w:r>
        <w:rPr>
          <w:rFonts w:eastAsia="Times New Roman" w:cs="Calibri"/>
          <w:b/>
          <w:bCs/>
          <w:color w:val="000000"/>
          <w:kern w:val="24"/>
          <w:u w:val="single"/>
          <w:lang w:eastAsia="hr-HR"/>
        </w:rPr>
        <w:t>Prilike</w:t>
      </w:r>
    </w:p>
    <w:p w14:paraId="1C8C6A33" w14:textId="77777777" w:rsidR="004976E4" w:rsidRPr="004069CE" w:rsidRDefault="004976E4" w:rsidP="004976E4">
      <w:pPr>
        <w:spacing w:line="240" w:lineRule="auto"/>
        <w:jc w:val="both"/>
        <w:rPr>
          <w:rFonts w:cs="Calibri"/>
        </w:rPr>
      </w:pPr>
      <w:r>
        <w:rPr>
          <w:rFonts w:cs="Calibri"/>
        </w:rPr>
        <w:t xml:space="preserve">Mogućnost korištenja europskih programa cjeloživotnog obrazovanja i prekvalifikacije, umrežavanje i razmjena iskustava s gradovima unutar Hrvatske, EU i šire (partnerski programi i projekti) te općenito korištenje ESI fondova i drugih inozemnih financijskih izvora za razvoj Grada predstavljaju značajan potencijal za unapređenje razvoja. Također, nastavak razvijanja identiteta i brenda grada, kroz razne aktivnosti, između ostalog i organizacija međunarodnih sportskih i kulturnih događanja koja pozicioniraju Zagreb na međunarodnoj sceni direktno će doprinijeti razvoju na društvenom ali i gospodarskom području. Sveučilište u Zagrebu najveći je obrazovno-istraživački sustav u Hrvatskoj te kao takvo predstavlja značajan razvojni resurs. Treba uzeti u obzir </w:t>
      </w:r>
      <w:r w:rsidRPr="00C2095B">
        <w:rPr>
          <w:rFonts w:cs="Calibri"/>
        </w:rPr>
        <w:t>mogućnost kandidature Grada Zagreba za Europsku prijestolnicu sporta, što podrazumijeva povećanje broja sportskih događanja usmjerenih na rekreativno bavljenje sportom.</w:t>
      </w:r>
    </w:p>
    <w:p w14:paraId="2194C371" w14:textId="77777777" w:rsidR="004976E4" w:rsidRDefault="004976E4" w:rsidP="004976E4">
      <w:pPr>
        <w:spacing w:after="0" w:line="240" w:lineRule="auto"/>
        <w:contextualSpacing/>
        <w:jc w:val="both"/>
        <w:textAlignment w:val="baseline"/>
        <w:rPr>
          <w:rFonts w:eastAsia="Times New Roman" w:cs="Calibri"/>
          <w:b/>
          <w:bCs/>
          <w:color w:val="000000"/>
          <w:kern w:val="24"/>
          <w:u w:val="single"/>
          <w:lang w:eastAsia="hr-HR"/>
        </w:rPr>
      </w:pPr>
      <w:r>
        <w:rPr>
          <w:rFonts w:eastAsia="Times New Roman" w:cs="Calibri"/>
          <w:b/>
          <w:bCs/>
          <w:color w:val="000000"/>
          <w:kern w:val="24"/>
          <w:u w:val="single"/>
          <w:lang w:eastAsia="hr-HR"/>
        </w:rPr>
        <w:t>Prijetnje</w:t>
      </w:r>
    </w:p>
    <w:p w14:paraId="631A8D15" w14:textId="77777777" w:rsidR="004976E4" w:rsidRDefault="004976E4" w:rsidP="004976E4">
      <w:pPr>
        <w:spacing w:line="240" w:lineRule="auto"/>
        <w:jc w:val="both"/>
        <w:rPr>
          <w:rFonts w:cs="Calibri"/>
        </w:rPr>
      </w:pPr>
      <w:r>
        <w:rPr>
          <w:rFonts w:cs="Calibri"/>
        </w:rPr>
        <w:t>U nešto manjem obimu u odnosu na državni prosjek prisutan je i trend odljeva stručnjaka koji je povezan sa neusklađenosti ponude i potražnje za radnom snagom te nedovoljnom povezanosti gospodarstva i znanosti/istraživanja. Neusklađenost ponude i potražnje za radnom snagom i prema opsegu i prema kvalitativnoj strukturi rezultat je nefleksibilnog obrazovnog sustava koji se na nacionalnoj razini treba prilagoditi promjenama i trendovima na tržištu rada uzimajući u obzir ne samo državnu razinu, već i EU okruženje. Potencijalna smanjivanja financiranja znanosti i obrazovanja na državnoj razini također predstavljaju razvojni izazov, koji potencira perspektivu većeg korištenja EU i drugih sredstava (su)financiranja. Konkurencija drugih europskih gradova u apliciranju i korištenju sredstava ESI fondova te ovisnost razvojnih strategija, projekata i programa o političkim promjenama i političkoj volji u Gradu i državi također predstavljaju značajne prijetnje sa mogućim posljedicama i za druge sektore, posebice za gospodarstvo</w:t>
      </w:r>
      <w:r w:rsidRPr="007D3506">
        <w:rPr>
          <w:rFonts w:cs="Calibri"/>
        </w:rPr>
        <w:t>.</w:t>
      </w:r>
      <w:r>
        <w:rPr>
          <w:rFonts w:cs="Calibri"/>
        </w:rPr>
        <w:t xml:space="preserve"> </w:t>
      </w:r>
    </w:p>
    <w:p w14:paraId="0CA33FF7" w14:textId="77777777" w:rsidR="004976E4" w:rsidRPr="002718DA" w:rsidRDefault="004976E4" w:rsidP="004976E4">
      <w:pPr>
        <w:spacing w:line="240" w:lineRule="auto"/>
        <w:jc w:val="both"/>
        <w:rPr>
          <w:rFonts w:cs="Calibri"/>
          <w:color w:val="00B050"/>
        </w:rPr>
      </w:pPr>
      <w:r w:rsidRPr="00727DAD">
        <w:rPr>
          <w:rFonts w:cs="Calibri"/>
        </w:rPr>
        <w:t xml:space="preserve">Potres i druge prirodne nepogode-potres koji je 22. ožujka 2020. pogodio Grad Zagreb i potres koji je 29. 12. 2020. pogodio područje Petrinje i Siska, pokazao je kako razorne mogu biti posljedice za  sve objekte koji se nalaze na pogođenom području, uključujući zdravstvene, obrazovne, kulturne, vjerske, stambene i druge objekte, s ogromnim materijalnim troškovima i dalekosežnim posljedicama za cijele društvene zajednice. </w:t>
      </w:r>
    </w:p>
    <w:p w14:paraId="6DD99855" w14:textId="77777777" w:rsidR="004976E4" w:rsidRDefault="004976E4" w:rsidP="004976E4">
      <w:pPr>
        <w:spacing w:line="240" w:lineRule="auto"/>
        <w:jc w:val="both"/>
        <w:rPr>
          <w:rFonts w:cs="Calibri"/>
        </w:rPr>
      </w:pPr>
      <w:r>
        <w:rPr>
          <w:rFonts w:cs="Calibri"/>
        </w:rPr>
        <w:t>U području zdravstva</w:t>
      </w:r>
      <w:r w:rsidRPr="007D3506">
        <w:rPr>
          <w:rFonts w:cs="Calibri"/>
        </w:rPr>
        <w:t xml:space="preserve"> </w:t>
      </w:r>
      <w:r>
        <w:rPr>
          <w:rFonts w:cs="Calibri"/>
        </w:rPr>
        <w:t>t</w:t>
      </w:r>
      <w:r w:rsidRPr="007D3506">
        <w:rPr>
          <w:rFonts w:cs="Calibri"/>
        </w:rPr>
        <w:t>renutna znanstvena saznanja uvjerljivo pokazuju da tjelesna neaktivnost, predstavlja ozbiljnu opasnost za zdravlje, funkcionalnu sposobnost i kvalitetu života. Taj se negativan utjecaj povećava neodgovarajućom prehranom i drugim faktorima povezanim sa sedentarnim načinom života. Ipak, na društvu je odgovornost da pruži prave informacije o važnosti redovite tjelovježbe te da osigura uvjete za bavljenje raznim tjelesnim aktivnostima.</w:t>
      </w:r>
    </w:p>
    <w:p w14:paraId="4FB5D829" w14:textId="77777777" w:rsidR="004976E4" w:rsidRDefault="004976E4" w:rsidP="004976E4">
      <w:pPr>
        <w:pStyle w:val="Bezproreda"/>
        <w:jc w:val="both"/>
      </w:pPr>
      <w:r w:rsidRPr="00727DAD">
        <w:rPr>
          <w:rFonts w:asciiTheme="minorHAnsi" w:hAnsiTheme="minorHAnsi"/>
          <w:lang w:eastAsia="hr-HR"/>
        </w:rPr>
        <w:t>Pojava emergentnih i remergentnih zaraznih bolesti - Emergentne zarazne bolesti (npr. COVID-19, SARS-CoV 1,  Ebola) su bolesti koje se po prvi put pojavljuju u populaciji, a re-emergentne zarazne bolesti (npr. kuga, kolera) su bolesti koje se nakon određenog razdoblja ponovno pojavljuju na određenim prostorima na kojim su u pravilu prethodno bile eradicirane. U pravilu, ove bolesti su uzrokovane visoko patogenim mikroorganizmima, obično rezistentnim na lijekove, a većinom su i na listi mikroorganizama koji se mogu koristiti u bioterorističke svrhe.</w:t>
      </w:r>
    </w:p>
    <w:p w14:paraId="6579EB88" w14:textId="65122978" w:rsidR="00C5315F" w:rsidRDefault="00C5315F">
      <w:pPr>
        <w:rPr>
          <w:rFonts w:ascii="Calibri" w:eastAsia="Calibri" w:hAnsi="Calibri" w:cs="Calibri"/>
          <w:b/>
          <w:caps/>
          <w:sz w:val="40"/>
          <w:szCs w:val="40"/>
        </w:rPr>
      </w:pPr>
    </w:p>
    <w:p w14:paraId="04CDBF75" w14:textId="77777777" w:rsidR="009121D4" w:rsidRDefault="009121D4">
      <w:pPr>
        <w:rPr>
          <w:rFonts w:ascii="Calibri" w:eastAsia="Calibri" w:hAnsi="Calibri" w:cs="Calibri"/>
          <w:b/>
          <w:caps/>
          <w:sz w:val="40"/>
          <w:szCs w:val="40"/>
        </w:rPr>
      </w:pPr>
    </w:p>
    <w:p w14:paraId="54CCB7B4" w14:textId="44019A5D" w:rsidR="00450BAB" w:rsidRPr="007A6380" w:rsidRDefault="00450BAB" w:rsidP="00BD5055">
      <w:pPr>
        <w:pStyle w:val="Stil2"/>
        <w:rPr>
          <w:i/>
          <w:iCs/>
          <w:color w:val="FF0000"/>
        </w:rPr>
      </w:pPr>
      <w:bookmarkStart w:id="169" w:name="_Toc97123874"/>
      <w:r w:rsidRPr="00BD5055">
        <w:t>SWOT – Gospodarstvo</w:t>
      </w:r>
      <w:r w:rsidRPr="00BD5055">
        <w:rPr>
          <w:rStyle w:val="Stil2Char"/>
        </w:rPr>
        <w:t xml:space="preserve"> </w:t>
      </w:r>
      <w:r w:rsidRPr="00BD5055">
        <w:rPr>
          <w:rStyle w:val="Stil2Char"/>
        </w:rPr>
        <w:br/>
      </w:r>
      <w:r w:rsidRPr="00450BAB">
        <w:t>(gospodarske djelatnosti i infrastruktura, institucionalni okvir)</w:t>
      </w:r>
      <w:bookmarkStart w:id="170" w:name="_Hlk70508910"/>
      <w:bookmarkEnd w:id="169"/>
      <w:r>
        <w:rPr>
          <w:color w:val="FF0000"/>
        </w:rPr>
        <w:t xml:space="preserve"> </w:t>
      </w:r>
    </w:p>
    <w:tbl>
      <w:tblPr>
        <w:tblW w:w="0" w:type="auto"/>
        <w:tblLook w:val="01E0" w:firstRow="1" w:lastRow="1" w:firstColumn="1" w:lastColumn="1" w:noHBand="0" w:noVBand="0"/>
      </w:tblPr>
      <w:tblGrid>
        <w:gridCol w:w="4428"/>
        <w:gridCol w:w="4428"/>
      </w:tblGrid>
      <w:tr w:rsidR="00450BAB" w:rsidRPr="00A33E06" w14:paraId="470D721E" w14:textId="77777777" w:rsidTr="001378AF">
        <w:trPr>
          <w:trHeight w:val="602"/>
        </w:trPr>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CB04610" w14:textId="77777777" w:rsidR="00450BAB" w:rsidRPr="00A33E06" w:rsidRDefault="00450BAB" w:rsidP="001378AF">
            <w:pPr>
              <w:jc w:val="center"/>
              <w:rPr>
                <w:rFonts w:cs="Calibri"/>
                <w:b/>
                <w:bCs/>
              </w:rPr>
            </w:pPr>
            <w:r w:rsidRPr="00A33E06">
              <w:rPr>
                <w:rFonts w:cs="Calibri"/>
                <w:b/>
                <w:bCs/>
              </w:rPr>
              <w:t>Snage (S)</w:t>
            </w:r>
          </w:p>
        </w:tc>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17CAD34" w14:textId="77777777" w:rsidR="00450BAB" w:rsidRPr="00A33E06" w:rsidRDefault="00450BAB" w:rsidP="001378AF">
            <w:pPr>
              <w:jc w:val="center"/>
              <w:rPr>
                <w:rFonts w:cs="Calibri"/>
                <w:b/>
                <w:bCs/>
              </w:rPr>
            </w:pPr>
            <w:r w:rsidRPr="00A33E06">
              <w:rPr>
                <w:rFonts w:cs="Calibri"/>
                <w:b/>
                <w:bCs/>
              </w:rPr>
              <w:t>Slabosti (W)</w:t>
            </w:r>
          </w:p>
        </w:tc>
      </w:tr>
      <w:tr w:rsidR="00450BAB" w:rsidRPr="00A33E06" w14:paraId="539E6327" w14:textId="77777777" w:rsidTr="004838D7">
        <w:trPr>
          <w:trHeight w:val="4670"/>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69DFB4A6" w14:textId="07E0D3F3" w:rsidR="00450BAB" w:rsidRDefault="00450BAB" w:rsidP="004838D7">
            <w:pPr>
              <w:spacing w:after="0" w:line="240" w:lineRule="auto"/>
              <w:rPr>
                <w:rFonts w:cs="Calibri"/>
              </w:rPr>
            </w:pPr>
            <w:r>
              <w:rPr>
                <w:rFonts w:cs="Calibri"/>
              </w:rPr>
              <w:t xml:space="preserve">- </w:t>
            </w:r>
            <w:r w:rsidRPr="00C61872">
              <w:rPr>
                <w:rFonts w:cs="Calibri"/>
              </w:rPr>
              <w:t xml:space="preserve">najveća koncentracija gospodarskih subjekata i aktivnosti </w:t>
            </w:r>
            <w:r w:rsidR="004A307A">
              <w:rPr>
                <w:rFonts w:cs="Calibri"/>
              </w:rPr>
              <w:t>u Hrvatskoj</w:t>
            </w:r>
          </w:p>
          <w:p w14:paraId="462236A5" w14:textId="0EAFD9E3" w:rsidR="00450BAB" w:rsidRDefault="00450BAB" w:rsidP="004838D7">
            <w:pPr>
              <w:spacing w:after="0" w:line="240" w:lineRule="auto"/>
              <w:rPr>
                <w:rFonts w:cs="Calibri"/>
              </w:rPr>
            </w:pPr>
            <w:r>
              <w:rPr>
                <w:rFonts w:cs="Calibri"/>
              </w:rPr>
              <w:t>-</w:t>
            </w:r>
            <w:r w:rsidRPr="00A94B47">
              <w:rPr>
                <w:rFonts w:cs="Calibri"/>
              </w:rPr>
              <w:t xml:space="preserve"> tržište s</w:t>
            </w:r>
            <w:r>
              <w:rPr>
                <w:rFonts w:cs="Calibri"/>
              </w:rPr>
              <w:t xml:space="preserve"> </w:t>
            </w:r>
            <w:r w:rsidRPr="00A94B47">
              <w:rPr>
                <w:rFonts w:cs="Calibri"/>
              </w:rPr>
              <w:t>najvećom kupovnom snagom</w:t>
            </w:r>
            <w:r w:rsidR="00714235">
              <w:rPr>
                <w:rFonts w:cs="Calibri"/>
              </w:rPr>
              <w:t xml:space="preserve"> u Hrvatskoj</w:t>
            </w:r>
          </w:p>
          <w:p w14:paraId="299738D3" w14:textId="74987F67" w:rsidR="00450BAB" w:rsidRDefault="00450BAB" w:rsidP="004838D7">
            <w:pPr>
              <w:spacing w:after="0" w:line="240" w:lineRule="auto"/>
              <w:rPr>
                <w:rFonts w:cs="Calibri"/>
              </w:rPr>
            </w:pPr>
            <w:r>
              <w:rPr>
                <w:rFonts w:cs="Calibri"/>
              </w:rPr>
              <w:t>-</w:t>
            </w:r>
            <w:r>
              <w:t xml:space="preserve"> </w:t>
            </w:r>
            <w:r w:rsidRPr="00A94B47">
              <w:rPr>
                <w:rFonts w:cs="Calibri"/>
              </w:rPr>
              <w:t>BDP po stanovniku prema standardu kupovne moći iznad prosjeka EU-2</w:t>
            </w:r>
            <w:r w:rsidR="007273CB">
              <w:rPr>
                <w:rFonts w:cs="Calibri"/>
              </w:rPr>
              <w:t>7</w:t>
            </w:r>
          </w:p>
          <w:p w14:paraId="296BCB2C" w14:textId="77777777" w:rsidR="00450BAB" w:rsidRPr="002114F5" w:rsidRDefault="00450BAB" w:rsidP="004838D7">
            <w:pPr>
              <w:spacing w:after="0" w:line="240" w:lineRule="auto"/>
              <w:rPr>
                <w:rFonts w:cs="Calibri"/>
              </w:rPr>
            </w:pPr>
            <w:r w:rsidRPr="002114F5">
              <w:rPr>
                <w:rFonts w:cs="Calibri"/>
              </w:rPr>
              <w:t xml:space="preserve">- velik udio visokoobrazovanih u ukupnom stanovništvu </w:t>
            </w:r>
          </w:p>
          <w:p w14:paraId="275E2CA1" w14:textId="77777777" w:rsidR="00450BAB" w:rsidRDefault="00450BAB" w:rsidP="004838D7">
            <w:pPr>
              <w:spacing w:after="0" w:line="240" w:lineRule="auto"/>
              <w:rPr>
                <w:rFonts w:cs="Calibri"/>
              </w:rPr>
            </w:pPr>
            <w:r w:rsidRPr="002114F5">
              <w:rPr>
                <w:rFonts w:cs="Calibri"/>
              </w:rPr>
              <w:t>- znanstveno – tehnološko središte</w:t>
            </w:r>
          </w:p>
          <w:p w14:paraId="62E2E791" w14:textId="11DA53E7" w:rsidR="00450BAB" w:rsidRDefault="00450BAB" w:rsidP="004838D7">
            <w:pPr>
              <w:spacing w:after="0" w:line="240" w:lineRule="auto"/>
              <w:rPr>
                <w:rFonts w:cs="Calibri"/>
              </w:rPr>
            </w:pPr>
            <w:r>
              <w:rPr>
                <w:rFonts w:cs="Calibri"/>
              </w:rPr>
              <w:t xml:space="preserve">- tradicija inovacija </w:t>
            </w:r>
          </w:p>
          <w:p w14:paraId="35DA7FAA" w14:textId="51ADA298" w:rsidR="00450BAB" w:rsidRPr="002114F5" w:rsidRDefault="00EF6E7C" w:rsidP="004838D7">
            <w:pPr>
              <w:spacing w:after="0" w:line="240" w:lineRule="auto"/>
              <w:rPr>
                <w:rFonts w:cs="Calibri"/>
              </w:rPr>
            </w:pPr>
            <w:r>
              <w:rPr>
                <w:rFonts w:cs="Calibri"/>
              </w:rPr>
              <w:t>-t</w:t>
            </w:r>
            <w:r w:rsidRPr="00EF6E7C">
              <w:rPr>
                <w:rFonts w:cs="Calibri"/>
              </w:rPr>
              <w:t>radicija obrtnika, obrtništva i Udruženja obrtnika</w:t>
            </w:r>
            <w:r w:rsidRPr="00EF6E7C" w:rsidDel="00EF6E7C">
              <w:rPr>
                <w:rFonts w:cs="Calibri"/>
              </w:rPr>
              <w:t xml:space="preserve"> </w:t>
            </w:r>
            <w:r w:rsidR="00450BAB" w:rsidRPr="002114F5">
              <w:rPr>
                <w:rFonts w:cs="Calibri"/>
              </w:rPr>
              <w:t>-</w:t>
            </w:r>
            <w:r w:rsidR="00450BAB">
              <w:rPr>
                <w:rFonts w:cs="Calibri"/>
              </w:rPr>
              <w:t xml:space="preserve"> </w:t>
            </w:r>
            <w:r w:rsidR="00450BAB" w:rsidRPr="002114F5">
              <w:rPr>
                <w:rFonts w:cs="Calibri"/>
              </w:rPr>
              <w:t>trend rasta djelatnosti informacije i komunikacije (ICT sektora)</w:t>
            </w:r>
          </w:p>
          <w:p w14:paraId="1A607C5E" w14:textId="77777777" w:rsidR="00450BAB" w:rsidRDefault="00450BAB" w:rsidP="004838D7">
            <w:pPr>
              <w:spacing w:after="0" w:line="240" w:lineRule="auto"/>
              <w:rPr>
                <w:rFonts w:cs="Calibri"/>
              </w:rPr>
            </w:pPr>
            <w:r w:rsidRPr="002114F5">
              <w:rPr>
                <w:rFonts w:cs="Calibri"/>
              </w:rPr>
              <w:t xml:space="preserve"> - trend rasta kulturnih i kreativnih industrija</w:t>
            </w:r>
          </w:p>
          <w:p w14:paraId="028FF34D" w14:textId="77777777" w:rsidR="00450BAB" w:rsidRPr="002114F5" w:rsidRDefault="00450BAB" w:rsidP="004838D7">
            <w:pPr>
              <w:spacing w:after="0" w:line="240" w:lineRule="auto"/>
              <w:rPr>
                <w:rFonts w:cs="Calibri"/>
              </w:rPr>
            </w:pPr>
            <w:r>
              <w:rPr>
                <w:rFonts w:cs="Calibri"/>
              </w:rPr>
              <w:t>- raznovrsna ponuda specijaliziranih poslovnih usluga</w:t>
            </w:r>
          </w:p>
          <w:p w14:paraId="67757995" w14:textId="77777777" w:rsidR="00450BAB" w:rsidRPr="002114F5" w:rsidRDefault="00450BAB" w:rsidP="004838D7">
            <w:pPr>
              <w:spacing w:after="0" w:line="240" w:lineRule="auto"/>
              <w:rPr>
                <w:rFonts w:cs="Calibri"/>
              </w:rPr>
            </w:pPr>
            <w:r w:rsidRPr="002114F5">
              <w:rPr>
                <w:rFonts w:cs="Calibri"/>
              </w:rPr>
              <w:t>- razv</w:t>
            </w:r>
            <w:r>
              <w:rPr>
                <w:rFonts w:cs="Calibri"/>
              </w:rPr>
              <w:t>ijena</w:t>
            </w:r>
            <w:r w:rsidRPr="002114F5">
              <w:rPr>
                <w:rFonts w:cs="Calibri"/>
              </w:rPr>
              <w:t xml:space="preserve"> suvremen</w:t>
            </w:r>
            <w:r>
              <w:rPr>
                <w:rFonts w:cs="Calibri"/>
              </w:rPr>
              <w:t>a</w:t>
            </w:r>
            <w:r w:rsidRPr="002114F5">
              <w:rPr>
                <w:rFonts w:cs="Calibri"/>
              </w:rPr>
              <w:t xml:space="preserve"> poduzetničk</w:t>
            </w:r>
            <w:r>
              <w:rPr>
                <w:rFonts w:cs="Calibri"/>
              </w:rPr>
              <w:t>a</w:t>
            </w:r>
            <w:r w:rsidRPr="002114F5">
              <w:rPr>
                <w:rFonts w:cs="Calibri"/>
              </w:rPr>
              <w:t xml:space="preserve"> infrastruktur</w:t>
            </w:r>
            <w:r>
              <w:rPr>
                <w:rFonts w:cs="Calibri"/>
              </w:rPr>
              <w:t>a</w:t>
            </w:r>
          </w:p>
          <w:p w14:paraId="20C63435" w14:textId="77777777" w:rsidR="00450BAB" w:rsidRDefault="00450BAB" w:rsidP="004838D7">
            <w:pPr>
              <w:spacing w:after="0" w:line="240" w:lineRule="auto"/>
              <w:rPr>
                <w:rFonts w:cs="Calibri"/>
              </w:rPr>
            </w:pPr>
            <w:r w:rsidRPr="002114F5">
              <w:rPr>
                <w:rFonts w:cs="Calibri"/>
              </w:rPr>
              <w:t xml:space="preserve"> - poticajne politike za razvoj malog i srednjeg poduzetništva i obrta</w:t>
            </w:r>
            <w:r>
              <w:rPr>
                <w:rFonts w:cs="Calibri"/>
              </w:rPr>
              <w:t xml:space="preserve"> i za samozapošljavanje</w:t>
            </w:r>
          </w:p>
          <w:p w14:paraId="6ECD8F05" w14:textId="77777777" w:rsidR="00450BAB" w:rsidRPr="002114F5" w:rsidRDefault="00450BAB" w:rsidP="004838D7">
            <w:pPr>
              <w:spacing w:after="0" w:line="240" w:lineRule="auto"/>
              <w:rPr>
                <w:rFonts w:cs="Calibri"/>
              </w:rPr>
            </w:pPr>
            <w:r>
              <w:rPr>
                <w:rFonts w:cs="Calibri"/>
              </w:rPr>
              <w:t>- porast broja obrta i samostalnih djelatnosti</w:t>
            </w:r>
            <w:r w:rsidRPr="002114F5">
              <w:rPr>
                <w:rFonts w:cs="Calibri"/>
              </w:rPr>
              <w:t xml:space="preserve"> </w:t>
            </w:r>
          </w:p>
          <w:p w14:paraId="5EF4B4BE" w14:textId="77777777" w:rsidR="00450BAB" w:rsidRPr="002114F5" w:rsidRDefault="00450BAB" w:rsidP="004838D7">
            <w:pPr>
              <w:spacing w:after="0" w:line="240" w:lineRule="auto"/>
              <w:rPr>
                <w:rFonts w:cs="Calibri"/>
              </w:rPr>
            </w:pPr>
            <w:r w:rsidRPr="002114F5">
              <w:rPr>
                <w:rFonts w:cs="Calibri"/>
              </w:rPr>
              <w:t>- rastuće turističko središte i rast turističkog sektora u svim segmentima</w:t>
            </w:r>
          </w:p>
          <w:p w14:paraId="6CC6B5A9" w14:textId="77777777" w:rsidR="00450BAB" w:rsidRPr="002114F5" w:rsidRDefault="00450BAB" w:rsidP="004838D7">
            <w:pPr>
              <w:spacing w:after="0" w:line="240" w:lineRule="auto"/>
              <w:rPr>
                <w:rFonts w:cs="Calibri"/>
              </w:rPr>
            </w:pPr>
            <w:r w:rsidRPr="002114F5">
              <w:rPr>
                <w:rFonts w:cs="Calibri"/>
              </w:rPr>
              <w:t>- porast broja OPG-ova</w:t>
            </w:r>
          </w:p>
          <w:p w14:paraId="1E341007" w14:textId="77777777" w:rsidR="00450BAB" w:rsidRDefault="00450BAB" w:rsidP="004838D7">
            <w:pPr>
              <w:spacing w:after="0" w:line="240" w:lineRule="auto"/>
              <w:rPr>
                <w:rFonts w:cs="Calibri"/>
              </w:rPr>
            </w:pPr>
            <w:r w:rsidRPr="002114F5">
              <w:rPr>
                <w:rFonts w:cs="Calibri"/>
              </w:rPr>
              <w:t>- poticanje razvoja održivog sustava urbane prehrane</w:t>
            </w:r>
          </w:p>
          <w:p w14:paraId="4E57AB4B" w14:textId="77777777" w:rsidR="00450BAB" w:rsidRPr="00A33E06" w:rsidRDefault="00450BAB" w:rsidP="004838D7">
            <w:pPr>
              <w:rPr>
                <w:rFonts w:cs="Calibri"/>
              </w:rPr>
            </w:pPr>
          </w:p>
        </w:tc>
        <w:tc>
          <w:tcPr>
            <w:tcW w:w="4428" w:type="dxa"/>
            <w:tcBorders>
              <w:top w:val="single" w:sz="4" w:space="0" w:color="auto"/>
              <w:left w:val="single" w:sz="4" w:space="0" w:color="auto"/>
              <w:bottom w:val="single" w:sz="4" w:space="0" w:color="auto"/>
              <w:right w:val="single" w:sz="4" w:space="0" w:color="auto"/>
            </w:tcBorders>
            <w:shd w:val="clear" w:color="auto" w:fill="auto"/>
          </w:tcPr>
          <w:p w14:paraId="1453326B" w14:textId="77777777" w:rsidR="00450BAB" w:rsidRDefault="00450BAB" w:rsidP="004838D7">
            <w:pPr>
              <w:spacing w:after="0" w:line="240" w:lineRule="auto"/>
              <w:rPr>
                <w:rFonts w:cs="Calibri"/>
              </w:rPr>
            </w:pPr>
            <w:r w:rsidRPr="00A33E06">
              <w:rPr>
                <w:rFonts w:cs="Calibri"/>
              </w:rPr>
              <w:t xml:space="preserve">- </w:t>
            </w:r>
            <w:r>
              <w:rPr>
                <w:rFonts w:cs="Calibri"/>
              </w:rPr>
              <w:t xml:space="preserve">niska konkurentnost </w:t>
            </w:r>
            <w:r w:rsidRPr="002E7407">
              <w:rPr>
                <w:rFonts w:cs="Calibri"/>
              </w:rPr>
              <w:t xml:space="preserve">u odnosu na usporedive gradove u EU </w:t>
            </w:r>
          </w:p>
          <w:p w14:paraId="56C1E200" w14:textId="2B2EE602" w:rsidR="00450BAB" w:rsidRDefault="00450BAB" w:rsidP="004838D7">
            <w:pPr>
              <w:spacing w:after="0" w:line="240" w:lineRule="auto"/>
              <w:rPr>
                <w:rFonts w:cs="Calibri"/>
              </w:rPr>
            </w:pPr>
            <w:r>
              <w:rPr>
                <w:rFonts w:cs="Calibri"/>
              </w:rPr>
              <w:t xml:space="preserve">- </w:t>
            </w:r>
            <w:r w:rsidRPr="002E7407">
              <w:rPr>
                <w:rFonts w:cs="Calibri"/>
              </w:rPr>
              <w:t>premalo investicija u proizvodnju</w:t>
            </w:r>
            <w:r w:rsidR="00942C96">
              <w:rPr>
                <w:rFonts w:cs="Calibri"/>
              </w:rPr>
              <w:t>,</w:t>
            </w:r>
            <w:r w:rsidRPr="002E7407">
              <w:rPr>
                <w:rFonts w:cs="Calibri"/>
              </w:rPr>
              <w:t xml:space="preserve"> </w:t>
            </w:r>
            <w:r w:rsidR="00942C96">
              <w:rPr>
                <w:rFonts w:cs="Calibri"/>
              </w:rPr>
              <w:t xml:space="preserve">brownfield </w:t>
            </w:r>
            <w:r w:rsidRPr="002E7407">
              <w:rPr>
                <w:rFonts w:cs="Calibri"/>
              </w:rPr>
              <w:t>i greenfield projekte</w:t>
            </w:r>
          </w:p>
          <w:p w14:paraId="6707FD81" w14:textId="3DEF8ECD" w:rsidR="00450BAB" w:rsidRDefault="00450BAB" w:rsidP="004838D7">
            <w:pPr>
              <w:spacing w:after="0" w:line="240" w:lineRule="auto"/>
              <w:rPr>
                <w:rFonts w:cs="Calibri"/>
              </w:rPr>
            </w:pPr>
            <w:r>
              <w:rPr>
                <w:rFonts w:cs="Calibri"/>
              </w:rPr>
              <w:t xml:space="preserve">- </w:t>
            </w:r>
            <w:r w:rsidRPr="00A94B47">
              <w:rPr>
                <w:rFonts w:cs="Calibri"/>
              </w:rPr>
              <w:t>izvoz znatno manji od uvoza</w:t>
            </w:r>
          </w:p>
          <w:p w14:paraId="2A46314E" w14:textId="13A5BF4C" w:rsidR="0018795A" w:rsidRDefault="0018795A" w:rsidP="004838D7">
            <w:pPr>
              <w:spacing w:after="0" w:line="240" w:lineRule="auto"/>
              <w:rPr>
                <w:rFonts w:cs="Calibri"/>
              </w:rPr>
            </w:pPr>
            <w:r>
              <w:rPr>
                <w:rFonts w:cs="Calibri"/>
              </w:rPr>
              <w:t xml:space="preserve">- </w:t>
            </w:r>
            <w:r w:rsidRPr="0018795A">
              <w:rPr>
                <w:rFonts w:cs="Calibri"/>
              </w:rPr>
              <w:t>pad BDP-a</w:t>
            </w:r>
          </w:p>
          <w:p w14:paraId="1438A6A5" w14:textId="77777777" w:rsidR="00BF04C4" w:rsidRDefault="00450BAB" w:rsidP="004838D7">
            <w:pPr>
              <w:spacing w:after="0" w:line="240" w:lineRule="auto"/>
              <w:rPr>
                <w:rFonts w:cs="Calibri"/>
              </w:rPr>
            </w:pPr>
            <w:r>
              <w:rPr>
                <w:rFonts w:cs="Calibri"/>
              </w:rPr>
              <w:t xml:space="preserve">- </w:t>
            </w:r>
            <w:r w:rsidRPr="002E7407">
              <w:rPr>
                <w:rFonts w:cs="Calibri"/>
              </w:rPr>
              <w:t>nedovoljna digitalizacija uprave i javnih servisa</w:t>
            </w:r>
          </w:p>
          <w:p w14:paraId="38952018" w14:textId="7468AA97" w:rsidR="00450BAB" w:rsidRDefault="00BF04C4" w:rsidP="004838D7">
            <w:pPr>
              <w:spacing w:after="0" w:line="240" w:lineRule="auto"/>
              <w:rPr>
                <w:rFonts w:cs="Calibri"/>
              </w:rPr>
            </w:pPr>
            <w:r>
              <w:rPr>
                <w:rFonts w:cs="Calibri"/>
              </w:rPr>
              <w:t>- nedovoljna digitalizacija MSP i obrta</w:t>
            </w:r>
            <w:r w:rsidR="00450BAB" w:rsidRPr="00A33E06">
              <w:rPr>
                <w:rFonts w:cs="Calibri"/>
              </w:rPr>
              <w:t xml:space="preserve"> </w:t>
            </w:r>
          </w:p>
          <w:p w14:paraId="6E655CB0" w14:textId="13287DBB" w:rsidR="00D07EF6" w:rsidRDefault="00D07EF6" w:rsidP="004838D7">
            <w:pPr>
              <w:spacing w:after="0" w:line="240" w:lineRule="auto"/>
              <w:rPr>
                <w:rFonts w:cs="Calibri"/>
              </w:rPr>
            </w:pPr>
            <w:r>
              <w:rPr>
                <w:rFonts w:cs="Calibri"/>
              </w:rPr>
              <w:t xml:space="preserve">- </w:t>
            </w:r>
            <w:r w:rsidRPr="00D07EF6">
              <w:rPr>
                <w:rFonts w:cs="Calibri"/>
              </w:rPr>
              <w:t>Nedostatak stručnih radnika po pojedinim strukama</w:t>
            </w:r>
          </w:p>
          <w:p w14:paraId="4BFD1794" w14:textId="77777777" w:rsidR="00450BAB" w:rsidRDefault="00450BAB" w:rsidP="004838D7">
            <w:pPr>
              <w:spacing w:after="0" w:line="240" w:lineRule="auto"/>
              <w:rPr>
                <w:rFonts w:cs="Calibri"/>
              </w:rPr>
            </w:pPr>
            <w:r>
              <w:rPr>
                <w:rFonts w:cs="Calibri"/>
              </w:rPr>
              <w:t xml:space="preserve">- </w:t>
            </w:r>
            <w:r w:rsidRPr="00AF1763">
              <w:rPr>
                <w:rFonts w:cs="Calibri"/>
              </w:rPr>
              <w:t>nedostatna ulaganja u istraživanje i razvoj, nove i zelene tehnologije, inovacije i eko inovacije</w:t>
            </w:r>
            <w:r>
              <w:rPr>
                <w:rFonts w:cs="Calibri"/>
              </w:rPr>
              <w:t xml:space="preserve"> </w:t>
            </w:r>
          </w:p>
          <w:p w14:paraId="477E60F5" w14:textId="77777777" w:rsidR="00450BAB" w:rsidRDefault="00450BAB" w:rsidP="004838D7">
            <w:pPr>
              <w:spacing w:after="0" w:line="240" w:lineRule="auto"/>
              <w:rPr>
                <w:rFonts w:cs="Calibri"/>
              </w:rPr>
            </w:pPr>
            <w:r>
              <w:rPr>
                <w:rFonts w:cs="Calibri"/>
              </w:rPr>
              <w:t>- ne</w:t>
            </w:r>
            <w:r w:rsidRPr="002E7407">
              <w:rPr>
                <w:rFonts w:cs="Calibri"/>
              </w:rPr>
              <w:t>dostatna suradnja akademskog, poslovnog i javnog sektora u jačanju inovativnosti i konkurentnosti</w:t>
            </w:r>
          </w:p>
          <w:p w14:paraId="565A68D3" w14:textId="77777777" w:rsidR="00450BAB" w:rsidRPr="00A33E06" w:rsidRDefault="00450BAB" w:rsidP="004838D7">
            <w:pPr>
              <w:spacing w:after="0" w:line="240" w:lineRule="auto"/>
              <w:rPr>
                <w:rFonts w:cs="Calibri"/>
              </w:rPr>
            </w:pPr>
            <w:r>
              <w:rPr>
                <w:rFonts w:cs="Calibri"/>
              </w:rPr>
              <w:t>-</w:t>
            </w:r>
            <w:r>
              <w:t xml:space="preserve"> </w:t>
            </w:r>
            <w:r w:rsidRPr="00355743">
              <w:rPr>
                <w:rFonts w:cs="Calibri"/>
              </w:rPr>
              <w:t>nedostatna svijest o važnosti zelenog održivog gospodarstva</w:t>
            </w:r>
          </w:p>
          <w:p w14:paraId="65744DFA" w14:textId="77777777" w:rsidR="00450BAB" w:rsidRDefault="00450BAB" w:rsidP="004838D7">
            <w:pPr>
              <w:spacing w:after="0" w:line="240" w:lineRule="auto"/>
              <w:rPr>
                <w:rFonts w:cs="Calibri"/>
              </w:rPr>
            </w:pPr>
            <w:r w:rsidRPr="00A33E06">
              <w:rPr>
                <w:rFonts w:cs="Calibri"/>
              </w:rPr>
              <w:t>- neiskorišteni potencijal gradske imovine</w:t>
            </w:r>
          </w:p>
          <w:p w14:paraId="39E05C2B" w14:textId="77777777" w:rsidR="00450BAB" w:rsidRPr="00A33E06" w:rsidRDefault="00450BAB" w:rsidP="004838D7">
            <w:pPr>
              <w:spacing w:after="0" w:line="240" w:lineRule="auto"/>
              <w:rPr>
                <w:rFonts w:cs="Calibri"/>
              </w:rPr>
            </w:pPr>
            <w:r>
              <w:rPr>
                <w:rFonts w:cs="Calibri"/>
              </w:rPr>
              <w:t xml:space="preserve">- sporost u povlačenju </w:t>
            </w:r>
            <w:r w:rsidRPr="002E7407">
              <w:rPr>
                <w:rFonts w:cs="Calibri"/>
              </w:rPr>
              <w:t>sredstava fondova EU u cilju javnih investicija odnosno implementacije razvojnih projekata</w:t>
            </w:r>
            <w:r w:rsidRPr="00A33E06">
              <w:rPr>
                <w:rFonts w:cs="Calibri"/>
              </w:rPr>
              <w:t xml:space="preserve"> </w:t>
            </w:r>
          </w:p>
          <w:p w14:paraId="6F3CAA1F" w14:textId="77777777" w:rsidR="00450BAB" w:rsidRDefault="00450BAB" w:rsidP="004838D7">
            <w:pPr>
              <w:spacing w:after="0" w:line="240" w:lineRule="auto"/>
              <w:rPr>
                <w:rFonts w:cs="Calibri"/>
              </w:rPr>
            </w:pPr>
            <w:r w:rsidRPr="00A33E06">
              <w:rPr>
                <w:rFonts w:cs="Calibri"/>
              </w:rPr>
              <w:t>- slaba percepcija o vrijednosti kulturne i prirodne baštine kao resursa za razvoj</w:t>
            </w:r>
          </w:p>
          <w:p w14:paraId="020715FD" w14:textId="07B6466C" w:rsidR="00450BAB" w:rsidRDefault="00450BAB" w:rsidP="004838D7">
            <w:pPr>
              <w:spacing w:after="0" w:line="240" w:lineRule="auto"/>
              <w:rPr>
                <w:rFonts w:cs="Calibri"/>
              </w:rPr>
            </w:pPr>
            <w:r>
              <w:rPr>
                <w:rFonts w:cs="Calibri"/>
              </w:rPr>
              <w:t xml:space="preserve">- </w:t>
            </w:r>
            <w:r w:rsidRPr="002E7407">
              <w:rPr>
                <w:rFonts w:cs="Calibri"/>
              </w:rPr>
              <w:t>nepostojanje strateškog razvojnog dokumenta</w:t>
            </w:r>
            <w:r w:rsidRPr="00A33E06">
              <w:rPr>
                <w:rFonts w:cs="Calibri"/>
              </w:rPr>
              <w:t xml:space="preserve"> </w:t>
            </w:r>
            <w:r>
              <w:rPr>
                <w:rFonts w:cs="Calibri"/>
              </w:rPr>
              <w:t>za sektor turizma</w:t>
            </w:r>
          </w:p>
          <w:p w14:paraId="64E33CCF" w14:textId="1021078C" w:rsidR="00450BAB" w:rsidRDefault="00450BAB" w:rsidP="004838D7">
            <w:pPr>
              <w:spacing w:after="0" w:line="240" w:lineRule="auto"/>
              <w:rPr>
                <w:rFonts w:cs="Calibri"/>
              </w:rPr>
            </w:pPr>
            <w:r>
              <w:rPr>
                <w:rFonts w:cs="Calibri"/>
              </w:rPr>
              <w:t xml:space="preserve">- </w:t>
            </w:r>
            <w:r w:rsidRPr="00B720FF">
              <w:rPr>
                <w:rFonts w:cs="Calibri"/>
              </w:rPr>
              <w:t xml:space="preserve">nedostatna avio povezanost </w:t>
            </w:r>
          </w:p>
          <w:p w14:paraId="7CA0D05A" w14:textId="77777777" w:rsidR="00450BAB" w:rsidRPr="00A33E06" w:rsidRDefault="00450BAB" w:rsidP="004838D7">
            <w:pPr>
              <w:spacing w:after="0" w:line="240" w:lineRule="auto"/>
              <w:rPr>
                <w:rFonts w:cs="Calibri"/>
              </w:rPr>
            </w:pPr>
            <w:r>
              <w:rPr>
                <w:rFonts w:cs="Calibri"/>
              </w:rPr>
              <w:t xml:space="preserve">- </w:t>
            </w:r>
            <w:r w:rsidRPr="00B720FF">
              <w:rPr>
                <w:rFonts w:cs="Calibri"/>
              </w:rPr>
              <w:t>proizvodna i tržišna neorganiziranost</w:t>
            </w:r>
            <w:r>
              <w:rPr>
                <w:rFonts w:cs="Calibri"/>
              </w:rPr>
              <w:t xml:space="preserve"> poljoprivrednih </w:t>
            </w:r>
            <w:r w:rsidRPr="00B720FF">
              <w:rPr>
                <w:rFonts w:cs="Calibri"/>
              </w:rPr>
              <w:t xml:space="preserve"> proizvođača</w:t>
            </w:r>
          </w:p>
          <w:p w14:paraId="47434790" w14:textId="09F0DD5A" w:rsidR="005D2AC3" w:rsidRDefault="005D2AC3" w:rsidP="005D2AC3">
            <w:pPr>
              <w:spacing w:after="0"/>
              <w:rPr>
                <w:rFonts w:cs="Calibri"/>
              </w:rPr>
            </w:pPr>
            <w:r>
              <w:rPr>
                <w:rFonts w:cs="Calibri"/>
              </w:rPr>
              <w:t>-</w:t>
            </w:r>
            <w:r>
              <w:t xml:space="preserve"> </w:t>
            </w:r>
            <w:r w:rsidRPr="005D2AC3">
              <w:rPr>
                <w:rFonts w:cs="Calibri"/>
              </w:rPr>
              <w:t>neadekvatno građeni gospodarski objekti neotporni na potres</w:t>
            </w:r>
          </w:p>
          <w:p w14:paraId="223E85C4" w14:textId="77777777" w:rsidR="00450BAB" w:rsidRPr="00A33E06" w:rsidRDefault="00450BAB" w:rsidP="005D2AC3">
            <w:pPr>
              <w:spacing w:after="0"/>
              <w:rPr>
                <w:rFonts w:cs="Calibri"/>
              </w:rPr>
            </w:pPr>
          </w:p>
        </w:tc>
      </w:tr>
    </w:tbl>
    <w:p w14:paraId="7E4EBCC9" w14:textId="77777777" w:rsidR="00450BAB" w:rsidRDefault="00450BAB" w:rsidP="00450BAB">
      <w:pPr>
        <w:rPr>
          <w:rFonts w:cs="Calibri"/>
          <w:b/>
          <w:bCs/>
        </w:rPr>
      </w:pPr>
    </w:p>
    <w:p w14:paraId="2DAD6142" w14:textId="77777777" w:rsidR="00450BAB" w:rsidRDefault="00450BAB" w:rsidP="00450BAB">
      <w:pPr>
        <w:rPr>
          <w:rFonts w:cs="Calibri"/>
          <w:b/>
          <w:bCs/>
        </w:rPr>
      </w:pPr>
    </w:p>
    <w:p w14:paraId="6F78ECBA" w14:textId="77777777" w:rsidR="00450BAB" w:rsidRDefault="00450BAB" w:rsidP="00450BAB">
      <w:pPr>
        <w:rPr>
          <w:rFonts w:cs="Calibri"/>
          <w:b/>
          <w:bCs/>
        </w:rPr>
        <w:sectPr w:rsidR="00450BAB" w:rsidSect="00CA0729">
          <w:pgSz w:w="11906" w:h="16838"/>
          <w:pgMar w:top="1560" w:right="1417" w:bottom="1134" w:left="1417" w:header="708" w:footer="708" w:gutter="0"/>
          <w:pgNumType w:start="77"/>
          <w:cols w:space="708"/>
          <w:docGrid w:linePitch="360"/>
        </w:sectPr>
      </w:pPr>
    </w:p>
    <w:p w14:paraId="0D1E8DEA" w14:textId="77777777" w:rsidR="00450BAB" w:rsidRDefault="00450BAB" w:rsidP="00450BAB"/>
    <w:tbl>
      <w:tblPr>
        <w:tblW w:w="0" w:type="auto"/>
        <w:tblLook w:val="01E0" w:firstRow="1" w:lastRow="1" w:firstColumn="1" w:lastColumn="1" w:noHBand="0" w:noVBand="0"/>
      </w:tblPr>
      <w:tblGrid>
        <w:gridCol w:w="4428"/>
        <w:gridCol w:w="4428"/>
      </w:tblGrid>
      <w:tr w:rsidR="00450BAB" w:rsidRPr="00A33E06" w14:paraId="2811D4BD" w14:textId="77777777" w:rsidTr="00E93A23">
        <w:trPr>
          <w:trHeight w:val="602"/>
        </w:trPr>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83704AD" w14:textId="77777777" w:rsidR="00450BAB" w:rsidRPr="00A33E06" w:rsidRDefault="00450BAB" w:rsidP="00E93A23">
            <w:pPr>
              <w:jc w:val="center"/>
              <w:rPr>
                <w:rFonts w:cs="Calibri"/>
                <w:b/>
                <w:bCs/>
              </w:rPr>
            </w:pPr>
            <w:r w:rsidRPr="00A33E06">
              <w:rPr>
                <w:rFonts w:cs="Calibri"/>
                <w:b/>
                <w:bCs/>
              </w:rPr>
              <w:t>Prilike</w:t>
            </w:r>
            <w:r>
              <w:rPr>
                <w:rFonts w:cs="Calibri"/>
                <w:b/>
                <w:bCs/>
              </w:rPr>
              <w:t xml:space="preserve"> </w:t>
            </w:r>
            <w:r w:rsidRPr="00A33E06">
              <w:rPr>
                <w:rFonts w:cs="Calibri"/>
                <w:b/>
                <w:bCs/>
              </w:rPr>
              <w:t>(O)</w:t>
            </w:r>
          </w:p>
        </w:tc>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1BB434E" w14:textId="77777777" w:rsidR="00450BAB" w:rsidRPr="00A33E06" w:rsidRDefault="00450BAB" w:rsidP="00E93A23">
            <w:pPr>
              <w:jc w:val="center"/>
              <w:rPr>
                <w:rFonts w:cs="Calibri"/>
                <w:b/>
                <w:bCs/>
              </w:rPr>
            </w:pPr>
            <w:r w:rsidRPr="00A33E06">
              <w:rPr>
                <w:rFonts w:cs="Calibri"/>
                <w:b/>
                <w:bCs/>
              </w:rPr>
              <w:t>Prijetnje (T)</w:t>
            </w:r>
          </w:p>
        </w:tc>
      </w:tr>
      <w:tr w:rsidR="00450BAB" w:rsidRPr="00A33E06" w14:paraId="14F5F997" w14:textId="77777777" w:rsidTr="004838D7">
        <w:trPr>
          <w:trHeight w:val="3540"/>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270CC7D2" w14:textId="33994D04" w:rsidR="00450BAB" w:rsidRPr="00A33E06" w:rsidRDefault="00450BAB" w:rsidP="005D2AC3">
            <w:pPr>
              <w:spacing w:after="0" w:line="240" w:lineRule="auto"/>
              <w:rPr>
                <w:rFonts w:cs="Calibri"/>
              </w:rPr>
            </w:pPr>
            <w:r w:rsidRPr="00A33E06">
              <w:rPr>
                <w:rFonts w:cs="Calibri"/>
              </w:rPr>
              <w:t xml:space="preserve">- pozicioniranje kao poveznica između EU i JI Europe </w:t>
            </w:r>
          </w:p>
          <w:p w14:paraId="305A982F" w14:textId="77777777" w:rsidR="00450BAB" w:rsidRDefault="00450BAB" w:rsidP="004838D7">
            <w:pPr>
              <w:spacing w:after="0" w:line="240" w:lineRule="auto"/>
              <w:rPr>
                <w:rFonts w:cs="Calibri"/>
              </w:rPr>
            </w:pPr>
            <w:r>
              <w:rPr>
                <w:rFonts w:cs="Calibri"/>
              </w:rPr>
              <w:t>- modernizacija i jačanje građevinskog sektora kroz obnovu grada od posljedica potresa</w:t>
            </w:r>
          </w:p>
          <w:p w14:paraId="1E8D1533" w14:textId="77777777" w:rsidR="00450BAB" w:rsidRDefault="00450BAB" w:rsidP="004838D7">
            <w:pPr>
              <w:spacing w:after="0" w:line="240" w:lineRule="auto"/>
              <w:rPr>
                <w:rFonts w:cs="Calibri"/>
              </w:rPr>
            </w:pPr>
            <w:r>
              <w:rPr>
                <w:rFonts w:cs="Calibri"/>
              </w:rPr>
              <w:t>- urbana obnova kao pokretač gospodarske obnove</w:t>
            </w:r>
          </w:p>
          <w:p w14:paraId="2572FC01" w14:textId="77777777" w:rsidR="00450BAB" w:rsidRPr="00BD076B" w:rsidRDefault="00450BAB" w:rsidP="004838D7">
            <w:pPr>
              <w:spacing w:after="0" w:line="240" w:lineRule="auto"/>
              <w:rPr>
                <w:rFonts w:cs="Calibri"/>
              </w:rPr>
            </w:pPr>
            <w:r w:rsidRPr="00BD076B">
              <w:rPr>
                <w:rFonts w:cs="Calibri"/>
              </w:rPr>
              <w:t xml:space="preserve">- mogućnost korištenja </w:t>
            </w:r>
            <w:r>
              <w:rPr>
                <w:rFonts w:cs="Calibri"/>
              </w:rPr>
              <w:t xml:space="preserve">većeg iznosa </w:t>
            </w:r>
            <w:r w:rsidRPr="00BD076B">
              <w:rPr>
                <w:rFonts w:cs="Calibri"/>
              </w:rPr>
              <w:t>EU sredstava u financijskom razdoblju 2021. do 2027.</w:t>
            </w:r>
            <w:r>
              <w:rPr>
                <w:rFonts w:cs="Calibri"/>
              </w:rPr>
              <w:t>,</w:t>
            </w:r>
            <w:r w:rsidRPr="00BD076B">
              <w:rPr>
                <w:rFonts w:cs="Calibri"/>
              </w:rPr>
              <w:t xml:space="preserve"> kako onih iz Višegodišnjeg financijskog okvira, tako i </w:t>
            </w:r>
            <w:r>
              <w:rPr>
                <w:rFonts w:cs="Calibri"/>
              </w:rPr>
              <w:t xml:space="preserve">iz </w:t>
            </w:r>
            <w:r w:rsidRPr="00BD076B">
              <w:rPr>
                <w:rFonts w:cs="Calibri"/>
              </w:rPr>
              <w:t xml:space="preserve">Mehanizma za oporavak i otpornost </w:t>
            </w:r>
          </w:p>
          <w:p w14:paraId="473A67DD" w14:textId="1B2C6780" w:rsidR="00450BAB" w:rsidRPr="00BD076B" w:rsidRDefault="00450BAB" w:rsidP="004838D7">
            <w:pPr>
              <w:spacing w:after="0" w:line="240" w:lineRule="auto"/>
              <w:rPr>
                <w:rFonts w:cs="Calibri"/>
              </w:rPr>
            </w:pPr>
            <w:r w:rsidRPr="00BD076B">
              <w:rPr>
                <w:rFonts w:cs="Calibri"/>
              </w:rPr>
              <w:t xml:space="preserve">- </w:t>
            </w:r>
            <w:r w:rsidR="00C82CD6">
              <w:rPr>
                <w:rFonts w:cs="Calibri"/>
              </w:rPr>
              <w:t xml:space="preserve">mogućnost </w:t>
            </w:r>
            <w:r w:rsidRPr="00BD076B">
              <w:rPr>
                <w:rFonts w:cs="Calibri"/>
              </w:rPr>
              <w:t>korištenj</w:t>
            </w:r>
            <w:r w:rsidR="00C82CD6">
              <w:rPr>
                <w:rFonts w:cs="Calibri"/>
              </w:rPr>
              <w:t>a</w:t>
            </w:r>
            <w:r w:rsidRPr="00BD076B">
              <w:rPr>
                <w:rFonts w:cs="Calibri"/>
              </w:rPr>
              <w:t xml:space="preserve"> EU sredstava za provedbu zelene tranzicije i digitalne transformacije gospodarstva </w:t>
            </w:r>
          </w:p>
          <w:p w14:paraId="26AF574A" w14:textId="118B5333" w:rsidR="00450BAB" w:rsidRPr="00BD076B" w:rsidRDefault="00450BAB" w:rsidP="004838D7">
            <w:pPr>
              <w:spacing w:after="0" w:line="240" w:lineRule="auto"/>
              <w:rPr>
                <w:rFonts w:cs="Calibri"/>
              </w:rPr>
            </w:pPr>
            <w:r w:rsidRPr="00BD076B">
              <w:rPr>
                <w:rFonts w:cs="Calibri"/>
              </w:rPr>
              <w:t xml:space="preserve">- </w:t>
            </w:r>
            <w:r w:rsidR="00EF2063">
              <w:rPr>
                <w:rFonts w:cs="Calibri"/>
              </w:rPr>
              <w:t xml:space="preserve">mogućnost </w:t>
            </w:r>
            <w:r w:rsidRPr="00BD076B">
              <w:rPr>
                <w:rFonts w:cs="Calibri"/>
              </w:rPr>
              <w:t>korištenj</w:t>
            </w:r>
            <w:r w:rsidR="00EF2063">
              <w:rPr>
                <w:rFonts w:cs="Calibri"/>
              </w:rPr>
              <w:t>a</w:t>
            </w:r>
            <w:r w:rsidRPr="00BD076B">
              <w:rPr>
                <w:rFonts w:cs="Calibri"/>
              </w:rPr>
              <w:t xml:space="preserve"> ESI fondova i drugih inozemnih financijskih izvora za razvoj malog i srednjeg poduzetništva</w:t>
            </w:r>
          </w:p>
          <w:p w14:paraId="2FB468BB" w14:textId="77777777" w:rsidR="00450BAB" w:rsidRPr="00BD076B" w:rsidRDefault="00450BAB" w:rsidP="004838D7">
            <w:pPr>
              <w:spacing w:after="0" w:line="240" w:lineRule="auto"/>
              <w:rPr>
                <w:rFonts w:cs="Calibri"/>
              </w:rPr>
            </w:pPr>
            <w:r w:rsidRPr="00BD076B">
              <w:rPr>
                <w:rFonts w:cs="Calibri"/>
              </w:rPr>
              <w:t xml:space="preserve">- mogućnost korištenja sredstava EU Fonda Solidarnosti namijenjenih smanjenju šteta od potresa </w:t>
            </w:r>
          </w:p>
          <w:p w14:paraId="4751AB30" w14:textId="77777777" w:rsidR="00450BAB" w:rsidRPr="00BD076B" w:rsidRDefault="00450BAB" w:rsidP="004838D7">
            <w:pPr>
              <w:spacing w:after="0" w:line="240" w:lineRule="auto"/>
              <w:rPr>
                <w:rFonts w:cs="Calibri"/>
              </w:rPr>
            </w:pPr>
            <w:r w:rsidRPr="00BD076B">
              <w:rPr>
                <w:rFonts w:cs="Calibri"/>
              </w:rPr>
              <w:t xml:space="preserve">- </w:t>
            </w:r>
            <w:r>
              <w:rPr>
                <w:rFonts w:cs="Calibri"/>
              </w:rPr>
              <w:t xml:space="preserve">svjetski trendovi </w:t>
            </w:r>
            <w:r w:rsidRPr="00BD076B">
              <w:rPr>
                <w:rFonts w:cs="Calibri"/>
              </w:rPr>
              <w:t>porast</w:t>
            </w:r>
            <w:r>
              <w:rPr>
                <w:rFonts w:cs="Calibri"/>
              </w:rPr>
              <w:t>a</w:t>
            </w:r>
            <w:r w:rsidRPr="00BD076B">
              <w:rPr>
                <w:rFonts w:cs="Calibri"/>
              </w:rPr>
              <w:t xml:space="preserve"> potražnje za urbanim, kulturnim, kongresnim, zdravstvenim i agro-turizmom</w:t>
            </w:r>
          </w:p>
          <w:p w14:paraId="23212F86" w14:textId="316C906D" w:rsidR="00450BAB" w:rsidRPr="00A33E06" w:rsidRDefault="00450BAB" w:rsidP="004838D7">
            <w:pPr>
              <w:spacing w:line="240" w:lineRule="auto"/>
              <w:rPr>
                <w:rFonts w:cs="Calibri"/>
              </w:rPr>
            </w:pPr>
            <w:r>
              <w:rPr>
                <w:rFonts w:cs="Calibri"/>
              </w:rPr>
              <w:t xml:space="preserve">- </w:t>
            </w:r>
            <w:r w:rsidRPr="00C61872">
              <w:rPr>
                <w:rFonts w:cs="Calibri"/>
              </w:rPr>
              <w:t xml:space="preserve"> </w:t>
            </w:r>
          </w:p>
        </w:tc>
        <w:tc>
          <w:tcPr>
            <w:tcW w:w="4428" w:type="dxa"/>
            <w:tcBorders>
              <w:top w:val="single" w:sz="4" w:space="0" w:color="auto"/>
              <w:left w:val="single" w:sz="4" w:space="0" w:color="auto"/>
              <w:bottom w:val="single" w:sz="4" w:space="0" w:color="auto"/>
              <w:right w:val="single" w:sz="4" w:space="0" w:color="auto"/>
            </w:tcBorders>
            <w:shd w:val="clear" w:color="auto" w:fill="auto"/>
          </w:tcPr>
          <w:p w14:paraId="7C4F1DF7" w14:textId="761EF2B1" w:rsidR="00450BAB" w:rsidRDefault="00450BAB" w:rsidP="004838D7">
            <w:pPr>
              <w:spacing w:after="0" w:line="240" w:lineRule="auto"/>
              <w:rPr>
                <w:rFonts w:cs="Calibri"/>
              </w:rPr>
            </w:pPr>
            <w:r w:rsidRPr="00A33E06">
              <w:rPr>
                <w:rFonts w:cs="Calibri"/>
              </w:rPr>
              <w:t xml:space="preserve">- </w:t>
            </w:r>
            <w:r>
              <w:rPr>
                <w:rFonts w:cs="Calibri"/>
              </w:rPr>
              <w:t>nepredvidiv tijek i završetak epidemije COVID 19</w:t>
            </w:r>
            <w:r w:rsidR="005D2AC3">
              <w:rPr>
                <w:rFonts w:cs="Calibri"/>
              </w:rPr>
              <w:t xml:space="preserve"> </w:t>
            </w:r>
            <w:r>
              <w:rPr>
                <w:rFonts w:cs="Calibri"/>
              </w:rPr>
              <w:t xml:space="preserve">/moguća </w:t>
            </w:r>
            <w:r w:rsidRPr="00C61872">
              <w:rPr>
                <w:rFonts w:cs="Calibri"/>
              </w:rPr>
              <w:t>pojava novih emergentnih bolesti</w:t>
            </w:r>
          </w:p>
          <w:p w14:paraId="023D752F" w14:textId="77777777" w:rsidR="00450BAB" w:rsidRDefault="00450BAB" w:rsidP="004838D7">
            <w:pPr>
              <w:spacing w:after="0" w:line="240" w:lineRule="auto"/>
              <w:rPr>
                <w:rFonts w:cs="Calibri"/>
              </w:rPr>
            </w:pPr>
            <w:r>
              <w:rPr>
                <w:rFonts w:cs="Calibri"/>
              </w:rPr>
              <w:t xml:space="preserve">- </w:t>
            </w:r>
            <w:r w:rsidRPr="00F93076">
              <w:rPr>
                <w:rFonts w:cs="Calibri"/>
              </w:rPr>
              <w:t xml:space="preserve">administrativne barijere </w:t>
            </w:r>
            <w:r>
              <w:rPr>
                <w:rFonts w:cs="Calibri"/>
              </w:rPr>
              <w:t>prilikom privlačenja investicija u poduzetništvo, stranih i domaćih</w:t>
            </w:r>
          </w:p>
          <w:p w14:paraId="0AC547A5" w14:textId="77777777" w:rsidR="00450BAB" w:rsidRPr="00A33E06" w:rsidRDefault="00450BAB" w:rsidP="004838D7">
            <w:pPr>
              <w:spacing w:after="0" w:line="240" w:lineRule="auto"/>
              <w:rPr>
                <w:rFonts w:cs="Calibri"/>
              </w:rPr>
            </w:pPr>
            <w:r w:rsidRPr="00A33E06">
              <w:rPr>
                <w:rFonts w:cs="Calibri"/>
              </w:rPr>
              <w:t>- konkurencija drugih europskih gradova u tržišnom natjecanju</w:t>
            </w:r>
          </w:p>
          <w:p w14:paraId="4D5A47EE" w14:textId="77777777" w:rsidR="00450BAB" w:rsidRPr="00A33E06" w:rsidRDefault="00450BAB" w:rsidP="004838D7">
            <w:pPr>
              <w:spacing w:after="0" w:line="240" w:lineRule="auto"/>
              <w:rPr>
                <w:rFonts w:cs="Calibri"/>
              </w:rPr>
            </w:pPr>
            <w:r w:rsidRPr="00A33E06">
              <w:rPr>
                <w:rFonts w:cs="Calibri"/>
              </w:rPr>
              <w:t>- konkurencija jeftinije inozemne proizvodnje</w:t>
            </w:r>
          </w:p>
          <w:p w14:paraId="1B864EC5" w14:textId="77777777" w:rsidR="00450BAB" w:rsidRPr="00A33E06" w:rsidRDefault="00450BAB" w:rsidP="004838D7">
            <w:pPr>
              <w:spacing w:after="0" w:line="240" w:lineRule="auto"/>
              <w:rPr>
                <w:rFonts w:cs="Calibri"/>
              </w:rPr>
            </w:pPr>
            <w:r w:rsidRPr="00A33E06">
              <w:rPr>
                <w:rFonts w:cs="Calibri"/>
              </w:rPr>
              <w:t xml:space="preserve">- konkurencija susjednih županija zbog nižih troškova poslovanja </w:t>
            </w:r>
          </w:p>
          <w:p w14:paraId="0A88938B" w14:textId="77777777" w:rsidR="00450BAB" w:rsidRDefault="00450BAB" w:rsidP="004838D7">
            <w:pPr>
              <w:spacing w:after="0" w:line="240" w:lineRule="auto"/>
              <w:rPr>
                <w:rFonts w:cs="Calibri"/>
              </w:rPr>
            </w:pPr>
            <w:r w:rsidRPr="00A33E06">
              <w:rPr>
                <w:rFonts w:cs="Calibri"/>
              </w:rPr>
              <w:t>- privlačnost vanjskog okruženja za odljev radne snage</w:t>
            </w:r>
          </w:p>
          <w:p w14:paraId="3490E2E9" w14:textId="2CED81B0" w:rsidR="00450BAB" w:rsidRDefault="00450BAB" w:rsidP="004838D7">
            <w:pPr>
              <w:spacing w:after="0" w:line="240" w:lineRule="auto"/>
              <w:rPr>
                <w:rFonts w:cs="Calibri"/>
              </w:rPr>
            </w:pPr>
            <w:r>
              <w:rPr>
                <w:rFonts w:cs="Calibri"/>
              </w:rPr>
              <w:t xml:space="preserve">- </w:t>
            </w:r>
          </w:p>
          <w:p w14:paraId="6A8C6AFB" w14:textId="6E85AF54" w:rsidR="00450BAB" w:rsidRPr="00A66135" w:rsidRDefault="00450BAB" w:rsidP="004838D7">
            <w:pPr>
              <w:spacing w:after="0" w:line="240" w:lineRule="auto"/>
            </w:pPr>
            <w:r>
              <w:rPr>
                <w:rFonts w:cs="Calibri"/>
              </w:rPr>
              <w:t xml:space="preserve">- daljnje </w:t>
            </w:r>
            <w:r w:rsidRPr="005204FD">
              <w:t xml:space="preserve">povećanje broja nezaposlenih </w:t>
            </w:r>
          </w:p>
          <w:p w14:paraId="78BA2D05" w14:textId="77777777" w:rsidR="00A54305" w:rsidRDefault="00450BAB" w:rsidP="00A54305">
            <w:pPr>
              <w:spacing w:after="0" w:line="240" w:lineRule="auto"/>
              <w:rPr>
                <w:rFonts w:cs="Calibri"/>
              </w:rPr>
            </w:pPr>
            <w:r w:rsidRPr="00C61872">
              <w:rPr>
                <w:rFonts w:cs="Calibri"/>
              </w:rPr>
              <w:t xml:space="preserve">- smanjenje broja zaposlenih u </w:t>
            </w:r>
            <w:r w:rsidR="00A54305" w:rsidRPr="00C61872">
              <w:rPr>
                <w:rFonts w:cs="Calibri"/>
              </w:rPr>
              <w:t>gospodarskim djelatnostima</w:t>
            </w:r>
          </w:p>
          <w:p w14:paraId="63462493" w14:textId="6F37B759" w:rsidR="00714235" w:rsidRPr="00A33E06" w:rsidRDefault="00A54305" w:rsidP="005D2AC3">
            <w:pPr>
              <w:spacing w:after="0" w:line="240" w:lineRule="auto"/>
              <w:rPr>
                <w:rFonts w:cs="Calibri"/>
              </w:rPr>
            </w:pPr>
            <w:r>
              <w:rPr>
                <w:rFonts w:cs="Calibri"/>
              </w:rPr>
              <w:t>- energetska kriza zbog zaoštravanja odnosa između „istoka“ i „zapada“</w:t>
            </w:r>
          </w:p>
        </w:tc>
      </w:tr>
    </w:tbl>
    <w:p w14:paraId="3B74D5B2" w14:textId="77777777" w:rsidR="00450BAB" w:rsidRDefault="00450BAB" w:rsidP="00450BAB">
      <w:pPr>
        <w:tabs>
          <w:tab w:val="left" w:pos="1890"/>
        </w:tabs>
        <w:rPr>
          <w:rFonts w:eastAsia="Times New Roman" w:cs="Calibri"/>
          <w:b/>
          <w:bCs/>
          <w:color w:val="000000"/>
          <w:kern w:val="24"/>
          <w:lang w:eastAsia="hr-HR"/>
        </w:rPr>
      </w:pPr>
    </w:p>
    <w:p w14:paraId="7367C1B1" w14:textId="77777777" w:rsidR="00004DF9" w:rsidRDefault="00004DF9">
      <w:pPr>
        <w:rPr>
          <w:rFonts w:eastAsia="Times New Roman" w:cs="Calibri"/>
          <w:b/>
          <w:bCs/>
          <w:kern w:val="24"/>
          <w:lang w:eastAsia="hr-HR"/>
        </w:rPr>
      </w:pPr>
      <w:r>
        <w:rPr>
          <w:rFonts w:eastAsia="Times New Roman" w:cs="Calibri"/>
          <w:b/>
          <w:bCs/>
          <w:kern w:val="24"/>
          <w:lang w:eastAsia="hr-HR"/>
        </w:rPr>
        <w:br w:type="page"/>
      </w:r>
    </w:p>
    <w:p w14:paraId="0C36DE37" w14:textId="7E8FF2EF" w:rsidR="00450BAB" w:rsidRPr="00BD076B" w:rsidRDefault="00450BAB" w:rsidP="00450BAB">
      <w:pPr>
        <w:rPr>
          <w:rFonts w:eastAsia="Times New Roman" w:cs="Calibri"/>
          <w:b/>
          <w:bCs/>
          <w:kern w:val="24"/>
          <w:lang w:eastAsia="hr-HR"/>
        </w:rPr>
      </w:pPr>
      <w:r w:rsidRPr="00BD076B">
        <w:rPr>
          <w:rFonts w:eastAsia="Times New Roman" w:cs="Calibri"/>
          <w:b/>
          <w:bCs/>
          <w:kern w:val="24"/>
          <w:lang w:eastAsia="hr-HR"/>
        </w:rPr>
        <w:t>Gospodarstvo</w:t>
      </w:r>
    </w:p>
    <w:p w14:paraId="2FF7A193" w14:textId="77777777" w:rsidR="00450BAB" w:rsidRPr="00BD076B" w:rsidRDefault="00450BAB" w:rsidP="00450BAB">
      <w:pPr>
        <w:spacing w:after="0" w:line="240" w:lineRule="auto"/>
        <w:contextualSpacing/>
        <w:jc w:val="both"/>
        <w:textAlignment w:val="baseline"/>
        <w:rPr>
          <w:rFonts w:eastAsia="Times New Roman" w:cs="Calibri"/>
          <w:b/>
          <w:bCs/>
          <w:kern w:val="24"/>
          <w:u w:val="single"/>
          <w:lang w:eastAsia="hr-HR"/>
        </w:rPr>
      </w:pPr>
      <w:r w:rsidRPr="00BD076B">
        <w:rPr>
          <w:rFonts w:eastAsia="Times New Roman" w:cs="Calibri"/>
          <w:b/>
          <w:bCs/>
          <w:kern w:val="24"/>
          <w:u w:val="single"/>
          <w:lang w:eastAsia="hr-HR"/>
        </w:rPr>
        <w:t xml:space="preserve">Snage </w:t>
      </w:r>
    </w:p>
    <w:p w14:paraId="49FE43B7" w14:textId="77777777" w:rsidR="00450BAB" w:rsidRPr="00E63E33" w:rsidRDefault="00450BAB" w:rsidP="00450BAB">
      <w:pPr>
        <w:pStyle w:val="Tijeloteksta2"/>
        <w:rPr>
          <w:rFonts w:ascii="Calibri" w:hAnsi="Calibri" w:cs="Calibri"/>
          <w:b w:val="0"/>
          <w:bCs w:val="0"/>
          <w:sz w:val="22"/>
          <w:szCs w:val="22"/>
        </w:rPr>
      </w:pPr>
      <w:r w:rsidRPr="00D32282">
        <w:rPr>
          <w:rFonts w:ascii="Calibri" w:hAnsi="Calibri" w:cs="Calibri"/>
          <w:b w:val="0"/>
          <w:bCs w:val="0"/>
          <w:sz w:val="22"/>
          <w:szCs w:val="22"/>
        </w:rPr>
        <w:t>U 201</w:t>
      </w:r>
      <w:r w:rsidRPr="00BD076B">
        <w:rPr>
          <w:rFonts w:ascii="Calibri" w:hAnsi="Calibri" w:cs="Calibri"/>
          <w:b w:val="0"/>
          <w:bCs w:val="0"/>
          <w:sz w:val="22"/>
          <w:szCs w:val="22"/>
        </w:rPr>
        <w:t xml:space="preserve">8. BDP Grada Zagreba iznosio je 17,5milijardi eura što je porast od 4,5% u odnosu na 2017., pri čemu </w:t>
      </w:r>
      <w:r>
        <w:rPr>
          <w:rFonts w:ascii="Calibri" w:hAnsi="Calibri" w:cs="Calibri"/>
          <w:b w:val="0"/>
          <w:bCs w:val="0"/>
          <w:sz w:val="22"/>
          <w:szCs w:val="22"/>
        </w:rPr>
        <w:t xml:space="preserve">je </w:t>
      </w:r>
      <w:r w:rsidRPr="00BD076B">
        <w:rPr>
          <w:rFonts w:ascii="Calibri" w:hAnsi="Calibri" w:cs="Calibri"/>
          <w:b w:val="0"/>
          <w:bCs w:val="0"/>
          <w:sz w:val="22"/>
          <w:szCs w:val="22"/>
        </w:rPr>
        <w:t>BDP po glavi stanovnika iznosi</w:t>
      </w:r>
      <w:r>
        <w:rPr>
          <w:rFonts w:ascii="Calibri" w:hAnsi="Calibri" w:cs="Calibri"/>
          <w:b w:val="0"/>
          <w:bCs w:val="0"/>
          <w:sz w:val="22"/>
          <w:szCs w:val="22"/>
        </w:rPr>
        <w:t>o</w:t>
      </w:r>
      <w:r w:rsidRPr="00BD076B">
        <w:rPr>
          <w:rFonts w:ascii="Calibri" w:hAnsi="Calibri" w:cs="Calibri"/>
          <w:b w:val="0"/>
          <w:bCs w:val="0"/>
          <w:sz w:val="22"/>
          <w:szCs w:val="22"/>
        </w:rPr>
        <w:t xml:space="preserve"> 22.695</w:t>
      </w:r>
      <w:r>
        <w:rPr>
          <w:rFonts w:ascii="Calibri" w:hAnsi="Calibri" w:cs="Calibri"/>
          <w:b w:val="0"/>
          <w:bCs w:val="0"/>
          <w:sz w:val="22"/>
          <w:szCs w:val="22"/>
        </w:rPr>
        <w:t xml:space="preserve"> </w:t>
      </w:r>
      <w:r w:rsidRPr="00BD076B">
        <w:rPr>
          <w:rFonts w:ascii="Calibri" w:hAnsi="Calibri" w:cs="Calibri"/>
          <w:b w:val="0"/>
          <w:bCs w:val="0"/>
          <w:sz w:val="22"/>
          <w:szCs w:val="22"/>
        </w:rPr>
        <w:t xml:space="preserve">eura, što je 85,0% iznad državnog prosjeka. Grad Zagreb je jedina županija u Republici Hrvatskoj koja je u 2018. ostvarila BDP po stanovniku prema standardu kupovne moći iznad prosjeka EU-28, i to u postotku od 23,6. </w:t>
      </w:r>
      <w:r>
        <w:rPr>
          <w:rFonts w:ascii="Calibri" w:hAnsi="Calibri" w:cs="Calibri"/>
          <w:b w:val="0"/>
          <w:bCs w:val="0"/>
          <w:sz w:val="22"/>
          <w:szCs w:val="22"/>
        </w:rPr>
        <w:t xml:space="preserve"> </w:t>
      </w:r>
      <w:r w:rsidRPr="00BD076B">
        <w:rPr>
          <w:rFonts w:ascii="Calibri" w:eastAsia="Calibri" w:hAnsi="Calibri" w:cs="Calibri"/>
          <w:b w:val="0"/>
          <w:bCs w:val="0"/>
          <w:sz w:val="22"/>
          <w:szCs w:val="22"/>
          <w:lang w:eastAsia="en-US"/>
        </w:rPr>
        <w:t xml:space="preserve">Ovi podaci potvrđuju poziciju </w:t>
      </w:r>
      <w:r>
        <w:rPr>
          <w:rFonts w:ascii="Calibri" w:eastAsia="Calibri" w:hAnsi="Calibri" w:cs="Calibri"/>
          <w:b w:val="0"/>
          <w:bCs w:val="0"/>
          <w:sz w:val="22"/>
          <w:szCs w:val="22"/>
          <w:lang w:eastAsia="en-US"/>
        </w:rPr>
        <w:t>Zagreb</w:t>
      </w:r>
      <w:r w:rsidRPr="00BD076B">
        <w:rPr>
          <w:rFonts w:ascii="Calibri" w:eastAsia="Calibri" w:hAnsi="Calibri" w:cs="Calibri"/>
          <w:b w:val="0"/>
          <w:bCs w:val="0"/>
          <w:sz w:val="22"/>
          <w:szCs w:val="22"/>
          <w:lang w:eastAsia="en-US"/>
        </w:rPr>
        <w:t>a kao tržišta s najvećom kupovnom snagom. Koncentracija poslovnih subjekata/poduzetnika, obrazovane radne snage, raznovrsna ponuda specijaliziranih poslovnih usluga</w:t>
      </w:r>
      <w:r>
        <w:rPr>
          <w:rFonts w:ascii="Calibri" w:eastAsia="Calibri" w:hAnsi="Calibri" w:cs="Calibri"/>
          <w:b w:val="0"/>
          <w:bCs w:val="0"/>
          <w:sz w:val="22"/>
          <w:szCs w:val="22"/>
          <w:lang w:eastAsia="en-US"/>
        </w:rPr>
        <w:t xml:space="preserve"> te</w:t>
      </w:r>
      <w:r w:rsidRPr="00BD076B">
        <w:rPr>
          <w:rFonts w:ascii="Calibri" w:eastAsia="Calibri" w:hAnsi="Calibri" w:cs="Calibri"/>
          <w:b w:val="0"/>
          <w:bCs w:val="0"/>
          <w:sz w:val="22"/>
          <w:szCs w:val="22"/>
          <w:lang w:eastAsia="en-US"/>
        </w:rPr>
        <w:t xml:space="preserve"> razvijenost pojedinih visokotehnoloških sektora gospodarstva razvojne su snage Grada Zagreba što pored navedenog potvrđuju i sljedeći relevantni gospodarski pokazatelji za 2019. </w:t>
      </w:r>
      <w:r>
        <w:rPr>
          <w:rFonts w:ascii="Calibri" w:eastAsia="Calibri" w:hAnsi="Calibri" w:cs="Calibri"/>
          <w:b w:val="0"/>
          <w:bCs w:val="0"/>
          <w:sz w:val="22"/>
          <w:szCs w:val="22"/>
          <w:lang w:eastAsia="en-US"/>
        </w:rPr>
        <w:t xml:space="preserve">godinu: </w:t>
      </w:r>
      <w:r w:rsidRPr="00BD076B">
        <w:rPr>
          <w:rFonts w:ascii="Calibri" w:hAnsi="Calibri" w:cs="Calibri"/>
          <w:b w:val="0"/>
          <w:sz w:val="22"/>
          <w:szCs w:val="22"/>
        </w:rPr>
        <w:t xml:space="preserve">ukupan broj poduzetnika </w:t>
      </w:r>
      <w:r>
        <w:rPr>
          <w:rFonts w:ascii="Calibri" w:hAnsi="Calibri" w:cs="Calibri"/>
          <w:b w:val="0"/>
          <w:sz w:val="22"/>
          <w:szCs w:val="22"/>
        </w:rPr>
        <w:t>iznosi</w:t>
      </w:r>
      <w:r w:rsidRPr="00BD076B">
        <w:rPr>
          <w:rFonts w:ascii="Calibri" w:hAnsi="Calibri" w:cs="Calibri"/>
          <w:b w:val="0"/>
          <w:sz w:val="22"/>
          <w:szCs w:val="22"/>
        </w:rPr>
        <w:t xml:space="preserve"> 45.608; udio broja zaposlenih osoba u Gradu Zagrebu u ukupnom broju zaposlenih u R</w:t>
      </w:r>
      <w:r>
        <w:rPr>
          <w:rFonts w:ascii="Calibri" w:hAnsi="Calibri" w:cs="Calibri"/>
          <w:b w:val="0"/>
          <w:sz w:val="22"/>
          <w:szCs w:val="22"/>
        </w:rPr>
        <w:t xml:space="preserve">epublici </w:t>
      </w:r>
      <w:r w:rsidRPr="00BD076B">
        <w:rPr>
          <w:rFonts w:ascii="Calibri" w:hAnsi="Calibri" w:cs="Calibri"/>
          <w:b w:val="0"/>
          <w:sz w:val="22"/>
          <w:szCs w:val="22"/>
        </w:rPr>
        <w:t>H</w:t>
      </w:r>
      <w:r>
        <w:rPr>
          <w:rFonts w:ascii="Calibri" w:hAnsi="Calibri" w:cs="Calibri"/>
          <w:b w:val="0"/>
          <w:sz w:val="22"/>
          <w:szCs w:val="22"/>
        </w:rPr>
        <w:t>rvatskoj je</w:t>
      </w:r>
      <w:r w:rsidRPr="00BD076B">
        <w:rPr>
          <w:rFonts w:ascii="Calibri" w:hAnsi="Calibri" w:cs="Calibri"/>
          <w:b w:val="0"/>
          <w:sz w:val="22"/>
          <w:szCs w:val="22"/>
        </w:rPr>
        <w:t xml:space="preserve"> 38,6%; </w:t>
      </w:r>
      <w:r>
        <w:rPr>
          <w:rFonts w:ascii="Calibri" w:hAnsi="Calibri" w:cs="Calibri"/>
          <w:b w:val="0"/>
          <w:sz w:val="22"/>
          <w:szCs w:val="22"/>
        </w:rPr>
        <w:t xml:space="preserve">a </w:t>
      </w:r>
      <w:r w:rsidRPr="00D32282">
        <w:rPr>
          <w:rFonts w:ascii="Calibri" w:hAnsi="Calibri" w:cs="Calibri"/>
          <w:b w:val="0"/>
          <w:sz w:val="22"/>
          <w:szCs w:val="22"/>
        </w:rPr>
        <w:t>udio pod</w:t>
      </w:r>
      <w:r w:rsidRPr="00BD076B">
        <w:rPr>
          <w:rFonts w:ascii="Calibri" w:hAnsi="Calibri" w:cs="Calibri"/>
          <w:b w:val="0"/>
          <w:sz w:val="22"/>
          <w:szCs w:val="22"/>
        </w:rPr>
        <w:t xml:space="preserve">uzetnika Grada Zagreba u ukupnoj vrijednosti investicija u novu dugotrajnu imovinu poduzetnika </w:t>
      </w:r>
      <w:r>
        <w:rPr>
          <w:rFonts w:ascii="Calibri" w:hAnsi="Calibri" w:cs="Calibri"/>
          <w:b w:val="0"/>
          <w:sz w:val="22"/>
          <w:szCs w:val="22"/>
        </w:rPr>
        <w:t xml:space="preserve">cijele zemlje je </w:t>
      </w:r>
      <w:r w:rsidRPr="00BD076B">
        <w:rPr>
          <w:rFonts w:ascii="Calibri" w:hAnsi="Calibri" w:cs="Calibri"/>
          <w:b w:val="0"/>
          <w:sz w:val="22"/>
          <w:szCs w:val="22"/>
        </w:rPr>
        <w:t>46,9%. Važ</w:t>
      </w:r>
      <w:r>
        <w:rPr>
          <w:rFonts w:ascii="Calibri" w:hAnsi="Calibri" w:cs="Calibri"/>
          <w:b w:val="0"/>
          <w:sz w:val="22"/>
          <w:szCs w:val="22"/>
        </w:rPr>
        <w:t>an</w:t>
      </w:r>
      <w:r w:rsidRPr="00BD076B">
        <w:rPr>
          <w:rFonts w:ascii="Calibri" w:hAnsi="Calibri" w:cs="Calibri"/>
          <w:b w:val="0"/>
          <w:sz w:val="22"/>
          <w:szCs w:val="22"/>
        </w:rPr>
        <w:t xml:space="preserve"> razvojni čimbenik je i trend rasta djelatnosti informacije i komunikacije (ICT sektora) te trend rasta kulturnih i kreativnih industrija.</w:t>
      </w:r>
      <w:r>
        <w:rPr>
          <w:rFonts w:ascii="Calibri" w:hAnsi="Calibri" w:cs="Calibri"/>
          <w:b w:val="0"/>
          <w:sz w:val="22"/>
          <w:szCs w:val="22"/>
        </w:rPr>
        <w:t xml:space="preserve"> </w:t>
      </w:r>
      <w:r>
        <w:rPr>
          <w:rFonts w:ascii="Calibri" w:eastAsia="Calibri" w:hAnsi="Calibri" w:cs="Calibri"/>
          <w:b w:val="0"/>
          <w:bCs w:val="0"/>
          <w:sz w:val="22"/>
          <w:szCs w:val="22"/>
          <w:lang w:eastAsia="en-US"/>
        </w:rPr>
        <w:t>Zagreb</w:t>
      </w:r>
      <w:r w:rsidRPr="00BD076B">
        <w:rPr>
          <w:rFonts w:ascii="Calibri" w:eastAsia="Calibri" w:hAnsi="Calibri" w:cs="Calibri"/>
          <w:b w:val="0"/>
          <w:bCs w:val="0"/>
          <w:sz w:val="22"/>
          <w:szCs w:val="22"/>
          <w:lang w:eastAsia="en-US"/>
        </w:rPr>
        <w:t xml:space="preserve"> je i rastuće turističko središte koje kontinuirano bilježi porast broja turista te porast broja noćenja.</w:t>
      </w:r>
    </w:p>
    <w:p w14:paraId="3A78AFFA" w14:textId="77777777" w:rsidR="00450BAB" w:rsidRPr="00BD076B" w:rsidRDefault="00450BAB" w:rsidP="00450BAB">
      <w:pPr>
        <w:pStyle w:val="Tijeloteksta2"/>
        <w:rPr>
          <w:rFonts w:ascii="Calibri" w:eastAsia="Calibri" w:hAnsi="Calibri" w:cs="Calibri"/>
          <w:b w:val="0"/>
          <w:bCs w:val="0"/>
          <w:sz w:val="22"/>
          <w:szCs w:val="22"/>
          <w:lang w:eastAsia="en-US"/>
        </w:rPr>
      </w:pPr>
    </w:p>
    <w:p w14:paraId="4303E442" w14:textId="77777777" w:rsidR="00450BAB" w:rsidRPr="00BD076B" w:rsidRDefault="00450BAB" w:rsidP="00450BAB">
      <w:pPr>
        <w:spacing w:line="240" w:lineRule="auto"/>
        <w:jc w:val="both"/>
        <w:rPr>
          <w:rFonts w:cs="Calibri"/>
        </w:rPr>
      </w:pPr>
      <w:r w:rsidRPr="00BD076B">
        <w:rPr>
          <w:rFonts w:eastAsia="Times New Roman" w:cs="Calibri"/>
          <w:b/>
          <w:bCs/>
          <w:kern w:val="24"/>
          <w:u w:val="single"/>
          <w:lang w:eastAsia="hr-HR"/>
        </w:rPr>
        <w:t>Slabosti</w:t>
      </w:r>
      <w:r w:rsidRPr="00D32282">
        <w:rPr>
          <w:rFonts w:cs="Calibri"/>
        </w:rPr>
        <w:br/>
      </w:r>
      <w:r w:rsidRPr="00BD076B">
        <w:rPr>
          <w:rFonts w:cs="Calibri"/>
        </w:rPr>
        <w:t xml:space="preserve">Kako bi gospodarstvo napredovalo važno je stvarati uvjete za intenzivan razvoj postojećih i osnivanje novih tvrtki koje će svoje poslovanje bazirati na visokoj tehnologiji i razvoju proizvoda, te privlačiti investicije temeljene na inovacijama i naprednim tehnologijama koje omogućavaju stvaranje visokokvalitetnih radnih mjesta, s posebnim naglaskom na učinkovito upravljanje okolišem i resursima. Potrebno je, također, poticati internacionalizaciju poslovanja poduzeća, posebice malih i srednjih, kako bi se smanjio negativan saldo vanjskotrgovinske razmjene koji usporava rast BDP-a. Spora realizacija javnih investicija odnosno implementacija razvojnih projekata mogla bi svoje rješenje naći </w:t>
      </w:r>
      <w:r>
        <w:rPr>
          <w:rFonts w:cs="Calibri"/>
        </w:rPr>
        <w:t xml:space="preserve">u </w:t>
      </w:r>
      <w:r w:rsidRPr="00BD076B">
        <w:rPr>
          <w:rFonts w:cs="Calibri"/>
        </w:rPr>
        <w:t>ubržem i  učinkovitijem povlačenju sredstava fondova EU. Tijekom 2020. godine epidemija virusa Covid 19, kao ozbiljna javnozdravstvena kriza, uzrokovala je snažan udar na gospodarstvo</w:t>
      </w:r>
      <w:r>
        <w:rPr>
          <w:rFonts w:cs="Calibri"/>
        </w:rPr>
        <w:t xml:space="preserve"> Grada</w:t>
      </w:r>
      <w:r w:rsidRPr="00BD076B">
        <w:rPr>
          <w:rFonts w:cs="Calibri"/>
        </w:rPr>
        <w:t>.  Najviše pogođena područja odnose se na prijevoz, uslužne djelatnosti, trgovinu na malo i turizam. Osim pandemije, tijekom 2020. grad Zageb je pogođen potresom, koji je uzrokovao znatna oštećenja na mnogim gospodarskim objektima, što je za posljedicu imalo angažiranje sredstava na saniranju posljedica potresa te time manja ulaganja i manju gospodarsku aktivnost.</w:t>
      </w:r>
    </w:p>
    <w:p w14:paraId="07589B09" w14:textId="77777777" w:rsidR="00450BAB" w:rsidRPr="00BD076B" w:rsidRDefault="00450BAB" w:rsidP="00450BAB">
      <w:pPr>
        <w:spacing w:line="240" w:lineRule="auto"/>
        <w:jc w:val="both"/>
        <w:rPr>
          <w:rFonts w:eastAsia="Times New Roman" w:cs="Calibri"/>
          <w:b/>
          <w:bCs/>
          <w:kern w:val="24"/>
          <w:u w:val="single"/>
          <w:lang w:eastAsia="hr-HR"/>
        </w:rPr>
      </w:pPr>
      <w:r w:rsidRPr="00BD076B">
        <w:rPr>
          <w:rFonts w:eastAsia="Times New Roman" w:cs="Calibri"/>
          <w:b/>
          <w:bCs/>
          <w:kern w:val="24"/>
          <w:u w:val="single"/>
          <w:lang w:eastAsia="hr-HR"/>
        </w:rPr>
        <w:t>Prilike</w:t>
      </w:r>
      <w:r w:rsidRPr="00BD076B">
        <w:rPr>
          <w:rFonts w:eastAsia="Times New Roman" w:cs="Calibri"/>
          <w:b/>
          <w:bCs/>
          <w:kern w:val="24"/>
          <w:u w:val="single"/>
          <w:lang w:eastAsia="hr-HR"/>
        </w:rPr>
        <w:br/>
      </w:r>
      <w:r w:rsidRPr="00BD076B">
        <w:rPr>
          <w:rFonts w:cs="Calibri"/>
        </w:rPr>
        <w:t>Mogućnost korištenja EU fondova u financijskom razdoblju 2021. do 2027.  označava iznimnu razvojnu priliku, posebice stoga što će Hrvatskoj osim sredstava Višegodišnjeg financijskog okvira na raspolaganju biti i sredstva Mehanizma za oporavak i otpornost namijenjenog za izlazak iz krize uzrokovane koronavirusom, te je potrebno intenzivno raditi na pripremi projekata za apliciranje za ta sredstva. Instrument za oporavak ima tri sastavnice od kojih su prve dvije usko vezane uz oporavak gos</w:t>
      </w:r>
      <w:r>
        <w:rPr>
          <w:rFonts w:cs="Calibri"/>
        </w:rPr>
        <w:t>p</w:t>
      </w:r>
      <w:r w:rsidRPr="00BD076B">
        <w:rPr>
          <w:rFonts w:cs="Calibri"/>
        </w:rPr>
        <w:t>odarstva</w:t>
      </w:r>
      <w:r>
        <w:rPr>
          <w:rFonts w:cs="Calibri"/>
        </w:rPr>
        <w:t xml:space="preserve"> isastoje se od</w:t>
      </w:r>
      <w:r w:rsidRPr="00BD076B">
        <w:rPr>
          <w:rFonts w:cs="Calibri"/>
        </w:rPr>
        <w:t xml:space="preserve">: </w:t>
      </w:r>
      <w:r>
        <w:rPr>
          <w:rFonts w:cs="Calibri"/>
        </w:rPr>
        <w:t>P</w:t>
      </w:r>
      <w:r w:rsidRPr="00BD076B">
        <w:rPr>
          <w:rFonts w:cs="Calibri"/>
        </w:rPr>
        <w:t xml:space="preserve">odrška državama člancama za oporavak (potpora ulaganjima i reformama), Ponovno poticanje gospodarstva i poticanje privatnih ulaganja (potpora ključnim sektorima i tehnologijama) te Izvlačenje pouka iz krize (potpora programima za pripremu odgovora na krize).  </w:t>
      </w:r>
    </w:p>
    <w:p w14:paraId="6D4060B0" w14:textId="77777777" w:rsidR="00450BAB" w:rsidRPr="00BD076B" w:rsidRDefault="00450BAB" w:rsidP="00450BAB">
      <w:pPr>
        <w:spacing w:line="240" w:lineRule="auto"/>
        <w:jc w:val="both"/>
        <w:rPr>
          <w:rFonts w:eastAsia="Times New Roman" w:cs="Calibri"/>
          <w:b/>
          <w:bCs/>
          <w:kern w:val="24"/>
          <w:u w:val="single"/>
          <w:lang w:eastAsia="hr-HR"/>
        </w:rPr>
      </w:pPr>
    </w:p>
    <w:p w14:paraId="59CA3786" w14:textId="77777777" w:rsidR="00450BAB" w:rsidRPr="00BD076B" w:rsidRDefault="00450BAB" w:rsidP="00450BAB">
      <w:pPr>
        <w:spacing w:line="240" w:lineRule="auto"/>
        <w:jc w:val="both"/>
        <w:rPr>
          <w:rFonts w:eastAsia="Times New Roman" w:cs="Calibri"/>
          <w:b/>
          <w:bCs/>
          <w:kern w:val="24"/>
          <w:u w:val="single"/>
          <w:lang w:eastAsia="hr-HR"/>
        </w:rPr>
      </w:pPr>
      <w:r w:rsidRPr="00BD076B">
        <w:rPr>
          <w:rFonts w:eastAsia="Times New Roman" w:cs="Calibri"/>
          <w:b/>
          <w:bCs/>
          <w:kern w:val="24"/>
          <w:u w:val="single"/>
          <w:lang w:eastAsia="hr-HR"/>
        </w:rPr>
        <w:t>Prijetnje</w:t>
      </w:r>
      <w:r w:rsidRPr="00BD076B">
        <w:rPr>
          <w:rFonts w:eastAsia="Times New Roman" w:cs="Calibri"/>
          <w:b/>
          <w:bCs/>
          <w:kern w:val="24"/>
          <w:u w:val="single"/>
          <w:lang w:eastAsia="hr-HR"/>
        </w:rPr>
        <w:br/>
      </w:r>
      <w:r w:rsidRPr="00D32282">
        <w:rPr>
          <w:rFonts w:cs="Calibri"/>
        </w:rPr>
        <w:t>Administrativ</w:t>
      </w:r>
      <w:r w:rsidRPr="00BD076B">
        <w:rPr>
          <w:rFonts w:cs="Calibri"/>
        </w:rPr>
        <w:t>ne barijere prilikom ulaganja u razvoj poduzetništva</w:t>
      </w:r>
      <w:r>
        <w:rPr>
          <w:rFonts w:cs="Calibri"/>
        </w:rPr>
        <w:t xml:space="preserve"> i</w:t>
      </w:r>
      <w:r w:rsidRPr="00BD076B">
        <w:rPr>
          <w:rFonts w:cs="Calibri"/>
        </w:rPr>
        <w:t xml:space="preserve"> problem čestih i nekonzistentnih izmjena zakonske regulative posljedično uzrokuj</w:t>
      </w:r>
      <w:r>
        <w:rPr>
          <w:rFonts w:cs="Calibri"/>
        </w:rPr>
        <w:t>u</w:t>
      </w:r>
      <w:r w:rsidRPr="00BD076B">
        <w:rPr>
          <w:rFonts w:cs="Calibri"/>
        </w:rPr>
        <w:t xml:space="preserve"> potrebe dodatnih financijskih sredstava, produljenja rokova i općenito nestabilnost koja nepovoljno djeluje na poslovanje poduzetnika. Konkurencija drugih europskih gradova u tržišnom natjecanju, jeftinije inozemne proizvodnje kao i privlačnost vanjskog okruženja za odljev radne snage posljedica su internacionalizacije / globalizacije te navedene prijetnje iziskuju značajne promjene i prilagodbe na inovativan i konkurentan način poslovanja, a prijetnju predstavlja i konkurencija susjednih županija zbog nižih troškova poslovanja (preseljenje trgovačkih društava iz Grada u područja u njegovom neposrednom okruženju). Također, uslijed krize uzrokovane pandemijom COVID 19, prijetnju predstavlja smanjenje BDP-a, opterećenje sustava, ograničenje slobode kretanja ljudi, rob</w:t>
      </w:r>
      <w:r>
        <w:rPr>
          <w:rFonts w:cs="Calibri"/>
        </w:rPr>
        <w:t>a</w:t>
      </w:r>
      <w:r w:rsidRPr="00BD076B">
        <w:rPr>
          <w:rFonts w:cs="Calibri"/>
        </w:rPr>
        <w:t xml:space="preserve"> i usluga i smanjenje zaposlenosti odnosno porast nezaposlenosti što posljedično uzrokuje potrebu uvođenja novih mjera za ublažavanje gospodarskog i socijalnog učinka krize.</w:t>
      </w:r>
      <w:bookmarkEnd w:id="170"/>
    </w:p>
    <w:p w14:paraId="27D59406" w14:textId="479C6C91" w:rsidR="00C5315F" w:rsidRDefault="00C5315F">
      <w:pPr>
        <w:rPr>
          <w:rFonts w:ascii="Calibri" w:eastAsia="Calibri" w:hAnsi="Calibri" w:cs="Calibri"/>
          <w:b/>
          <w:caps/>
          <w:sz w:val="40"/>
          <w:szCs w:val="40"/>
        </w:rPr>
      </w:pPr>
      <w:r>
        <w:rPr>
          <w:rFonts w:ascii="Calibri" w:eastAsia="Calibri" w:hAnsi="Calibri" w:cs="Calibri"/>
          <w:b/>
          <w:caps/>
          <w:sz w:val="40"/>
          <w:szCs w:val="40"/>
        </w:rPr>
        <w:br w:type="page"/>
      </w:r>
    </w:p>
    <w:p w14:paraId="61D36E05" w14:textId="7C4E54DE" w:rsidR="00C5315F" w:rsidRPr="00A33E06" w:rsidRDefault="00C5315F" w:rsidP="00BD5055">
      <w:pPr>
        <w:pStyle w:val="Stil2"/>
      </w:pPr>
      <w:bookmarkStart w:id="171" w:name="_Toc97123875"/>
      <w:r w:rsidRPr="00BD5055">
        <w:t>SWOT - Prostor</w:t>
      </w:r>
      <w:r w:rsidRPr="00A33E06">
        <w:t xml:space="preserve"> </w:t>
      </w:r>
      <w:r w:rsidRPr="00A33E06">
        <w:br/>
        <w:t>(prostorni resursi i upravljanje prostorom</w:t>
      </w:r>
      <w:r>
        <w:t>, komunalna i prometna infrastruktura</w:t>
      </w:r>
      <w:r w:rsidRPr="00A33E06">
        <w:t>)</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5315F" w:rsidRPr="00A33E06" w14:paraId="15940BEC" w14:textId="77777777" w:rsidTr="001378AF">
        <w:trPr>
          <w:trHeight w:val="602"/>
        </w:trPr>
        <w:tc>
          <w:tcPr>
            <w:tcW w:w="4428" w:type="dxa"/>
            <w:shd w:val="clear" w:color="auto" w:fill="B4C6E7" w:themeFill="accent1" w:themeFillTint="66"/>
            <w:vAlign w:val="center"/>
          </w:tcPr>
          <w:p w14:paraId="0730A83C" w14:textId="77777777" w:rsidR="00C5315F" w:rsidRPr="00A33E06" w:rsidRDefault="00C5315F" w:rsidP="001378AF">
            <w:pPr>
              <w:jc w:val="center"/>
              <w:rPr>
                <w:rFonts w:cs="Calibri"/>
                <w:b/>
                <w:bCs/>
              </w:rPr>
            </w:pPr>
            <w:r w:rsidRPr="00A33E06">
              <w:rPr>
                <w:rFonts w:cs="Calibri"/>
                <w:b/>
                <w:bCs/>
              </w:rPr>
              <w:t>Snage (S)</w:t>
            </w:r>
          </w:p>
        </w:tc>
        <w:tc>
          <w:tcPr>
            <w:tcW w:w="4428" w:type="dxa"/>
            <w:shd w:val="clear" w:color="auto" w:fill="B4C6E7" w:themeFill="accent1" w:themeFillTint="66"/>
            <w:vAlign w:val="center"/>
          </w:tcPr>
          <w:p w14:paraId="70B2C748" w14:textId="77777777" w:rsidR="00C5315F" w:rsidRPr="00A33E06" w:rsidRDefault="00C5315F" w:rsidP="001378AF">
            <w:pPr>
              <w:jc w:val="center"/>
              <w:rPr>
                <w:rFonts w:cs="Calibri"/>
                <w:b/>
                <w:bCs/>
              </w:rPr>
            </w:pPr>
            <w:r w:rsidRPr="00A33E06">
              <w:rPr>
                <w:rFonts w:cs="Calibri"/>
                <w:b/>
                <w:bCs/>
              </w:rPr>
              <w:t>Slabosti (W)</w:t>
            </w:r>
          </w:p>
        </w:tc>
      </w:tr>
      <w:tr w:rsidR="00C5315F" w:rsidRPr="00A33E06" w14:paraId="48001844" w14:textId="77777777" w:rsidTr="00072476">
        <w:trPr>
          <w:trHeight w:val="4670"/>
        </w:trPr>
        <w:tc>
          <w:tcPr>
            <w:tcW w:w="4428" w:type="dxa"/>
            <w:shd w:val="clear" w:color="auto" w:fill="auto"/>
          </w:tcPr>
          <w:p w14:paraId="6B9A0C76" w14:textId="77777777" w:rsidR="00C5315F" w:rsidRPr="00D22B0F" w:rsidRDefault="00C5315F" w:rsidP="00072476">
            <w:pPr>
              <w:spacing w:after="0" w:line="240" w:lineRule="auto"/>
              <w:rPr>
                <w:rFonts w:cs="Calibri"/>
              </w:rPr>
            </w:pPr>
            <w:r w:rsidRPr="00D22B0F">
              <w:rPr>
                <w:rFonts w:cs="Calibri"/>
              </w:rPr>
              <w:t xml:space="preserve">- dobra pokrivenost urbanog gradskog područja komunalnom infrastrukturom </w:t>
            </w:r>
          </w:p>
          <w:p w14:paraId="0FDCFFC2" w14:textId="03DC40A7" w:rsidR="00C5315F" w:rsidRPr="00D22B0F" w:rsidRDefault="00C5315F" w:rsidP="00072476">
            <w:pPr>
              <w:spacing w:after="0" w:line="240" w:lineRule="auto"/>
              <w:rPr>
                <w:rFonts w:cs="Calibri"/>
              </w:rPr>
            </w:pPr>
            <w:r w:rsidRPr="00D22B0F">
              <w:rPr>
                <w:rFonts w:cs="Calibri"/>
              </w:rPr>
              <w:t xml:space="preserve">- </w:t>
            </w:r>
            <w:r w:rsidR="0013072E" w:rsidRPr="00D22B0F">
              <w:rPr>
                <w:rFonts w:cs="Calibri"/>
              </w:rPr>
              <w:t>dobra prostorna pokrivenost sustavom javnog prijevoza</w:t>
            </w:r>
          </w:p>
          <w:p w14:paraId="2C4C76BE" w14:textId="77777777" w:rsidR="00C5315F" w:rsidRPr="00D22B0F" w:rsidRDefault="00C5315F" w:rsidP="00072476">
            <w:pPr>
              <w:spacing w:after="0" w:line="240" w:lineRule="auto"/>
              <w:rPr>
                <w:rFonts w:cs="Calibri"/>
              </w:rPr>
            </w:pPr>
            <w:r w:rsidRPr="00D22B0F">
              <w:rPr>
                <w:rFonts w:cs="Calibri"/>
              </w:rPr>
              <w:t>- kvalitetna geoinformacijska infrastruktura gradske uprave (GIS, ZIPP)</w:t>
            </w:r>
          </w:p>
          <w:p w14:paraId="0C741285" w14:textId="6549E297" w:rsidR="00C5315F" w:rsidRPr="00D22B0F" w:rsidRDefault="00C5315F" w:rsidP="00072476">
            <w:pPr>
              <w:spacing w:after="0" w:line="240" w:lineRule="auto"/>
              <w:rPr>
                <w:rFonts w:cs="Calibri"/>
              </w:rPr>
            </w:pPr>
            <w:r w:rsidRPr="00D22B0F">
              <w:rPr>
                <w:rFonts w:cs="Calibri"/>
              </w:rPr>
              <w:t xml:space="preserve">- </w:t>
            </w:r>
          </w:p>
          <w:p w14:paraId="359F8DAD" w14:textId="436B69BA" w:rsidR="00C5315F" w:rsidRPr="00D22B0F" w:rsidRDefault="00C5315F" w:rsidP="00072476">
            <w:pPr>
              <w:spacing w:after="0" w:line="240" w:lineRule="auto"/>
              <w:rPr>
                <w:rFonts w:cs="Calibri"/>
              </w:rPr>
            </w:pPr>
            <w:r w:rsidRPr="00D22B0F">
              <w:rPr>
                <w:rFonts w:cs="Calibri"/>
              </w:rPr>
              <w:t xml:space="preserve">- graditeljska baština </w:t>
            </w:r>
          </w:p>
          <w:p w14:paraId="450AF5CC" w14:textId="77777777" w:rsidR="00C5315F" w:rsidRPr="00D22B0F" w:rsidRDefault="00C5315F" w:rsidP="00072476">
            <w:pPr>
              <w:spacing w:after="0" w:line="240" w:lineRule="auto"/>
              <w:rPr>
                <w:rFonts w:cs="Calibri"/>
              </w:rPr>
            </w:pPr>
            <w:r w:rsidRPr="00D22B0F">
              <w:rPr>
                <w:rFonts w:cs="Calibri"/>
              </w:rPr>
              <w:t xml:space="preserve">- zemljišta i druga imovina u vlasništvu grada </w:t>
            </w:r>
            <w:r w:rsidRPr="00D22B0F">
              <w:rPr>
                <w:rFonts w:cs="Calibri"/>
              </w:rPr>
              <w:br/>
              <w:t>- kvalitetne parkovne i zelene površine oplemenjene sadržajima koji daju priliku za dugotrajan, čest i ispunjen boravak u njima</w:t>
            </w:r>
          </w:p>
          <w:p w14:paraId="2BDC7CA9" w14:textId="77777777" w:rsidR="008711A0" w:rsidRDefault="00C5315F" w:rsidP="00072476">
            <w:pPr>
              <w:rPr>
                <w:rFonts w:cs="Calibri"/>
              </w:rPr>
            </w:pPr>
            <w:r w:rsidRPr="00D22B0F">
              <w:rPr>
                <w:rFonts w:cs="Calibri"/>
              </w:rPr>
              <w:t>- kontinuirana modernizacija i ulaganje u uslugu parkiranja u Zagrebu (100 novih parkirnih automata, novi sustav automatizacije javnih garaža, ePK portal za kupnju elektroničkih parkirališnih karata, mobilna aplikacija ZGPARK)</w:t>
            </w:r>
            <w:r w:rsidRPr="00D22B0F">
              <w:rPr>
                <w:rFonts w:cs="Calibri"/>
              </w:rPr>
              <w:br/>
              <w:t xml:space="preserve">- briga o zaštiti okoliša kroz postavljanje </w:t>
            </w:r>
            <w:r w:rsidR="00E029D0">
              <w:rPr>
                <w:rFonts w:cs="Calibri"/>
              </w:rPr>
              <w:t xml:space="preserve">novih </w:t>
            </w:r>
            <w:r w:rsidRPr="00D22B0F">
              <w:rPr>
                <w:rFonts w:cs="Calibri"/>
              </w:rPr>
              <w:t>punionica za el.vozila</w:t>
            </w:r>
            <w:r w:rsidR="00E029D0">
              <w:rPr>
                <w:rFonts w:cs="Calibri"/>
              </w:rPr>
              <w:t xml:space="preserve"> i</w:t>
            </w:r>
            <w:r w:rsidRPr="00D22B0F">
              <w:rPr>
                <w:rFonts w:cs="Calibri"/>
              </w:rPr>
              <w:t xml:space="preserve"> parkirališta za bicikle</w:t>
            </w:r>
          </w:p>
          <w:p w14:paraId="023DA47F" w14:textId="5E86A361" w:rsidR="00C5315F" w:rsidRPr="00D22B0F" w:rsidRDefault="00C5315F" w:rsidP="00072476">
            <w:pPr>
              <w:rPr>
                <w:rFonts w:cs="Calibri"/>
              </w:rPr>
            </w:pPr>
            <w:r w:rsidRPr="00D22B0F">
              <w:rPr>
                <w:rFonts w:cs="Calibri"/>
              </w:rPr>
              <w:t xml:space="preserve"> - </w:t>
            </w:r>
          </w:p>
          <w:p w14:paraId="11DC5F47" w14:textId="77777777" w:rsidR="00C5315F" w:rsidRPr="00D22B0F" w:rsidRDefault="00C5315F" w:rsidP="00072476">
            <w:pPr>
              <w:rPr>
                <w:rFonts w:cs="Calibri"/>
              </w:rPr>
            </w:pPr>
          </w:p>
          <w:p w14:paraId="4E3FD0AE" w14:textId="77777777" w:rsidR="00C5315F" w:rsidRPr="00D22B0F" w:rsidRDefault="00C5315F" w:rsidP="00072476">
            <w:pPr>
              <w:rPr>
                <w:rFonts w:cs="Calibri"/>
              </w:rPr>
            </w:pPr>
          </w:p>
        </w:tc>
        <w:tc>
          <w:tcPr>
            <w:tcW w:w="4428" w:type="dxa"/>
            <w:shd w:val="clear" w:color="auto" w:fill="auto"/>
          </w:tcPr>
          <w:p w14:paraId="0135824D" w14:textId="77777777" w:rsidR="00C5315F" w:rsidRPr="00D22B0F" w:rsidRDefault="00C5315F" w:rsidP="00072476">
            <w:pPr>
              <w:spacing w:after="0" w:line="240" w:lineRule="auto"/>
              <w:rPr>
                <w:rFonts w:cs="Calibri"/>
              </w:rPr>
            </w:pPr>
            <w:r w:rsidRPr="00D22B0F">
              <w:rPr>
                <w:rFonts w:cs="Calibri"/>
              </w:rPr>
              <w:t>- djelomična nepokrivenost rubnih gradskih područja komunalnom infrastrukturom</w:t>
            </w:r>
          </w:p>
          <w:p w14:paraId="7CD46457" w14:textId="250D60A4" w:rsidR="00C5315F" w:rsidRPr="00D22B0F" w:rsidRDefault="00C5315F" w:rsidP="00072476">
            <w:pPr>
              <w:spacing w:after="0" w:line="240" w:lineRule="auto"/>
              <w:rPr>
                <w:rFonts w:cs="Calibri"/>
              </w:rPr>
            </w:pPr>
            <w:r w:rsidRPr="00D22B0F">
              <w:rPr>
                <w:rFonts w:cs="Calibri"/>
              </w:rPr>
              <w:t>- zastarjela mreža komunalne infrastrukture (veliki gubici vode, troškovi održavanja)</w:t>
            </w:r>
          </w:p>
          <w:p w14:paraId="0D413B10" w14:textId="6BB9D03F" w:rsidR="00AE222B" w:rsidRPr="00D22B0F" w:rsidRDefault="00AE222B" w:rsidP="00072476">
            <w:pPr>
              <w:spacing w:after="0" w:line="240" w:lineRule="auto"/>
              <w:rPr>
                <w:rFonts w:cs="Calibri"/>
              </w:rPr>
            </w:pPr>
            <w:r w:rsidRPr="00D22B0F">
              <w:rPr>
                <w:rFonts w:cs="Calibri"/>
              </w:rPr>
              <w:t>- infrastruktura otpadnih i oborinskih voda u velikom dijelu nije odvojena</w:t>
            </w:r>
          </w:p>
          <w:p w14:paraId="7B1A496D" w14:textId="015AB13A" w:rsidR="00C5315F" w:rsidRPr="00D22B0F" w:rsidRDefault="00C5315F" w:rsidP="00072476">
            <w:pPr>
              <w:spacing w:after="0" w:line="240" w:lineRule="auto"/>
              <w:rPr>
                <w:rFonts w:cs="Calibri"/>
              </w:rPr>
            </w:pPr>
            <w:r w:rsidRPr="00D22B0F">
              <w:rPr>
                <w:rFonts w:cs="Calibri"/>
              </w:rPr>
              <w:t xml:space="preserve">- dokumenti prostornog uređenja nisu utemeljeni na stvarnim potrebama </w:t>
            </w:r>
            <w:r w:rsidR="000B64AD">
              <w:rPr>
                <w:rFonts w:cs="Calibri"/>
              </w:rPr>
              <w:t>građana</w:t>
            </w:r>
            <w:r w:rsidRPr="00D22B0F">
              <w:rPr>
                <w:rFonts w:cs="Calibri"/>
              </w:rPr>
              <w:t xml:space="preserve"> (dimenzioniranje stambenih zona i sl.)</w:t>
            </w:r>
          </w:p>
          <w:p w14:paraId="3A7FCEAA" w14:textId="77777777" w:rsidR="00C5315F" w:rsidRPr="00D22B0F" w:rsidRDefault="00C5315F" w:rsidP="00072476">
            <w:pPr>
              <w:spacing w:after="0" w:line="240" w:lineRule="auto"/>
              <w:rPr>
                <w:rFonts w:cs="Calibri"/>
              </w:rPr>
            </w:pPr>
            <w:r w:rsidRPr="00D22B0F">
              <w:rPr>
                <w:rFonts w:cs="Calibri"/>
              </w:rPr>
              <w:t>- neusklađeni podaci katastra, zemljišne knjige i stanja na terenu</w:t>
            </w:r>
          </w:p>
          <w:p w14:paraId="5428112B" w14:textId="77777777" w:rsidR="00C5315F" w:rsidRPr="00D22B0F" w:rsidRDefault="00C5315F" w:rsidP="00072476">
            <w:pPr>
              <w:spacing w:after="0" w:line="240" w:lineRule="auto"/>
              <w:rPr>
                <w:rFonts w:cs="Calibri"/>
              </w:rPr>
            </w:pPr>
            <w:r w:rsidRPr="00D22B0F">
              <w:rPr>
                <w:rFonts w:cs="Calibri"/>
              </w:rPr>
              <w:t>- kompliciran i dugotrajan postupak utvrđivanja dokumenata prostornog uređenja</w:t>
            </w:r>
            <w:r w:rsidRPr="00D22B0F">
              <w:rPr>
                <w:rFonts w:cs="Calibri"/>
              </w:rPr>
              <w:br/>
              <w:t>- loše stanje pročelja</w:t>
            </w:r>
          </w:p>
          <w:p w14:paraId="20278E6B" w14:textId="77777777" w:rsidR="00C5315F" w:rsidRPr="00D22B0F" w:rsidRDefault="00C5315F" w:rsidP="00072476">
            <w:pPr>
              <w:spacing w:after="0" w:line="240" w:lineRule="auto"/>
              <w:rPr>
                <w:rFonts w:cs="Calibri"/>
              </w:rPr>
            </w:pPr>
            <w:r w:rsidRPr="00D22B0F">
              <w:rPr>
                <w:rFonts w:cs="Calibri"/>
              </w:rPr>
              <w:t>- loše stanje unutrašnjosti donjogradskih blokova</w:t>
            </w:r>
          </w:p>
          <w:p w14:paraId="288F52A6" w14:textId="77777777" w:rsidR="00C5315F" w:rsidRPr="00D22B0F" w:rsidRDefault="00C5315F" w:rsidP="00072476">
            <w:pPr>
              <w:spacing w:after="0" w:line="240" w:lineRule="auto"/>
              <w:rPr>
                <w:rFonts w:cs="Calibri"/>
              </w:rPr>
            </w:pPr>
            <w:r w:rsidRPr="00D22B0F">
              <w:rPr>
                <w:rFonts w:cs="Calibri"/>
              </w:rPr>
              <w:t>- napušteni i nedovršeni objekti</w:t>
            </w:r>
          </w:p>
          <w:p w14:paraId="1D62717D" w14:textId="77777777" w:rsidR="00C5315F" w:rsidRPr="00D22B0F" w:rsidRDefault="00C5315F" w:rsidP="00072476">
            <w:pPr>
              <w:spacing w:after="0" w:line="240" w:lineRule="auto"/>
              <w:rPr>
                <w:rFonts w:cs="Calibri"/>
              </w:rPr>
            </w:pPr>
            <w:r w:rsidRPr="00D22B0F">
              <w:rPr>
                <w:rFonts w:cs="Calibri"/>
              </w:rPr>
              <w:t>- nedovoljna suradnja sa županijama u okruženju</w:t>
            </w:r>
          </w:p>
          <w:p w14:paraId="64A89150" w14:textId="1EC9210B" w:rsidR="00C5315F" w:rsidRPr="00D22B0F" w:rsidRDefault="00C5315F" w:rsidP="00072476">
            <w:pPr>
              <w:spacing w:after="0" w:line="240" w:lineRule="auto"/>
              <w:rPr>
                <w:rFonts w:cs="Calibri"/>
              </w:rPr>
            </w:pPr>
            <w:r w:rsidRPr="00D22B0F">
              <w:rPr>
                <w:rFonts w:cs="Calibri"/>
              </w:rPr>
              <w:t xml:space="preserve">- nedovoljno korištenje željezničkog, Park&amp;Ride i Bike &amp;Ride prometa </w:t>
            </w:r>
          </w:p>
          <w:sdt>
            <w:sdtPr>
              <w:rPr>
                <w:rFonts w:cs="Calibri"/>
              </w:rPr>
              <w:tag w:val="goog_rdk_87"/>
              <w:id w:val="762030827"/>
            </w:sdtPr>
            <w:sdtEndPr/>
            <w:sdtContent>
              <w:p w14:paraId="5A57402B" w14:textId="77777777" w:rsidR="00906563" w:rsidRPr="00D22B0F" w:rsidRDefault="00751C19" w:rsidP="00906563">
                <w:pPr>
                  <w:spacing w:after="0" w:line="240" w:lineRule="auto"/>
                  <w:rPr>
                    <w:rFonts w:cs="Calibri"/>
                  </w:rPr>
                </w:pPr>
                <w:sdt>
                  <w:sdtPr>
                    <w:rPr>
                      <w:rFonts w:cs="Calibri"/>
                    </w:rPr>
                    <w:tag w:val="goog_rdk_86"/>
                    <w:id w:val="-1236160253"/>
                  </w:sdtPr>
                  <w:sdtEndPr/>
                  <w:sdtContent>
                    <w:r w:rsidR="00906563" w:rsidRPr="00D22B0F">
                      <w:rPr>
                        <w:rFonts w:cs="Calibri"/>
                      </w:rPr>
                      <w:t>- niska prosječna brzina vožnje tramvaja</w:t>
                    </w:r>
                  </w:sdtContent>
                </w:sdt>
              </w:p>
            </w:sdtContent>
          </w:sdt>
          <w:p w14:paraId="25056097" w14:textId="7247E7D1" w:rsidR="00906563" w:rsidRPr="00D22B0F" w:rsidRDefault="00751C19" w:rsidP="00072476">
            <w:pPr>
              <w:spacing w:after="0" w:line="240" w:lineRule="auto"/>
              <w:rPr>
                <w:rFonts w:cs="Calibri"/>
              </w:rPr>
            </w:pPr>
            <w:sdt>
              <w:sdtPr>
                <w:rPr>
                  <w:rFonts w:cs="Calibri"/>
                </w:rPr>
                <w:tag w:val="goog_rdk_88"/>
                <w:id w:val="1441026570"/>
              </w:sdtPr>
              <w:sdtEndPr/>
              <w:sdtContent>
                <w:r w:rsidR="00906563" w:rsidRPr="00D22B0F">
                  <w:rPr>
                    <w:rFonts w:cs="Calibri"/>
                  </w:rPr>
                  <w:t xml:space="preserve">- loša dostupnost kvalitetnog javnog prijevoza u </w:t>
                </w:r>
                <w:r w:rsidR="00D63978" w:rsidRPr="00D63978">
                  <w:rPr>
                    <w:rFonts w:cs="Calibri"/>
                  </w:rPr>
                  <w:t>pojedinim</w:t>
                </w:r>
                <w:r w:rsidR="00D63978" w:rsidRPr="00D22B0F">
                  <w:rPr>
                    <w:rFonts w:cs="Calibri"/>
                  </w:rPr>
                  <w:t xml:space="preserve"> dijelovima</w:t>
                </w:r>
                <w:r w:rsidR="00906563" w:rsidRPr="00D22B0F">
                  <w:rPr>
                    <w:rFonts w:cs="Calibri"/>
                  </w:rPr>
                  <w:t xml:space="preserve"> grada (</w:t>
                </w:r>
                <w:r w:rsidR="001F48A5">
                  <w:rPr>
                    <w:rFonts w:cs="Calibri"/>
                  </w:rPr>
                  <w:t>problem velike međusobne udaljenosti autobusnih stajališta ili nedovoljan broj dnevnih autobusnih linija)</w:t>
                </w:r>
                <w:r w:rsidR="00906563" w:rsidRPr="00D22B0F">
                  <w:rPr>
                    <w:rFonts w:cs="Calibri"/>
                  </w:rPr>
                  <w:t>)</w:t>
                </w:r>
              </w:sdtContent>
            </w:sdt>
          </w:p>
          <w:p w14:paraId="519BB5D5" w14:textId="1F5C3D5F" w:rsidR="00C5315F" w:rsidRPr="00D22B0F" w:rsidRDefault="00C5315F" w:rsidP="00072476">
            <w:pPr>
              <w:spacing w:after="0" w:line="240" w:lineRule="auto"/>
              <w:rPr>
                <w:rFonts w:cs="Calibri"/>
              </w:rPr>
            </w:pPr>
            <w:r w:rsidRPr="00D22B0F">
              <w:rPr>
                <w:rFonts w:cs="Calibri"/>
              </w:rPr>
              <w:t>- nedovoljno održavanje graditeljske baštine, posebice povijesne jezgre grada, dodatno oštećene  u potresu 22. ožujka 2020.</w:t>
            </w:r>
          </w:p>
          <w:p w14:paraId="5D9B9906" w14:textId="77777777" w:rsidR="00C5315F" w:rsidRPr="00D22B0F" w:rsidRDefault="00C5315F" w:rsidP="00072476">
            <w:pPr>
              <w:spacing w:after="0" w:line="240" w:lineRule="auto"/>
              <w:rPr>
                <w:rFonts w:cs="Calibri"/>
              </w:rPr>
            </w:pPr>
            <w:r w:rsidRPr="00D22B0F">
              <w:rPr>
                <w:rFonts w:cs="Calibri"/>
              </w:rPr>
              <w:t>- nedovoljno održavanje graditeljske baštine – objekata zaštićenih kao kulturno dobro – Mirogoj</w:t>
            </w:r>
          </w:p>
          <w:p w14:paraId="354A638E" w14:textId="77777777" w:rsidR="00C5315F" w:rsidRPr="00D22B0F" w:rsidRDefault="00C5315F" w:rsidP="00072476">
            <w:pPr>
              <w:spacing w:after="0" w:line="240" w:lineRule="auto"/>
              <w:rPr>
                <w:rFonts w:cs="Calibri"/>
              </w:rPr>
            </w:pPr>
            <w:r w:rsidRPr="00D22B0F">
              <w:rPr>
                <w:rFonts w:cs="Calibri"/>
              </w:rPr>
              <w:t>- nepostojanje integriranog sustava javnog putničkog prijevoza Zagreba i okolice</w:t>
            </w:r>
          </w:p>
          <w:p w14:paraId="01DA1967" w14:textId="77777777" w:rsidR="00C5315F" w:rsidRPr="00D22B0F" w:rsidRDefault="00C5315F" w:rsidP="00072476">
            <w:pPr>
              <w:spacing w:after="0" w:line="240" w:lineRule="auto"/>
              <w:rPr>
                <w:rFonts w:cs="Calibri"/>
              </w:rPr>
            </w:pPr>
            <w:r w:rsidRPr="00D22B0F">
              <w:rPr>
                <w:rFonts w:cs="Calibri"/>
              </w:rPr>
              <w:t>- nerazvijena komunikacijska mreža optičkih kabela</w:t>
            </w:r>
          </w:p>
          <w:p w14:paraId="270D3D97" w14:textId="5D6896FB" w:rsidR="00C5315F" w:rsidRPr="00D22B0F" w:rsidRDefault="00C5315F" w:rsidP="00072476">
            <w:pPr>
              <w:spacing w:after="0" w:line="240" w:lineRule="auto"/>
              <w:rPr>
                <w:rFonts w:cs="Calibri"/>
              </w:rPr>
            </w:pPr>
            <w:r w:rsidRPr="00D22B0F">
              <w:rPr>
                <w:rFonts w:cs="Calibri"/>
              </w:rPr>
              <w:t>- poteškoće u rješavanju imovinsko-pravnih odnosa kod pripreme zemljišta za realizaciju projekata od gradskog interesa</w:t>
            </w:r>
          </w:p>
          <w:sdt>
            <w:sdtPr>
              <w:rPr>
                <w:rFonts w:cs="Calibri"/>
              </w:rPr>
              <w:tag w:val="goog_rdk_92"/>
              <w:id w:val="620885346"/>
            </w:sdtPr>
            <w:sdtEndPr/>
            <w:sdtContent>
              <w:p w14:paraId="743BBE14" w14:textId="77777777" w:rsidR="007A615E" w:rsidRPr="00D22B0F" w:rsidRDefault="00751C19" w:rsidP="007A615E">
                <w:pPr>
                  <w:spacing w:after="0" w:line="240" w:lineRule="auto"/>
                  <w:rPr>
                    <w:rFonts w:cs="Calibri"/>
                  </w:rPr>
                </w:pPr>
                <w:sdt>
                  <w:sdtPr>
                    <w:rPr>
                      <w:rFonts w:cs="Calibri"/>
                    </w:rPr>
                    <w:tag w:val="goog_rdk_91"/>
                    <w:id w:val="586196737"/>
                  </w:sdtPr>
                  <w:sdtEndPr/>
                  <w:sdtContent>
                    <w:r w:rsidR="007A615E" w:rsidRPr="00D22B0F">
                      <w:rPr>
                        <w:rFonts w:cs="Calibri"/>
                      </w:rPr>
                      <w:t>- prevelika gustoća izgradnje u pojedinim dijelovima grada, uz nedovoljno zelenih i javnih površina</w:t>
                    </w:r>
                  </w:sdtContent>
                </w:sdt>
              </w:p>
            </w:sdtContent>
          </w:sdt>
          <w:p w14:paraId="10750489" w14:textId="683EF58B" w:rsidR="007A615E" w:rsidRPr="00D22B0F" w:rsidRDefault="00751C19" w:rsidP="00072476">
            <w:pPr>
              <w:spacing w:after="0" w:line="240" w:lineRule="auto"/>
              <w:rPr>
                <w:rFonts w:cs="Calibri"/>
              </w:rPr>
            </w:pPr>
            <w:sdt>
              <w:sdtPr>
                <w:rPr>
                  <w:rFonts w:cs="Calibri"/>
                </w:rPr>
                <w:tag w:val="goog_rdk_95"/>
                <w:id w:val="1548258022"/>
              </w:sdtPr>
              <w:sdtEndPr/>
              <w:sdtContent>
                <w:r w:rsidR="007A615E" w:rsidRPr="00D22B0F">
                  <w:rPr>
                    <w:rFonts w:cs="Calibri"/>
                  </w:rPr>
                  <w:t>- nedovoljno gradskih stanova za najam</w:t>
                </w:r>
              </w:sdtContent>
            </w:sdt>
          </w:p>
          <w:p w14:paraId="42009409" w14:textId="77777777" w:rsidR="00C5315F" w:rsidRPr="00D22B0F" w:rsidRDefault="00C5315F" w:rsidP="00072476">
            <w:pPr>
              <w:spacing w:after="0" w:line="240" w:lineRule="auto"/>
              <w:rPr>
                <w:rFonts w:cs="Calibri"/>
              </w:rPr>
            </w:pPr>
            <w:r w:rsidRPr="00D22B0F">
              <w:rPr>
                <w:rFonts w:cs="Calibri"/>
              </w:rPr>
              <w:t>-„preskočena”, nezadovoljavajuće urbanistički uređena gradska područja</w:t>
            </w:r>
          </w:p>
          <w:p w14:paraId="2B3C075F" w14:textId="77777777" w:rsidR="00C5315F" w:rsidRPr="00D22B0F" w:rsidRDefault="00C5315F" w:rsidP="00072476">
            <w:pPr>
              <w:spacing w:after="0" w:line="240" w:lineRule="auto"/>
              <w:rPr>
                <w:rFonts w:cs="Calibri"/>
              </w:rPr>
            </w:pPr>
            <w:r w:rsidRPr="00D22B0F">
              <w:rPr>
                <w:rFonts w:cs="Calibri"/>
              </w:rPr>
              <w:t xml:space="preserve">- slaba protočnost individualnog i javnog prometa </w:t>
            </w:r>
          </w:p>
          <w:p w14:paraId="38F382C8" w14:textId="266E28BD" w:rsidR="00C5315F" w:rsidRPr="00D22B0F" w:rsidRDefault="00C5315F" w:rsidP="00072476">
            <w:pPr>
              <w:spacing w:after="0" w:line="240" w:lineRule="auto"/>
              <w:rPr>
                <w:rFonts w:cs="Calibri"/>
              </w:rPr>
            </w:pPr>
            <w:r w:rsidRPr="00D22B0F">
              <w:rPr>
                <w:rFonts w:cs="Calibri"/>
              </w:rPr>
              <w:t>- Nedostatak uvođenja nove tehnologije</w:t>
            </w:r>
            <w:r w:rsidR="008355B6">
              <w:rPr>
                <w:rFonts w:cs="Calibri"/>
              </w:rPr>
              <w:t xml:space="preserve"> u područje prometa</w:t>
            </w:r>
          </w:p>
          <w:p w14:paraId="70ED0021" w14:textId="77777777" w:rsidR="00C5315F" w:rsidRPr="00D22B0F" w:rsidRDefault="00C5315F" w:rsidP="00072476">
            <w:pPr>
              <w:spacing w:after="0" w:line="240" w:lineRule="auto"/>
              <w:rPr>
                <w:rFonts w:cs="Calibri"/>
              </w:rPr>
            </w:pPr>
            <w:r w:rsidRPr="00D22B0F">
              <w:rPr>
                <w:rFonts w:cs="Calibri"/>
              </w:rPr>
              <w:t>- Nedovoljna razvijenost i nekvalitetna</w:t>
            </w:r>
          </w:p>
          <w:p w14:paraId="4F2AEB26" w14:textId="77777777" w:rsidR="00C5315F" w:rsidRPr="00D22B0F" w:rsidRDefault="00C5315F" w:rsidP="00072476">
            <w:pPr>
              <w:spacing w:after="0" w:line="240" w:lineRule="auto"/>
              <w:rPr>
                <w:rFonts w:cs="Calibri"/>
              </w:rPr>
            </w:pPr>
            <w:r w:rsidRPr="00D22B0F">
              <w:rPr>
                <w:rFonts w:cs="Calibri"/>
              </w:rPr>
              <w:t>biciklistička infrastruktura i loše održavanje željezničke infrastrukture</w:t>
            </w:r>
          </w:p>
          <w:p w14:paraId="3C8BDFB4" w14:textId="77777777" w:rsidR="00C5315F" w:rsidRPr="00D22B0F" w:rsidRDefault="00C5315F" w:rsidP="00072476">
            <w:pPr>
              <w:spacing w:after="0" w:line="240" w:lineRule="auto"/>
              <w:rPr>
                <w:rFonts w:cs="Calibri"/>
              </w:rPr>
            </w:pPr>
            <w:r w:rsidRPr="00D22B0F">
              <w:rPr>
                <w:rFonts w:cs="Calibri"/>
              </w:rPr>
              <w:t>- Nepovezanost tarifnih sustava različitih</w:t>
            </w:r>
          </w:p>
          <w:p w14:paraId="5D11E07E" w14:textId="77777777" w:rsidR="00C5315F" w:rsidRPr="00D22B0F" w:rsidRDefault="00C5315F" w:rsidP="00072476">
            <w:pPr>
              <w:spacing w:after="0" w:line="240" w:lineRule="auto"/>
              <w:rPr>
                <w:rFonts w:cs="Calibri"/>
              </w:rPr>
            </w:pPr>
            <w:r w:rsidRPr="00D22B0F">
              <w:rPr>
                <w:rFonts w:cs="Calibri"/>
              </w:rPr>
              <w:t>prijevoznika javnog sustava koji prometuju na</w:t>
            </w:r>
          </w:p>
          <w:p w14:paraId="11DE3564" w14:textId="77777777" w:rsidR="00C5315F" w:rsidRPr="00D22B0F" w:rsidRDefault="00C5315F" w:rsidP="00072476">
            <w:pPr>
              <w:spacing w:after="0" w:line="240" w:lineRule="auto"/>
              <w:rPr>
                <w:rFonts w:cs="Calibri"/>
              </w:rPr>
            </w:pPr>
            <w:r w:rsidRPr="00D22B0F">
              <w:rPr>
                <w:rFonts w:cs="Calibri"/>
              </w:rPr>
              <w:t>istima trasama i neusklađenost voznih redova</w:t>
            </w:r>
          </w:p>
          <w:p w14:paraId="14B2FB39" w14:textId="77777777" w:rsidR="00C5315F" w:rsidRPr="00D22B0F" w:rsidRDefault="00C5315F" w:rsidP="00072476">
            <w:pPr>
              <w:spacing w:after="0" w:line="240" w:lineRule="auto"/>
              <w:rPr>
                <w:rFonts w:cs="Calibri"/>
              </w:rPr>
            </w:pPr>
            <w:r w:rsidRPr="00D22B0F">
              <w:rPr>
                <w:rFonts w:cs="Calibri"/>
              </w:rPr>
              <w:t>- Loša i neadekvatna opremljenost stanica</w:t>
            </w:r>
          </w:p>
          <w:p w14:paraId="315C6E88" w14:textId="77777777" w:rsidR="00C5315F" w:rsidRPr="00D22B0F" w:rsidRDefault="00C5315F" w:rsidP="00072476">
            <w:pPr>
              <w:spacing w:after="0" w:line="240" w:lineRule="auto"/>
              <w:rPr>
                <w:rFonts w:cs="Calibri"/>
              </w:rPr>
            </w:pPr>
            <w:r w:rsidRPr="00D22B0F">
              <w:rPr>
                <w:rFonts w:cs="Calibri"/>
              </w:rPr>
              <w:t>sustava javnog prijevoza uz narušenu</w:t>
            </w:r>
          </w:p>
          <w:p w14:paraId="4209336B" w14:textId="77777777" w:rsidR="00C5315F" w:rsidRPr="00D22B0F" w:rsidRDefault="00C5315F" w:rsidP="00072476">
            <w:pPr>
              <w:spacing w:after="0" w:line="240" w:lineRule="auto"/>
              <w:rPr>
                <w:rFonts w:cs="Calibri"/>
              </w:rPr>
            </w:pPr>
            <w:r w:rsidRPr="00D22B0F">
              <w:rPr>
                <w:rFonts w:cs="Calibri"/>
              </w:rPr>
              <w:t>sigurnost putnika na stanicama javnog</w:t>
            </w:r>
          </w:p>
          <w:p w14:paraId="76066BCE" w14:textId="77777777" w:rsidR="00C5315F" w:rsidRPr="00D22B0F" w:rsidRDefault="00C5315F" w:rsidP="00072476">
            <w:pPr>
              <w:spacing w:after="0" w:line="240" w:lineRule="auto"/>
              <w:rPr>
                <w:rFonts w:cs="Calibri"/>
              </w:rPr>
            </w:pPr>
            <w:r w:rsidRPr="00D22B0F">
              <w:rPr>
                <w:rFonts w:cs="Calibri"/>
              </w:rPr>
              <w:t>prijevoza</w:t>
            </w:r>
          </w:p>
          <w:p w14:paraId="6F62B92A" w14:textId="77777777" w:rsidR="00C5315F" w:rsidRPr="00D22B0F" w:rsidRDefault="00C5315F" w:rsidP="00072476">
            <w:pPr>
              <w:spacing w:after="0" w:line="240" w:lineRule="auto"/>
              <w:rPr>
                <w:rFonts w:cs="Calibri"/>
              </w:rPr>
            </w:pPr>
            <w:r w:rsidRPr="00D22B0F">
              <w:rPr>
                <w:rFonts w:cs="Calibri"/>
              </w:rPr>
              <w:t>- Niža sigurnost na cesti u odnosu na susjedne</w:t>
            </w:r>
          </w:p>
          <w:p w14:paraId="7F72F57B" w14:textId="77F4C049" w:rsidR="00C5315F" w:rsidRDefault="00C5315F" w:rsidP="00072476">
            <w:pPr>
              <w:spacing w:after="0" w:line="240" w:lineRule="auto"/>
              <w:rPr>
                <w:rFonts w:cs="Calibri"/>
              </w:rPr>
            </w:pPr>
            <w:r w:rsidRPr="00D22B0F">
              <w:rPr>
                <w:rFonts w:cs="Calibri"/>
              </w:rPr>
              <w:t>države i prosjeka EU</w:t>
            </w:r>
          </w:p>
          <w:p w14:paraId="70CC2BB7" w14:textId="77777777" w:rsidR="00A060D5" w:rsidRPr="00A060D5" w:rsidRDefault="00A060D5" w:rsidP="00A060D5">
            <w:pPr>
              <w:spacing w:after="0" w:line="240" w:lineRule="auto"/>
              <w:rPr>
                <w:rFonts w:cs="Calibri"/>
              </w:rPr>
            </w:pPr>
            <w:r w:rsidRPr="00A060D5">
              <w:rPr>
                <w:rFonts w:cs="Calibri"/>
              </w:rPr>
              <w:t>- Prometni sustav kojim u velikoj mjeri</w:t>
            </w:r>
          </w:p>
          <w:p w14:paraId="63B5ECA9" w14:textId="77777777" w:rsidR="00A060D5" w:rsidRPr="00A060D5" w:rsidRDefault="00A060D5" w:rsidP="00A060D5">
            <w:pPr>
              <w:spacing w:after="0" w:line="240" w:lineRule="auto"/>
              <w:rPr>
                <w:rFonts w:cs="Calibri"/>
              </w:rPr>
            </w:pPr>
            <w:r w:rsidRPr="00A060D5">
              <w:rPr>
                <w:rFonts w:cs="Calibri"/>
              </w:rPr>
              <w:t>dominira jedan prijevozni mod je jako osjetljiv</w:t>
            </w:r>
          </w:p>
          <w:p w14:paraId="5544FFDC" w14:textId="77777777" w:rsidR="00A060D5" w:rsidRPr="00A060D5" w:rsidRDefault="00A060D5" w:rsidP="00A060D5">
            <w:pPr>
              <w:spacing w:after="0" w:line="240" w:lineRule="auto"/>
              <w:rPr>
                <w:rFonts w:cs="Calibri"/>
              </w:rPr>
            </w:pPr>
            <w:r w:rsidRPr="00A060D5">
              <w:rPr>
                <w:rFonts w:cs="Calibri"/>
              </w:rPr>
              <w:t>i neučinkovit te ne doprinosi održivom</w:t>
            </w:r>
          </w:p>
          <w:p w14:paraId="0381BBBE" w14:textId="53188D69" w:rsidR="00A060D5" w:rsidRDefault="00A060D5" w:rsidP="00A060D5">
            <w:pPr>
              <w:spacing w:after="0" w:line="240" w:lineRule="auto"/>
              <w:rPr>
                <w:rFonts w:cs="Calibri"/>
              </w:rPr>
            </w:pPr>
            <w:r w:rsidRPr="00A060D5">
              <w:rPr>
                <w:rFonts w:cs="Calibri"/>
              </w:rPr>
              <w:t>razvoju prostora</w:t>
            </w:r>
          </w:p>
          <w:p w14:paraId="2C4401A6" w14:textId="218180A4" w:rsidR="007749FF" w:rsidRPr="00D22B0F" w:rsidRDefault="007749FF" w:rsidP="00072476">
            <w:pPr>
              <w:spacing w:after="0" w:line="240" w:lineRule="auto"/>
              <w:rPr>
                <w:rFonts w:cs="Calibri"/>
              </w:rPr>
            </w:pPr>
            <w:r>
              <w:rPr>
                <w:rFonts w:cs="Calibri"/>
              </w:rPr>
              <w:t xml:space="preserve">- </w:t>
            </w:r>
            <w:r w:rsidRPr="007749FF">
              <w:rPr>
                <w:rFonts w:cs="Calibri"/>
              </w:rPr>
              <w:t>Nekontrolirana urbanizacija i gradnja na uštrb zelenih površina</w:t>
            </w:r>
          </w:p>
        </w:tc>
      </w:tr>
      <w:tr w:rsidR="00C5315F" w:rsidRPr="00A33E06" w14:paraId="513A4A5D" w14:textId="77777777" w:rsidTr="00E93A23">
        <w:trPr>
          <w:trHeight w:val="422"/>
        </w:trPr>
        <w:tc>
          <w:tcPr>
            <w:tcW w:w="4428" w:type="dxa"/>
            <w:shd w:val="clear" w:color="auto" w:fill="B4C6E7" w:themeFill="accent1" w:themeFillTint="66"/>
            <w:vAlign w:val="center"/>
          </w:tcPr>
          <w:p w14:paraId="46AFD62C" w14:textId="77777777" w:rsidR="00C5315F" w:rsidRPr="00A33E06" w:rsidRDefault="00C5315F" w:rsidP="00E93A23">
            <w:pPr>
              <w:jc w:val="center"/>
              <w:rPr>
                <w:rFonts w:cs="Calibri"/>
                <w:b/>
                <w:bCs/>
              </w:rPr>
            </w:pPr>
            <w:r w:rsidRPr="00A33E06">
              <w:rPr>
                <w:rFonts w:cs="Calibri"/>
                <w:b/>
                <w:bCs/>
              </w:rPr>
              <w:t>Prilike</w:t>
            </w:r>
            <w:r>
              <w:rPr>
                <w:rFonts w:cs="Calibri"/>
                <w:b/>
                <w:bCs/>
              </w:rPr>
              <w:t xml:space="preserve"> </w:t>
            </w:r>
            <w:r w:rsidRPr="00A33E06">
              <w:rPr>
                <w:rFonts w:cs="Calibri"/>
                <w:b/>
                <w:bCs/>
              </w:rPr>
              <w:t>(O)</w:t>
            </w:r>
          </w:p>
        </w:tc>
        <w:tc>
          <w:tcPr>
            <w:tcW w:w="4428" w:type="dxa"/>
            <w:shd w:val="clear" w:color="auto" w:fill="B4C6E7" w:themeFill="accent1" w:themeFillTint="66"/>
            <w:vAlign w:val="center"/>
          </w:tcPr>
          <w:p w14:paraId="62B83E48" w14:textId="77777777" w:rsidR="00C5315F" w:rsidRPr="00A33E06" w:rsidRDefault="00C5315F" w:rsidP="00E93A23">
            <w:pPr>
              <w:jc w:val="center"/>
              <w:rPr>
                <w:rFonts w:cs="Calibri"/>
                <w:b/>
                <w:bCs/>
              </w:rPr>
            </w:pPr>
            <w:r w:rsidRPr="00A33E06">
              <w:rPr>
                <w:rFonts w:cs="Calibri"/>
                <w:b/>
                <w:bCs/>
              </w:rPr>
              <w:t>Prijetnje (T)</w:t>
            </w:r>
          </w:p>
        </w:tc>
      </w:tr>
      <w:tr w:rsidR="00C5315F" w:rsidRPr="00A33E06" w14:paraId="55931C42" w14:textId="77777777" w:rsidTr="00072476">
        <w:trPr>
          <w:trHeight w:val="3254"/>
        </w:trPr>
        <w:tc>
          <w:tcPr>
            <w:tcW w:w="4428" w:type="dxa"/>
            <w:shd w:val="clear" w:color="auto" w:fill="auto"/>
          </w:tcPr>
          <w:p w14:paraId="4443B571" w14:textId="18060468" w:rsidR="00C5315F" w:rsidRDefault="00C5315F" w:rsidP="00072476">
            <w:pPr>
              <w:spacing w:after="0" w:line="240" w:lineRule="auto"/>
              <w:rPr>
                <w:rFonts w:cs="Calibri"/>
              </w:rPr>
            </w:pPr>
            <w:r w:rsidRPr="00A33E06">
              <w:rPr>
                <w:rFonts w:cs="Calibri"/>
              </w:rPr>
              <w:t xml:space="preserve">- geoprometni i geopolitički položaj kao resurs za razvoj </w:t>
            </w:r>
          </w:p>
          <w:p w14:paraId="39E3C6B3" w14:textId="59DE2BF0" w:rsidR="002523E6" w:rsidRDefault="002523E6" w:rsidP="00072476">
            <w:pPr>
              <w:spacing w:after="0" w:line="240" w:lineRule="auto"/>
              <w:rPr>
                <w:rFonts w:cs="Calibri"/>
              </w:rPr>
            </w:pPr>
            <w:r>
              <w:rPr>
                <w:rFonts w:cs="Calibri"/>
              </w:rPr>
              <w:t xml:space="preserve">- </w:t>
            </w:r>
            <w:r w:rsidRPr="002523E6">
              <w:rPr>
                <w:rFonts w:cs="Calibri"/>
              </w:rPr>
              <w:t>raznolikost prirodne osnove</w:t>
            </w:r>
          </w:p>
          <w:p w14:paraId="3B488335" w14:textId="35729305" w:rsidR="008711A0" w:rsidRPr="00A33E06" w:rsidRDefault="008711A0" w:rsidP="00072476">
            <w:pPr>
              <w:spacing w:after="0" w:line="240" w:lineRule="auto"/>
              <w:rPr>
                <w:rFonts w:cs="Calibri"/>
              </w:rPr>
            </w:pPr>
            <w:r>
              <w:rPr>
                <w:rFonts w:cs="Calibri"/>
              </w:rPr>
              <w:t xml:space="preserve">- </w:t>
            </w:r>
            <w:r w:rsidRPr="008711A0">
              <w:rPr>
                <w:rFonts w:cs="Calibri"/>
              </w:rPr>
              <w:t>Povoljan geografski i prometni položaj u odnosu na srednju Europu</w:t>
            </w:r>
          </w:p>
          <w:p w14:paraId="749479DA" w14:textId="77777777" w:rsidR="00C5315F" w:rsidRPr="00A33E06" w:rsidRDefault="00C5315F" w:rsidP="00072476">
            <w:pPr>
              <w:spacing w:after="0" w:line="240" w:lineRule="auto"/>
              <w:rPr>
                <w:rFonts w:cs="Calibri"/>
              </w:rPr>
            </w:pPr>
            <w:r w:rsidRPr="00A33E06">
              <w:rPr>
                <w:rFonts w:cs="Calibri"/>
              </w:rPr>
              <w:t>- planovi za razvoj integriranoga javnog prijevoza Grada Zagreba i okolnih županija</w:t>
            </w:r>
          </w:p>
          <w:p w14:paraId="7F139D2C" w14:textId="3EDD67E2" w:rsidR="00C5315F" w:rsidRDefault="00C5315F" w:rsidP="00072476">
            <w:pPr>
              <w:spacing w:after="0" w:line="240" w:lineRule="auto"/>
              <w:rPr>
                <w:rFonts w:cs="Calibri"/>
              </w:rPr>
            </w:pPr>
            <w:r w:rsidRPr="00A33E06">
              <w:rPr>
                <w:rFonts w:cs="Calibri"/>
              </w:rPr>
              <w:t>- planovi održive urbane mobilnosti</w:t>
            </w:r>
          </w:p>
          <w:p w14:paraId="3680B840" w14:textId="11973FDA" w:rsidR="00EF6B71" w:rsidRPr="00A33E06" w:rsidRDefault="00EF6B71">
            <w:pPr>
              <w:spacing w:after="0" w:line="240" w:lineRule="auto"/>
              <w:rPr>
                <w:rFonts w:cs="Calibri"/>
              </w:rPr>
            </w:pPr>
            <w:r>
              <w:rPr>
                <w:rFonts w:cs="Calibri"/>
              </w:rPr>
              <w:t>-</w:t>
            </w:r>
            <w:r>
              <w:t xml:space="preserve"> </w:t>
            </w:r>
            <w:r w:rsidRPr="00EF6B71">
              <w:rPr>
                <w:rFonts w:cs="Calibri"/>
              </w:rPr>
              <w:t>poljoprivredni potencijal ruralnog prostora Grada</w:t>
            </w:r>
          </w:p>
          <w:p w14:paraId="152274BF" w14:textId="77777777" w:rsidR="00C5315F" w:rsidRDefault="00C5315F" w:rsidP="00072476">
            <w:pPr>
              <w:spacing w:after="0" w:line="240" w:lineRule="auto"/>
              <w:rPr>
                <w:rFonts w:cs="Calibri"/>
              </w:rPr>
            </w:pPr>
            <w:r w:rsidRPr="00A33E06">
              <w:rPr>
                <w:rFonts w:cs="Calibri"/>
              </w:rPr>
              <w:t>- revitalizacija vrijednih građevina industrijske arhitekture i njihovo uključivanje u kulturnu i turističku ponudu grada putem EU fondova</w:t>
            </w:r>
          </w:p>
          <w:p w14:paraId="31C56EA9" w14:textId="0EC847A7" w:rsidR="00C5315F" w:rsidRDefault="00C5315F" w:rsidP="00072476">
            <w:pPr>
              <w:spacing w:after="0" w:line="240" w:lineRule="auto"/>
              <w:rPr>
                <w:rFonts w:cs="Calibri"/>
              </w:rPr>
            </w:pPr>
            <w:r>
              <w:rPr>
                <w:rFonts w:cs="Calibri"/>
              </w:rPr>
              <w:t>- o</w:t>
            </w:r>
            <w:r w:rsidRPr="00052EC2">
              <w:rPr>
                <w:rFonts w:cs="Calibri"/>
              </w:rPr>
              <w:t>bnova, modernizacija i održavanje stambenog fonda, s posebnim naglaskom na obnovu</w:t>
            </w:r>
            <w:r>
              <w:rPr>
                <w:rFonts w:cs="Calibri"/>
              </w:rPr>
              <w:t xml:space="preserve"> građevina</w:t>
            </w:r>
            <w:r w:rsidRPr="00052EC2">
              <w:rPr>
                <w:rFonts w:cs="Calibri"/>
              </w:rPr>
              <w:t xml:space="preserve"> oštećen</w:t>
            </w:r>
            <w:r>
              <w:rPr>
                <w:rFonts w:cs="Calibri"/>
              </w:rPr>
              <w:t xml:space="preserve">ih </w:t>
            </w:r>
            <w:r w:rsidRPr="00052EC2">
              <w:rPr>
                <w:rFonts w:cs="Calibri"/>
              </w:rPr>
              <w:t>u potresu 22. ožujka</w:t>
            </w:r>
            <w:r>
              <w:rPr>
                <w:rFonts w:cs="Calibri"/>
              </w:rPr>
              <w:t xml:space="preserve"> </w:t>
            </w:r>
            <w:r w:rsidRPr="00052EC2">
              <w:rPr>
                <w:rFonts w:cs="Calibri"/>
              </w:rPr>
              <w:t>2020. na temelju posebnog propisa</w:t>
            </w:r>
          </w:p>
          <w:p w14:paraId="69A8DB91" w14:textId="3E333203" w:rsidR="00C5315F" w:rsidRDefault="00C5315F">
            <w:pPr>
              <w:spacing w:after="0" w:line="240" w:lineRule="auto"/>
              <w:rPr>
                <w:rFonts w:cs="Calibri"/>
              </w:rPr>
            </w:pPr>
            <w:r>
              <w:rPr>
                <w:rFonts w:cs="Calibri"/>
              </w:rPr>
              <w:t xml:space="preserve">- </w:t>
            </w:r>
            <w:r w:rsidRPr="001A3A8C">
              <w:rPr>
                <w:rFonts w:cs="Calibri"/>
              </w:rPr>
              <w:t>korištenje sredstva EU i/ili sredstva drugih nacionalnih i/ili međunarodnih izvora financiranja</w:t>
            </w:r>
          </w:p>
          <w:p w14:paraId="0DFC4AB5" w14:textId="578501E8" w:rsidR="00C5315F" w:rsidRDefault="00C5315F" w:rsidP="00072476">
            <w:pPr>
              <w:spacing w:after="0" w:line="240" w:lineRule="auto"/>
              <w:rPr>
                <w:rFonts w:cs="Calibri"/>
              </w:rPr>
            </w:pPr>
            <w:r>
              <w:rPr>
                <w:rFonts w:cs="Calibri"/>
              </w:rPr>
              <w:t>- Trend intenzivnog razvoja park&amp;ride i bike&amp;ride sustava u velikim aglomeracijama</w:t>
            </w:r>
          </w:p>
          <w:p w14:paraId="24A6F607" w14:textId="64907D86" w:rsidR="00E029D0" w:rsidRDefault="00E029D0" w:rsidP="00072476">
            <w:pPr>
              <w:spacing w:after="0" w:line="240" w:lineRule="auto"/>
              <w:rPr>
                <w:rFonts w:cs="Calibri"/>
              </w:rPr>
            </w:pPr>
            <w:r>
              <w:rPr>
                <w:rFonts w:cs="Calibri"/>
              </w:rPr>
              <w:t xml:space="preserve">- </w:t>
            </w:r>
            <w:r w:rsidR="00A060D5">
              <w:rPr>
                <w:rFonts w:cs="Calibri"/>
              </w:rPr>
              <w:t>primjena</w:t>
            </w:r>
            <w:r w:rsidRPr="00E029D0">
              <w:rPr>
                <w:rFonts w:cs="Calibri"/>
              </w:rPr>
              <w:t>el.vozila za potrebe uslužnih djelatnosti</w:t>
            </w:r>
          </w:p>
          <w:p w14:paraId="7F12B28F" w14:textId="3F191A7B" w:rsidR="00C5315F" w:rsidRPr="00893B53" w:rsidRDefault="00893B53" w:rsidP="00893B53">
            <w:pPr>
              <w:spacing w:after="0" w:line="240" w:lineRule="auto"/>
              <w:rPr>
                <w:rFonts w:cs="Calibri"/>
              </w:rPr>
            </w:pPr>
            <w:bookmarkStart w:id="172" w:name="_Hlk98425573"/>
            <w:r>
              <w:t xml:space="preserve">- Kroz ulaganja u objekte na Sljemenu </w:t>
            </w:r>
            <w:bookmarkEnd w:id="172"/>
            <w:r w:rsidR="00C5315F">
              <w:t>potica</w:t>
            </w:r>
            <w:r>
              <w:t>ti</w:t>
            </w:r>
            <w:r w:rsidR="00C5315F">
              <w:t xml:space="preserve"> borav</w:t>
            </w:r>
            <w:r>
              <w:t>ak građana</w:t>
            </w:r>
            <w:r w:rsidR="00C5315F">
              <w:t xml:space="preserve"> u prirodi</w:t>
            </w:r>
          </w:p>
          <w:p w14:paraId="73A9E438" w14:textId="5D138079" w:rsidR="00C5315F" w:rsidRDefault="00C5315F" w:rsidP="00893B53">
            <w:pPr>
              <w:spacing w:after="0" w:line="240" w:lineRule="auto"/>
              <w:rPr>
                <w:rFonts w:cs="Calibri"/>
              </w:rPr>
            </w:pPr>
            <w:r w:rsidRPr="00007F7C">
              <w:rPr>
                <w:rFonts w:cs="Calibri"/>
              </w:rPr>
              <w:t>- mogućnost istovremene integrirane gradnje cjelokupne komunalne infrastrukture, uključujući i ICT infrastrukturu</w:t>
            </w:r>
          </w:p>
          <w:p w14:paraId="57A522E4" w14:textId="77777777" w:rsidR="00C5315F" w:rsidRPr="00E241A5" w:rsidRDefault="00C5315F" w:rsidP="00072476">
            <w:pPr>
              <w:spacing w:after="0"/>
              <w:rPr>
                <w:rFonts w:cs="Calibri"/>
              </w:rPr>
            </w:pPr>
            <w:r>
              <w:rPr>
                <w:rFonts w:cs="Calibri"/>
              </w:rPr>
              <w:t xml:space="preserve">- </w:t>
            </w:r>
            <w:r w:rsidRPr="00E241A5">
              <w:rPr>
                <w:rFonts w:cs="Calibri"/>
              </w:rPr>
              <w:t>Visoki korisnički informacijski sustavi – ITS -</w:t>
            </w:r>
          </w:p>
          <w:p w14:paraId="75386A0E" w14:textId="77777777" w:rsidR="00C5315F" w:rsidRPr="00E241A5" w:rsidRDefault="00C5315F" w:rsidP="00072476">
            <w:pPr>
              <w:spacing w:after="0"/>
              <w:rPr>
                <w:rFonts w:cs="Calibri"/>
              </w:rPr>
            </w:pPr>
            <w:r w:rsidRPr="00E241A5">
              <w:rPr>
                <w:rFonts w:cs="Calibri"/>
              </w:rPr>
              <w:t>kako bi se bolje iskoristila postojeća</w:t>
            </w:r>
          </w:p>
          <w:p w14:paraId="10498423" w14:textId="77777777" w:rsidR="00C5315F" w:rsidRPr="00E241A5" w:rsidRDefault="00C5315F" w:rsidP="00072476">
            <w:pPr>
              <w:spacing w:after="0"/>
              <w:rPr>
                <w:rFonts w:cs="Calibri"/>
              </w:rPr>
            </w:pPr>
            <w:r w:rsidRPr="00E241A5">
              <w:rPr>
                <w:rFonts w:cs="Calibri"/>
              </w:rPr>
              <w:t>infrastruktura</w:t>
            </w:r>
          </w:p>
          <w:p w14:paraId="6F5EFFAA" w14:textId="46ABDA82" w:rsidR="00C5315F" w:rsidRPr="00E241A5" w:rsidRDefault="00C5315F" w:rsidP="00072476">
            <w:pPr>
              <w:spacing w:after="0"/>
              <w:rPr>
                <w:rFonts w:cs="Calibri"/>
              </w:rPr>
            </w:pPr>
            <w:r>
              <w:rPr>
                <w:rFonts w:cs="Calibri"/>
              </w:rPr>
              <w:t xml:space="preserve">- </w:t>
            </w:r>
            <w:r w:rsidRPr="00E241A5">
              <w:rPr>
                <w:rFonts w:cs="Calibri"/>
              </w:rPr>
              <w:t>modern</w:t>
            </w:r>
            <w:r w:rsidR="00A060D5">
              <w:rPr>
                <w:rFonts w:cs="Calibri"/>
              </w:rPr>
              <w:t>a</w:t>
            </w:r>
            <w:r w:rsidRPr="00E241A5">
              <w:rPr>
                <w:rFonts w:cs="Calibri"/>
              </w:rPr>
              <w:t xml:space="preserve"> tehnološk</w:t>
            </w:r>
            <w:r w:rsidR="00A060D5">
              <w:rPr>
                <w:rFonts w:cs="Calibri"/>
              </w:rPr>
              <w:t>a</w:t>
            </w:r>
            <w:r w:rsidRPr="00E241A5">
              <w:rPr>
                <w:rFonts w:cs="Calibri"/>
              </w:rPr>
              <w:t xml:space="preserve"> rješenja u</w:t>
            </w:r>
          </w:p>
          <w:p w14:paraId="005D1953" w14:textId="74780D69" w:rsidR="00C5315F" w:rsidRDefault="00C5315F" w:rsidP="00A060D5">
            <w:pPr>
              <w:spacing w:after="0"/>
              <w:rPr>
                <w:rFonts w:cs="Calibri"/>
              </w:rPr>
            </w:pPr>
            <w:r w:rsidRPr="00E241A5">
              <w:rPr>
                <w:rFonts w:cs="Calibri"/>
              </w:rPr>
              <w:t xml:space="preserve"> prometn</w:t>
            </w:r>
            <w:r w:rsidR="00A060D5">
              <w:rPr>
                <w:rFonts w:cs="Calibri"/>
              </w:rPr>
              <w:t>oj</w:t>
            </w:r>
            <w:r w:rsidRPr="00E241A5">
              <w:rPr>
                <w:rFonts w:cs="Calibri"/>
              </w:rPr>
              <w:t xml:space="preserve"> infrastruktur</w:t>
            </w:r>
            <w:r w:rsidR="00A060D5">
              <w:rPr>
                <w:rFonts w:cs="Calibri"/>
              </w:rPr>
              <w:t>i</w:t>
            </w:r>
            <w:r w:rsidRPr="00E241A5">
              <w:rPr>
                <w:rFonts w:cs="Calibri"/>
              </w:rPr>
              <w:t xml:space="preserve"> </w:t>
            </w:r>
          </w:p>
          <w:p w14:paraId="0EA1473E" w14:textId="3CA77C3E" w:rsidR="00C5315F" w:rsidRDefault="00C5315F" w:rsidP="00072476">
            <w:pPr>
              <w:spacing w:after="0"/>
            </w:pPr>
            <w:r>
              <w:t>- Poticanje obrazovanj</w:t>
            </w:r>
            <w:r w:rsidR="004329A1">
              <w:t>e</w:t>
            </w:r>
            <w:r>
              <w:t xml:space="preserve"> s ciljem razvoja</w:t>
            </w:r>
          </w:p>
          <w:p w14:paraId="5C36D0F1" w14:textId="4593B70E" w:rsidR="00C5315F" w:rsidRDefault="00C5315F" w:rsidP="00072476">
            <w:pPr>
              <w:spacing w:after="0"/>
            </w:pPr>
            <w:r>
              <w:t>kompetencija povezanih s uvođenjem i</w:t>
            </w:r>
          </w:p>
          <w:p w14:paraId="3DFA9755" w14:textId="566C29E1" w:rsidR="00C5315F" w:rsidRDefault="00C5315F" w:rsidP="00072476">
            <w:pPr>
              <w:spacing w:after="0"/>
            </w:pPr>
            <w:r>
              <w:t>korištenjem moderne tehnologije u prometu</w:t>
            </w:r>
          </w:p>
          <w:p w14:paraId="518C6581" w14:textId="33B03BD0" w:rsidR="00C5315F" w:rsidRDefault="00C5315F" w:rsidP="00072476">
            <w:pPr>
              <w:spacing w:after="0"/>
            </w:pPr>
            <w:r>
              <w:t>kako bi se pratili europski trendovi i zakonske</w:t>
            </w:r>
          </w:p>
          <w:p w14:paraId="121EE699" w14:textId="0AF376A7" w:rsidR="00C5315F" w:rsidRDefault="00C5315F" w:rsidP="00072476">
            <w:pPr>
              <w:spacing w:after="0"/>
            </w:pPr>
            <w:r>
              <w:t>regulative</w:t>
            </w:r>
          </w:p>
          <w:p w14:paraId="67D42324" w14:textId="00561D2F" w:rsidR="00C5315F" w:rsidRDefault="00C5315F" w:rsidP="00072476">
            <w:pPr>
              <w:spacing w:after="0"/>
            </w:pPr>
            <w:r>
              <w:t>- Uvođenje ekološki prihvatljivih vozila uprometovanju na području Master plana,</w:t>
            </w:r>
          </w:p>
          <w:p w14:paraId="50550CC5" w14:textId="77777777" w:rsidR="00C5315F" w:rsidRDefault="00C5315F" w:rsidP="00072476">
            <w:pPr>
              <w:spacing w:after="0"/>
            </w:pPr>
            <w:r>
              <w:t>osobito u vidu javnog prometa (pr. E-bicikli,</w:t>
            </w:r>
          </w:p>
          <w:p w14:paraId="69D7C299" w14:textId="1EB49A46" w:rsidR="00C5315F" w:rsidRDefault="00C5315F" w:rsidP="00072476">
            <w:pPr>
              <w:spacing w:after="0"/>
            </w:pPr>
            <w:r>
              <w:t>„car sharing“ sustav, električni automobili i</w:t>
            </w:r>
          </w:p>
          <w:p w14:paraId="15514A0A" w14:textId="306DBAAF" w:rsidR="00C5315F" w:rsidRDefault="00C5315F" w:rsidP="00A060D5">
            <w:pPr>
              <w:spacing w:after="0"/>
            </w:pPr>
            <w:r>
              <w:t>sl.) kako bi se povećala energetska</w:t>
            </w:r>
          </w:p>
          <w:p w14:paraId="0523381A" w14:textId="50226457" w:rsidR="00C5315F" w:rsidRPr="00A33E06" w:rsidRDefault="00C5315F" w:rsidP="008355B6">
            <w:pPr>
              <w:spacing w:after="0"/>
              <w:rPr>
                <w:rFonts w:cs="Calibri"/>
              </w:rPr>
            </w:pPr>
            <w:r>
              <w:t>učinkovitost u prometnom sustavu</w:t>
            </w:r>
          </w:p>
        </w:tc>
        <w:tc>
          <w:tcPr>
            <w:tcW w:w="4428" w:type="dxa"/>
            <w:shd w:val="clear" w:color="auto" w:fill="auto"/>
          </w:tcPr>
          <w:p w14:paraId="332BEA07" w14:textId="77777777" w:rsidR="00C5315F" w:rsidRDefault="00C5315F" w:rsidP="00072476">
            <w:pPr>
              <w:spacing w:after="0" w:line="240" w:lineRule="auto"/>
              <w:rPr>
                <w:rFonts w:cs="Calibri"/>
              </w:rPr>
            </w:pPr>
            <w:r w:rsidRPr="00A33E06">
              <w:rPr>
                <w:rFonts w:cs="Calibri"/>
              </w:rPr>
              <w:t xml:space="preserve">- </w:t>
            </w:r>
            <w:r>
              <w:rPr>
                <w:rFonts w:cs="Calibri"/>
              </w:rPr>
              <w:t>seizmički rizik</w:t>
            </w:r>
          </w:p>
          <w:p w14:paraId="36BDEB4E" w14:textId="77777777" w:rsidR="00C5315F" w:rsidRDefault="00C5315F" w:rsidP="00072476">
            <w:pPr>
              <w:spacing w:after="0" w:line="240" w:lineRule="auto"/>
              <w:rPr>
                <w:rFonts w:cs="Calibri"/>
              </w:rPr>
            </w:pPr>
            <w:r>
              <w:rPr>
                <w:rFonts w:cs="Calibri"/>
              </w:rPr>
              <w:t>- opasnost od ekstremnih vremenskih uvjeta (posljedica klimatskih promjena)</w:t>
            </w:r>
          </w:p>
          <w:p w14:paraId="2EF8E43B" w14:textId="77777777" w:rsidR="00C5315F" w:rsidRPr="00A33E06" w:rsidRDefault="00C5315F" w:rsidP="00072476">
            <w:pPr>
              <w:spacing w:after="0" w:line="240" w:lineRule="auto"/>
              <w:rPr>
                <w:rFonts w:cs="Calibri"/>
              </w:rPr>
            </w:pPr>
            <w:r>
              <w:rPr>
                <w:rFonts w:cs="Calibri"/>
              </w:rPr>
              <w:t xml:space="preserve">- </w:t>
            </w:r>
            <w:r w:rsidRPr="00A33E06">
              <w:rPr>
                <w:rFonts w:cs="Calibri"/>
              </w:rPr>
              <w:t xml:space="preserve">gubitak identiteta povijesnih naselja </w:t>
            </w:r>
            <w:r w:rsidRPr="00A33E06">
              <w:rPr>
                <w:rFonts w:cs="Calibri"/>
              </w:rPr>
              <w:br/>
              <w:t>- prenamjena šuma i poljoprivrednog zemljišta u privatnom vlasništvu</w:t>
            </w:r>
          </w:p>
          <w:p w14:paraId="1D587D8F" w14:textId="77777777" w:rsidR="00C5315F" w:rsidRPr="00A33E06" w:rsidRDefault="00C5315F" w:rsidP="00072476">
            <w:pPr>
              <w:spacing w:after="0" w:line="240" w:lineRule="auto"/>
              <w:rPr>
                <w:rFonts w:cs="Calibri"/>
              </w:rPr>
            </w:pPr>
            <w:r w:rsidRPr="00A33E06">
              <w:rPr>
                <w:rFonts w:cs="Calibri"/>
              </w:rPr>
              <w:t>- pritisci za prenamjenu poljoprivrednog prostora </w:t>
            </w:r>
          </w:p>
          <w:p w14:paraId="66D58D6C" w14:textId="77777777" w:rsidR="00C5315F" w:rsidRPr="00A33E06" w:rsidRDefault="00C5315F" w:rsidP="00072476">
            <w:pPr>
              <w:spacing w:after="0" w:line="240" w:lineRule="auto"/>
              <w:rPr>
                <w:rFonts w:cs="Calibri"/>
              </w:rPr>
            </w:pPr>
            <w:r w:rsidRPr="00A33E06">
              <w:rPr>
                <w:rFonts w:cs="Calibri"/>
              </w:rPr>
              <w:t>- propadanje graditeljske baštine</w:t>
            </w:r>
          </w:p>
          <w:p w14:paraId="299F4419" w14:textId="77777777" w:rsidR="00C5315F" w:rsidRPr="00A33E06" w:rsidRDefault="00C5315F" w:rsidP="00072476">
            <w:pPr>
              <w:spacing w:after="0" w:line="240" w:lineRule="auto"/>
              <w:rPr>
                <w:rFonts w:cs="Calibri"/>
              </w:rPr>
            </w:pPr>
            <w:r w:rsidRPr="00A33E06">
              <w:rPr>
                <w:rFonts w:cs="Calibri"/>
              </w:rPr>
              <w:t>- širenje grada na neizgrađena područja, bez urbanističke i ekonomske opravdanosti</w:t>
            </w:r>
          </w:p>
          <w:p w14:paraId="5E044115" w14:textId="77777777" w:rsidR="00C5315F" w:rsidRPr="00A33E06" w:rsidRDefault="00C5315F" w:rsidP="00072476">
            <w:pPr>
              <w:spacing w:after="0" w:line="240" w:lineRule="auto"/>
              <w:rPr>
                <w:rFonts w:cs="Calibri"/>
              </w:rPr>
            </w:pPr>
            <w:r w:rsidRPr="00A33E06">
              <w:rPr>
                <w:rFonts w:cs="Calibri"/>
              </w:rPr>
              <w:t xml:space="preserve">- ugroženost prirodnih resursa prenamjenom i eksploatacijom </w:t>
            </w:r>
          </w:p>
          <w:p w14:paraId="64419FD6" w14:textId="77777777" w:rsidR="00C5315F" w:rsidRDefault="00C5315F" w:rsidP="00072476">
            <w:pPr>
              <w:spacing w:after="0" w:line="240" w:lineRule="auto"/>
              <w:rPr>
                <w:rFonts w:cs="Calibri"/>
              </w:rPr>
            </w:pPr>
            <w:r w:rsidRPr="00A33E06">
              <w:rPr>
                <w:rFonts w:cs="Calibri"/>
              </w:rPr>
              <w:t>- nezadovoljavajuća koordinacija u planiranju i izgradnji prometne</w:t>
            </w:r>
            <w:r>
              <w:rPr>
                <w:rFonts w:cs="Calibri"/>
              </w:rPr>
              <w:t xml:space="preserve"> </w:t>
            </w:r>
            <w:r w:rsidRPr="00A33E06">
              <w:rPr>
                <w:rFonts w:cs="Calibri"/>
              </w:rPr>
              <w:t>infrastrukture (</w:t>
            </w:r>
            <w:r>
              <w:rPr>
                <w:rFonts w:cs="Calibri"/>
              </w:rPr>
              <w:t>problemi u realizaciji novoplaniranih HŽ stajališta Sopnica i Sesvetska Sela</w:t>
            </w:r>
            <w:r w:rsidRPr="00A33E06">
              <w:rPr>
                <w:rFonts w:cs="Calibri"/>
              </w:rPr>
              <w:t xml:space="preserve">) </w:t>
            </w:r>
          </w:p>
          <w:p w14:paraId="449DD372" w14:textId="5B2E4AE2" w:rsidR="00C5315F" w:rsidRDefault="00C5315F" w:rsidP="00072476">
            <w:pPr>
              <w:spacing w:after="0"/>
              <w:rPr>
                <w:rFonts w:cs="Calibri"/>
              </w:rPr>
            </w:pPr>
            <w:r>
              <w:rPr>
                <w:rFonts w:cs="Calibri"/>
              </w:rPr>
              <w:t xml:space="preserve">- </w:t>
            </w:r>
          </w:p>
          <w:p w14:paraId="75C59C2B" w14:textId="77777777" w:rsidR="00C5315F" w:rsidRDefault="00C5315F" w:rsidP="00072476">
            <w:pPr>
              <w:spacing w:after="0"/>
              <w:rPr>
                <w:rFonts w:cs="Calibri"/>
              </w:rPr>
            </w:pPr>
            <w:r>
              <w:rPr>
                <w:rFonts w:cs="Calibri"/>
              </w:rPr>
              <w:t>- nedovoljna financijska sredstva iz različitih izvora  financiranja</w:t>
            </w:r>
          </w:p>
          <w:p w14:paraId="39052312" w14:textId="77777777" w:rsidR="00C5315F" w:rsidRPr="00EA0F5C" w:rsidRDefault="00C5315F" w:rsidP="00072476">
            <w:pPr>
              <w:autoSpaceDE w:val="0"/>
              <w:autoSpaceDN w:val="0"/>
              <w:adjustRightInd w:val="0"/>
              <w:spacing w:after="0" w:line="240" w:lineRule="auto"/>
              <w:rPr>
                <w:rFonts w:cs="Calibri"/>
                <w:lang w:val="en-GB" w:eastAsia="en-GB"/>
              </w:rPr>
            </w:pPr>
            <w:r>
              <w:rPr>
                <w:rFonts w:ascii="CIDFont+F2" w:hAnsi="CIDFont+F2" w:cs="CIDFont+F2"/>
                <w:sz w:val="20"/>
                <w:szCs w:val="20"/>
                <w:lang w:val="en-GB" w:eastAsia="en-GB"/>
              </w:rPr>
              <w:t xml:space="preserve">- </w:t>
            </w:r>
            <w:r w:rsidRPr="00EA0F5C">
              <w:rPr>
                <w:rFonts w:cs="Calibri"/>
                <w:lang w:val="en-GB" w:eastAsia="en-GB"/>
              </w:rPr>
              <w:t>odgađanje planiranih ulaganja uslijed slabije fiskalne situacije uzrokovane pandemijom COVID 19 i uslijed novih prioriteta sanacije objekata oštećenih u potresu</w:t>
            </w:r>
          </w:p>
          <w:p w14:paraId="151F3059" w14:textId="77777777" w:rsidR="00C5315F" w:rsidRPr="00007F7C" w:rsidRDefault="00C5315F" w:rsidP="00072476">
            <w:pPr>
              <w:spacing w:after="0"/>
              <w:rPr>
                <w:rFonts w:cs="Calibri"/>
              </w:rPr>
            </w:pPr>
            <w:r>
              <w:rPr>
                <w:rFonts w:cs="Calibri"/>
              </w:rPr>
              <w:t>- neprovođenje pravovremeno imovinsko pravnih postupaka kao preduvjet za proširenje groblja – nemogućnost osiguranja novih grobnih mjesta za ukope</w:t>
            </w:r>
            <w:r>
              <w:rPr>
                <w:rFonts w:cs="Calibri"/>
                <w:sz w:val="20"/>
                <w:szCs w:val="20"/>
              </w:rPr>
              <w:t xml:space="preserve"> </w:t>
            </w:r>
          </w:p>
          <w:p w14:paraId="688E92C2" w14:textId="77777777" w:rsidR="00C5315F" w:rsidRDefault="00C5315F" w:rsidP="00072476">
            <w:pPr>
              <w:spacing w:after="0" w:line="240" w:lineRule="auto"/>
              <w:jc w:val="both"/>
              <w:rPr>
                <w:rFonts w:cs="Calibri"/>
              </w:rPr>
            </w:pPr>
            <w:r>
              <w:rPr>
                <w:rFonts w:cs="Calibri"/>
              </w:rPr>
              <w:t>- kompliciran i dugotrajan postupak utvrđivanja dokumenata prostornog uređenja</w:t>
            </w:r>
          </w:p>
          <w:p w14:paraId="40A100CE" w14:textId="2FF8F568" w:rsidR="00C5315F" w:rsidRDefault="00C5315F" w:rsidP="00072476">
            <w:pPr>
              <w:spacing w:after="0" w:line="240" w:lineRule="auto"/>
              <w:jc w:val="both"/>
              <w:rPr>
                <w:rFonts w:cs="Calibri"/>
              </w:rPr>
            </w:pPr>
            <w:r>
              <w:rPr>
                <w:rFonts w:cs="Calibri"/>
              </w:rPr>
              <w:t xml:space="preserve">- poteškoće u rješavanju imovinsko-pravnih odnosa kod pripreme zemljišta za realizaciju projekata od gradskog interesa </w:t>
            </w:r>
          </w:p>
          <w:p w14:paraId="7BA8C0FD" w14:textId="77777777" w:rsidR="00C5315F" w:rsidRPr="00132A08" w:rsidRDefault="00C5315F" w:rsidP="00072476">
            <w:pPr>
              <w:spacing w:after="0" w:line="240" w:lineRule="auto"/>
              <w:jc w:val="both"/>
              <w:rPr>
                <w:rFonts w:cs="Calibri"/>
              </w:rPr>
            </w:pPr>
            <w:r>
              <w:rPr>
                <w:rFonts w:cs="Calibri"/>
              </w:rPr>
              <w:t xml:space="preserve">- </w:t>
            </w:r>
            <w:r w:rsidRPr="00132A08">
              <w:rPr>
                <w:rFonts w:cs="Calibri"/>
              </w:rPr>
              <w:t>Smanjenje broja korisnika zbog tehnološkog</w:t>
            </w:r>
          </w:p>
          <w:p w14:paraId="1400A82B" w14:textId="77777777" w:rsidR="00C5315F" w:rsidRPr="00132A08" w:rsidRDefault="00C5315F" w:rsidP="00072476">
            <w:pPr>
              <w:spacing w:after="0" w:line="240" w:lineRule="auto"/>
              <w:jc w:val="both"/>
              <w:rPr>
                <w:rFonts w:cs="Calibri"/>
              </w:rPr>
            </w:pPr>
            <w:r w:rsidRPr="00132A08">
              <w:rPr>
                <w:rFonts w:cs="Calibri"/>
              </w:rPr>
              <w:t>smanjenja prijevoznika u sustavu javnog</w:t>
            </w:r>
          </w:p>
          <w:p w14:paraId="78402FA4" w14:textId="77777777" w:rsidR="00C5315F" w:rsidRDefault="00C5315F" w:rsidP="00072476">
            <w:pPr>
              <w:spacing w:after="0" w:line="240" w:lineRule="auto"/>
              <w:jc w:val="both"/>
              <w:rPr>
                <w:rFonts w:cs="Calibri"/>
              </w:rPr>
            </w:pPr>
            <w:r w:rsidRPr="00132A08">
              <w:rPr>
                <w:rFonts w:cs="Calibri"/>
              </w:rPr>
              <w:t>prijevoza</w:t>
            </w:r>
          </w:p>
          <w:p w14:paraId="5170A55B" w14:textId="77777777" w:rsidR="00C5315F" w:rsidRPr="008005BD" w:rsidRDefault="00C5315F" w:rsidP="00072476">
            <w:pPr>
              <w:spacing w:after="0" w:line="240" w:lineRule="auto"/>
              <w:jc w:val="both"/>
              <w:rPr>
                <w:rFonts w:cs="Calibri"/>
              </w:rPr>
            </w:pPr>
            <w:r>
              <w:rPr>
                <w:rFonts w:cs="Calibri"/>
              </w:rPr>
              <w:t xml:space="preserve">- </w:t>
            </w:r>
            <w:r w:rsidRPr="008005BD">
              <w:rPr>
                <w:rFonts w:cs="Calibri"/>
              </w:rPr>
              <w:t>Neadekvatna i zastarjela infrastruktura i vozni</w:t>
            </w:r>
          </w:p>
          <w:p w14:paraId="69847AC8" w14:textId="77777777" w:rsidR="00C5315F" w:rsidRDefault="00C5315F" w:rsidP="00072476">
            <w:pPr>
              <w:spacing w:after="0" w:line="240" w:lineRule="auto"/>
              <w:jc w:val="both"/>
              <w:rPr>
                <w:rFonts w:cs="Calibri"/>
              </w:rPr>
            </w:pPr>
            <w:r w:rsidRPr="008005BD">
              <w:rPr>
                <w:rFonts w:cs="Calibri"/>
              </w:rPr>
              <w:t>park željezničkog prometa</w:t>
            </w:r>
          </w:p>
          <w:p w14:paraId="1A674BFC" w14:textId="77777777" w:rsidR="00C5315F" w:rsidRPr="008005BD" w:rsidRDefault="00C5315F" w:rsidP="00072476">
            <w:pPr>
              <w:spacing w:after="0" w:line="240" w:lineRule="auto"/>
              <w:jc w:val="both"/>
              <w:rPr>
                <w:rFonts w:cs="Calibri"/>
              </w:rPr>
            </w:pPr>
            <w:r>
              <w:rPr>
                <w:rFonts w:cs="Calibri"/>
              </w:rPr>
              <w:t xml:space="preserve">- </w:t>
            </w:r>
            <w:r w:rsidRPr="008005BD">
              <w:rPr>
                <w:rFonts w:cs="Calibri"/>
              </w:rPr>
              <w:t>Nepovezanost stanica željezničkog prometa</w:t>
            </w:r>
          </w:p>
          <w:p w14:paraId="07DAC9A8" w14:textId="77777777" w:rsidR="00C5315F" w:rsidRPr="008005BD" w:rsidRDefault="00C5315F" w:rsidP="00072476">
            <w:pPr>
              <w:spacing w:after="0" w:line="240" w:lineRule="auto"/>
              <w:jc w:val="both"/>
              <w:rPr>
                <w:rFonts w:cs="Calibri"/>
              </w:rPr>
            </w:pPr>
            <w:r w:rsidRPr="008005BD">
              <w:rPr>
                <w:rFonts w:cs="Calibri"/>
              </w:rPr>
              <w:t>sa stanicama autobusnog prometa, osobito u</w:t>
            </w:r>
          </w:p>
          <w:p w14:paraId="6F76F3F7" w14:textId="77777777" w:rsidR="00C5315F" w:rsidRDefault="00C5315F" w:rsidP="00072476">
            <w:pPr>
              <w:spacing w:after="0" w:line="240" w:lineRule="auto"/>
              <w:jc w:val="both"/>
              <w:rPr>
                <w:rFonts w:cs="Calibri"/>
              </w:rPr>
            </w:pPr>
            <w:r w:rsidRPr="008005BD">
              <w:rPr>
                <w:rFonts w:cs="Calibri"/>
              </w:rPr>
              <w:t>ruralnim područjima</w:t>
            </w:r>
          </w:p>
          <w:p w14:paraId="77BAA780" w14:textId="77777777" w:rsidR="00C5315F" w:rsidRPr="008005BD" w:rsidRDefault="00C5315F" w:rsidP="00072476">
            <w:pPr>
              <w:spacing w:after="0" w:line="240" w:lineRule="auto"/>
              <w:jc w:val="both"/>
              <w:rPr>
                <w:rFonts w:cs="Calibri"/>
              </w:rPr>
            </w:pPr>
            <w:r>
              <w:rPr>
                <w:rFonts w:cs="Calibri"/>
              </w:rPr>
              <w:t xml:space="preserve">- </w:t>
            </w:r>
            <w:r w:rsidRPr="008005BD">
              <w:rPr>
                <w:rFonts w:cs="Calibri"/>
              </w:rPr>
              <w:t>Učinci klimatskih promjena mogu uzrokovati</w:t>
            </w:r>
          </w:p>
          <w:p w14:paraId="4EB8C71F" w14:textId="77777777" w:rsidR="00C5315F" w:rsidRPr="008005BD" w:rsidRDefault="00C5315F" w:rsidP="00072476">
            <w:pPr>
              <w:spacing w:after="0" w:line="240" w:lineRule="auto"/>
              <w:jc w:val="both"/>
              <w:rPr>
                <w:rFonts w:cs="Calibri"/>
              </w:rPr>
            </w:pPr>
            <w:r w:rsidRPr="008005BD">
              <w:rPr>
                <w:rFonts w:cs="Calibri"/>
              </w:rPr>
              <w:t>propadanje dijelova prometne infrastrukture</w:t>
            </w:r>
          </w:p>
          <w:p w14:paraId="21BBC036" w14:textId="77777777" w:rsidR="00C5315F" w:rsidRDefault="00C5315F" w:rsidP="00072476">
            <w:pPr>
              <w:spacing w:after="0" w:line="240" w:lineRule="auto"/>
              <w:jc w:val="both"/>
              <w:rPr>
                <w:rFonts w:cs="Calibri"/>
              </w:rPr>
            </w:pPr>
            <w:r w:rsidRPr="008005BD">
              <w:rPr>
                <w:rFonts w:cs="Calibri"/>
              </w:rPr>
              <w:t>i na dulje ih vrijeme onesposobiti</w:t>
            </w:r>
          </w:p>
          <w:p w14:paraId="3AC9AA30" w14:textId="77777777" w:rsidR="00C5315F" w:rsidRPr="008005BD" w:rsidRDefault="00C5315F" w:rsidP="00072476">
            <w:pPr>
              <w:spacing w:after="0" w:line="240" w:lineRule="auto"/>
              <w:jc w:val="both"/>
              <w:rPr>
                <w:rFonts w:cs="Calibri"/>
              </w:rPr>
            </w:pPr>
            <w:r>
              <w:rPr>
                <w:rFonts w:cs="Calibri"/>
              </w:rPr>
              <w:t xml:space="preserve">- </w:t>
            </w:r>
            <w:r w:rsidRPr="008005BD">
              <w:rPr>
                <w:rFonts w:cs="Calibri"/>
              </w:rPr>
              <w:t>Nepostojanje razvijenog integriranog</w:t>
            </w:r>
          </w:p>
          <w:p w14:paraId="6592D3B8" w14:textId="77777777" w:rsidR="00C5315F" w:rsidRPr="008005BD" w:rsidRDefault="00C5315F" w:rsidP="00072476">
            <w:pPr>
              <w:spacing w:after="0" w:line="240" w:lineRule="auto"/>
              <w:jc w:val="both"/>
              <w:rPr>
                <w:rFonts w:cs="Calibri"/>
              </w:rPr>
            </w:pPr>
            <w:r w:rsidRPr="008005BD">
              <w:rPr>
                <w:rFonts w:cs="Calibri"/>
              </w:rPr>
              <w:t>prometnog sustava</w:t>
            </w:r>
          </w:p>
          <w:p w14:paraId="4CD12358" w14:textId="77777777" w:rsidR="00C5315F" w:rsidRPr="008005BD" w:rsidRDefault="00C5315F" w:rsidP="00072476">
            <w:pPr>
              <w:spacing w:after="0" w:line="240" w:lineRule="auto"/>
              <w:jc w:val="both"/>
              <w:rPr>
                <w:rFonts w:cs="Calibri"/>
              </w:rPr>
            </w:pPr>
            <w:r>
              <w:rPr>
                <w:rFonts w:cs="Calibri"/>
              </w:rPr>
              <w:t xml:space="preserve">- </w:t>
            </w:r>
            <w:r w:rsidRPr="008005BD">
              <w:rPr>
                <w:rFonts w:cs="Calibri"/>
              </w:rPr>
              <w:t>Nepostojanje integriranog tarifnog sustava</w:t>
            </w:r>
          </w:p>
          <w:p w14:paraId="0E45B738" w14:textId="77777777" w:rsidR="00C5315F" w:rsidRPr="008005BD" w:rsidRDefault="00C5315F" w:rsidP="00072476">
            <w:pPr>
              <w:spacing w:after="0" w:line="240" w:lineRule="auto"/>
              <w:jc w:val="both"/>
              <w:rPr>
                <w:rFonts w:cs="Calibri"/>
              </w:rPr>
            </w:pPr>
            <w:r w:rsidRPr="008005BD">
              <w:rPr>
                <w:rFonts w:cs="Calibri"/>
              </w:rPr>
              <w:t>javnog prijevoza smanjuje potražnju i broj</w:t>
            </w:r>
          </w:p>
          <w:p w14:paraId="2392A76D" w14:textId="77777777" w:rsidR="00C5315F" w:rsidRDefault="00C5315F" w:rsidP="00072476">
            <w:pPr>
              <w:spacing w:after="0" w:line="240" w:lineRule="auto"/>
              <w:jc w:val="both"/>
              <w:rPr>
                <w:rFonts w:cs="Calibri"/>
              </w:rPr>
            </w:pPr>
            <w:r w:rsidRPr="008005BD">
              <w:rPr>
                <w:rFonts w:cs="Calibri"/>
              </w:rPr>
              <w:t>korisnika javnog prijevoza</w:t>
            </w:r>
          </w:p>
          <w:p w14:paraId="4C2DD065" w14:textId="77777777" w:rsidR="00C5315F" w:rsidRPr="009F7D44" w:rsidRDefault="00C5315F" w:rsidP="00072476">
            <w:pPr>
              <w:spacing w:after="0" w:line="240" w:lineRule="auto"/>
              <w:jc w:val="both"/>
              <w:rPr>
                <w:rFonts w:cs="Calibri"/>
              </w:rPr>
            </w:pPr>
            <w:r>
              <w:rPr>
                <w:rFonts w:cs="Calibri"/>
              </w:rPr>
              <w:t xml:space="preserve">- </w:t>
            </w:r>
            <w:r w:rsidRPr="009F7D44">
              <w:rPr>
                <w:rFonts w:cs="Calibri"/>
              </w:rPr>
              <w:t>Visoke stope onečišćenja uzrokovane</w:t>
            </w:r>
          </w:p>
          <w:p w14:paraId="14A09DB1" w14:textId="77777777" w:rsidR="00C5315F" w:rsidRPr="009F7D44" w:rsidRDefault="00C5315F" w:rsidP="00072476">
            <w:pPr>
              <w:spacing w:after="0" w:line="240" w:lineRule="auto"/>
              <w:jc w:val="both"/>
              <w:rPr>
                <w:rFonts w:cs="Calibri"/>
              </w:rPr>
            </w:pPr>
            <w:r w:rsidRPr="009F7D44">
              <w:rPr>
                <w:rFonts w:cs="Calibri"/>
              </w:rPr>
              <w:t>prometom smanjuju kvalitetu života i</w:t>
            </w:r>
          </w:p>
          <w:p w14:paraId="09A89C45" w14:textId="35F02687" w:rsidR="00C5315F" w:rsidRPr="00A33E06" w:rsidRDefault="00C5315F">
            <w:pPr>
              <w:spacing w:after="0" w:line="240" w:lineRule="auto"/>
              <w:jc w:val="both"/>
              <w:rPr>
                <w:rFonts w:cs="Calibri"/>
              </w:rPr>
            </w:pPr>
            <w:r w:rsidRPr="009F7D44">
              <w:rPr>
                <w:rFonts w:cs="Calibri"/>
              </w:rPr>
              <w:t>privlačnosti grada</w:t>
            </w:r>
          </w:p>
          <w:p w14:paraId="247FC54E" w14:textId="77777777" w:rsidR="00C5315F" w:rsidRDefault="00C5315F" w:rsidP="00072476">
            <w:pPr>
              <w:spacing w:after="0" w:line="240" w:lineRule="auto"/>
              <w:jc w:val="both"/>
              <w:rPr>
                <w:rFonts w:cs="Calibri"/>
              </w:rPr>
            </w:pPr>
          </w:p>
          <w:p w14:paraId="54C10AB1" w14:textId="77777777" w:rsidR="00C5315F" w:rsidRPr="00A33E06" w:rsidRDefault="00C5315F" w:rsidP="00072476">
            <w:pPr>
              <w:spacing w:after="0" w:line="240" w:lineRule="auto"/>
              <w:rPr>
                <w:rFonts w:cs="Calibri"/>
              </w:rPr>
            </w:pPr>
          </w:p>
          <w:p w14:paraId="0CC3FB7A" w14:textId="77777777" w:rsidR="00C5315F" w:rsidRPr="00A33E06" w:rsidRDefault="00C5315F" w:rsidP="00072476">
            <w:pPr>
              <w:rPr>
                <w:rFonts w:cs="Calibri"/>
              </w:rPr>
            </w:pPr>
          </w:p>
        </w:tc>
      </w:tr>
    </w:tbl>
    <w:p w14:paraId="6FF924B8" w14:textId="77777777" w:rsidR="00BD5055" w:rsidRDefault="00BD5055" w:rsidP="00C5315F">
      <w:pPr>
        <w:rPr>
          <w:rFonts w:eastAsia="Times New Roman" w:cs="Calibri"/>
          <w:b/>
          <w:bCs/>
          <w:color w:val="000000"/>
          <w:kern w:val="24"/>
          <w:lang w:eastAsia="hr-HR"/>
        </w:rPr>
      </w:pPr>
    </w:p>
    <w:p w14:paraId="5152DD24" w14:textId="77777777" w:rsidR="00004DF9" w:rsidRDefault="00004DF9">
      <w:pPr>
        <w:rPr>
          <w:rFonts w:eastAsia="Times New Roman" w:cs="Calibri"/>
          <w:b/>
          <w:bCs/>
          <w:color w:val="000000"/>
          <w:kern w:val="24"/>
          <w:lang w:eastAsia="hr-HR"/>
        </w:rPr>
      </w:pPr>
      <w:r>
        <w:rPr>
          <w:rFonts w:eastAsia="Times New Roman" w:cs="Calibri"/>
          <w:b/>
          <w:bCs/>
          <w:color w:val="000000"/>
          <w:kern w:val="24"/>
          <w:lang w:eastAsia="hr-HR"/>
        </w:rPr>
        <w:br w:type="page"/>
      </w:r>
    </w:p>
    <w:p w14:paraId="07AFFEE0" w14:textId="2620BF2D" w:rsidR="00C5315F" w:rsidRPr="00A33E06" w:rsidRDefault="00C5315F" w:rsidP="00C5315F">
      <w:pPr>
        <w:rPr>
          <w:rFonts w:eastAsia="Times New Roman" w:cs="Calibri"/>
          <w:b/>
          <w:bCs/>
          <w:color w:val="000000"/>
          <w:kern w:val="24"/>
          <w:lang w:eastAsia="hr-HR"/>
        </w:rPr>
      </w:pPr>
      <w:r w:rsidRPr="00A33E06">
        <w:rPr>
          <w:rFonts w:eastAsia="Times New Roman" w:cs="Calibri"/>
          <w:b/>
          <w:bCs/>
          <w:color w:val="000000"/>
          <w:kern w:val="24"/>
          <w:lang w:eastAsia="hr-HR"/>
        </w:rPr>
        <w:t>Prostor</w:t>
      </w:r>
    </w:p>
    <w:p w14:paraId="05D18443" w14:textId="77777777" w:rsidR="00C5315F" w:rsidRPr="00A33E06" w:rsidRDefault="00C5315F" w:rsidP="00C5315F">
      <w:pPr>
        <w:spacing w:after="0" w:line="240" w:lineRule="auto"/>
        <w:contextualSpacing/>
        <w:jc w:val="both"/>
        <w:textAlignment w:val="baseline"/>
        <w:rPr>
          <w:rFonts w:eastAsia="Times New Roman" w:cs="Calibri"/>
          <w:b/>
          <w:bCs/>
          <w:color w:val="000000"/>
          <w:kern w:val="24"/>
          <w:u w:val="single"/>
          <w:lang w:eastAsia="hr-HR"/>
        </w:rPr>
      </w:pPr>
      <w:r w:rsidRPr="00A33E06">
        <w:rPr>
          <w:rFonts w:eastAsia="Times New Roman" w:cs="Calibri"/>
          <w:b/>
          <w:bCs/>
          <w:color w:val="000000"/>
          <w:kern w:val="24"/>
          <w:u w:val="single"/>
          <w:lang w:eastAsia="hr-HR"/>
        </w:rPr>
        <w:t xml:space="preserve">Snage </w:t>
      </w:r>
    </w:p>
    <w:p w14:paraId="51CBAA3F" w14:textId="77777777" w:rsidR="00C5315F" w:rsidRPr="00A33E06" w:rsidRDefault="00C5315F" w:rsidP="00C5315F">
      <w:pPr>
        <w:spacing w:line="240" w:lineRule="auto"/>
        <w:jc w:val="both"/>
        <w:rPr>
          <w:rFonts w:eastAsia="Times New Roman" w:cs="Calibri"/>
          <w:b/>
          <w:bCs/>
          <w:color w:val="000000"/>
          <w:kern w:val="24"/>
          <w:lang w:eastAsia="hr-HR"/>
        </w:rPr>
      </w:pPr>
      <w:r w:rsidRPr="00A33E06">
        <w:rPr>
          <w:rFonts w:cs="Calibri"/>
        </w:rPr>
        <w:t>U analizi stanja prometne i komunalne infrastrukture, kao razvojne snage utvrđene su pokrivenost</w:t>
      </w:r>
      <w:r>
        <w:rPr>
          <w:rFonts w:cs="Calibri"/>
        </w:rPr>
        <w:t xml:space="preserve"> </w:t>
      </w:r>
      <w:r w:rsidRPr="00A33E06">
        <w:rPr>
          <w:rFonts w:cs="Calibri"/>
        </w:rPr>
        <w:t>područja Grada Zagreba javnim prijevozom i pokrivenost komunalnom infrastrukturom urbanog gradskog područja. Dodatnu</w:t>
      </w:r>
      <w:r>
        <w:rPr>
          <w:rFonts w:cs="Calibri"/>
        </w:rPr>
        <w:t xml:space="preserve"> </w:t>
      </w:r>
      <w:r w:rsidRPr="00A33E06">
        <w:rPr>
          <w:rFonts w:cs="Calibri"/>
        </w:rPr>
        <w:t>snagu predstavlja bogata prirodna osnova te kvalitetne parkovne i prirodne površine - na prostoru Grada Zagreba su 2011. prema udjelima u ukupnoj površini, najzastupljenije sa 37,3% bile razne kategorije poljoprivrednih namjena i zaštitnog zelenila (uz prisustvo neuređenih, odnosno površina neprivedenih planiranoj namjeni), a zatim šume sa 33,6%. Ovi podaci ujedno ukazuju na poljoprivredni potencijal ruralnog prostora Grada koji također predstavlja znatan razvojni resurs.</w:t>
      </w:r>
      <w:r>
        <w:rPr>
          <w:rFonts w:cs="Calibri"/>
        </w:rPr>
        <w:t xml:space="preserve"> </w:t>
      </w:r>
      <w:r w:rsidRPr="00A33E06">
        <w:rPr>
          <w:rFonts w:cs="Calibri"/>
        </w:rPr>
        <w:t>Prilike za unapređivanje razvoja predstavlja i jače vrednovanje i korištenje graditeljske baštine, te zemljišta u vlasništvu grada.</w:t>
      </w:r>
      <w:r w:rsidRPr="00A33E06">
        <w:rPr>
          <w:rFonts w:eastAsia="Times New Roman" w:cs="Calibri"/>
          <w:b/>
          <w:bCs/>
          <w:color w:val="000000"/>
          <w:kern w:val="24"/>
          <w:lang w:eastAsia="hr-HR"/>
        </w:rPr>
        <w:t xml:space="preserve"> </w:t>
      </w:r>
      <w:r w:rsidRPr="00A33E06">
        <w:rPr>
          <w:rFonts w:cs="Calibri"/>
        </w:rPr>
        <w:t>U smislu upravljanja prostornim podacima, razvojna je snaga kvalitetna geoinformacijska infrastruktura gradske uprave (korištenje GIS i drugih suvremenih alata, te postojanje ZIPP-a).</w:t>
      </w:r>
    </w:p>
    <w:p w14:paraId="0D4F1DAA" w14:textId="4B533456" w:rsidR="00C5315F" w:rsidRPr="00A33E06" w:rsidRDefault="00C5315F" w:rsidP="00C5315F">
      <w:pPr>
        <w:spacing w:line="240" w:lineRule="auto"/>
        <w:jc w:val="both"/>
        <w:rPr>
          <w:rFonts w:cs="Calibri"/>
        </w:rPr>
      </w:pPr>
      <w:r w:rsidRPr="00A33E06">
        <w:rPr>
          <w:rFonts w:eastAsia="Times New Roman" w:cs="Calibri"/>
          <w:b/>
          <w:bCs/>
          <w:color w:val="000000"/>
          <w:kern w:val="24"/>
          <w:u w:val="single"/>
          <w:lang w:eastAsia="hr-HR"/>
        </w:rPr>
        <w:t>Slabosti</w:t>
      </w:r>
      <w:r w:rsidRPr="00A33E06">
        <w:rPr>
          <w:rFonts w:cs="Calibri"/>
        </w:rPr>
        <w:br/>
        <w:t>Slabosti prometne i komunalne infrastrukture odnose se prvenstveno na djelomičnu nepokrivenost rubnih gradskim područjima komunalnom infrastrukturom, nedovoljno korištenje željezničkog</w:t>
      </w:r>
      <w:r>
        <w:rPr>
          <w:rFonts w:cs="Calibri"/>
        </w:rPr>
        <w:t xml:space="preserve"> putničkog prijevoza te</w:t>
      </w:r>
      <w:r w:rsidRPr="00A33E06">
        <w:rPr>
          <w:rFonts w:cs="Calibri"/>
        </w:rPr>
        <w:t xml:space="preserve"> P&amp;R i B&amp;R </w:t>
      </w:r>
      <w:r>
        <w:rPr>
          <w:rFonts w:cs="Calibri"/>
        </w:rPr>
        <w:t>usluga parkiranja</w:t>
      </w:r>
      <w:r w:rsidRPr="00A33E06">
        <w:rPr>
          <w:rFonts w:cs="Calibri"/>
        </w:rPr>
        <w:t>, prometnu zagušenost određenih područja, nepostojanje integriranog sustava javnog putničkog prijevoza Zagreba i okolice te djelomično zastarjelu mrežu komunalne infrastrukture (veliki gubici vode, troškovi održavanja), nerazvijena komunikacijs</w:t>
      </w:r>
      <w:r>
        <w:rPr>
          <w:rFonts w:cs="Calibri"/>
        </w:rPr>
        <w:t xml:space="preserve">ka mreža optičkih kabela i dr. </w:t>
      </w:r>
      <w:r w:rsidRPr="00A33E06">
        <w:rPr>
          <w:rFonts w:cs="Calibri"/>
        </w:rPr>
        <w:t>Također, istodobno uz identificiranje kulturne baštine kao vrijednog resursa za razvoj, kroz analizu je utvrđen niz problema u tom području, poput lošeg stanja pročelja, lošeg stanja unutrašnjosti donjogradskih blokova te općenito nedovoljno održavanje graditeljske baštine, posebice povijesne jezgre grada</w:t>
      </w:r>
      <w:r w:rsidR="000A7030">
        <w:rPr>
          <w:rFonts w:cs="Calibri"/>
        </w:rPr>
        <w:t>, koja je i najviše stradala u potresu 22. ožujka 2020.</w:t>
      </w:r>
      <w:r w:rsidRPr="00A33E06">
        <w:rPr>
          <w:rFonts w:cs="Calibri"/>
        </w:rPr>
        <w:t>. U području prostornog planiranja kao ključni problemi istaknuti su dokumenti prostornog uređenja neutemeljeni na stvarnim potrebama društva (dimenzioniranje stambenih zona i sl.), kompliciran i dugotrajan postupak utvrđivanja dokumenata, te „preskočena”, nezadovoljavajuće urbanistički uređena gradska područja. Kod realizacije kao jedan od većih problema na područnoj (regionalnoj) ali i državnoj razini ističu se poteškoće u rješavanju složenih imovinsko-pravnih odnosa koje direktno</w:t>
      </w:r>
      <w:r>
        <w:rPr>
          <w:rFonts w:cs="Calibri"/>
        </w:rPr>
        <w:t xml:space="preserve"> </w:t>
      </w:r>
      <w:r w:rsidRPr="00A33E06">
        <w:rPr>
          <w:rFonts w:cs="Calibri"/>
        </w:rPr>
        <w:t>onemogućavaju racionalno iskorištavanje resursa.</w:t>
      </w:r>
    </w:p>
    <w:p w14:paraId="2F31B004" w14:textId="77777777" w:rsidR="00C5315F" w:rsidRPr="00A33E06" w:rsidRDefault="00C5315F" w:rsidP="00C5315F">
      <w:pPr>
        <w:spacing w:after="0" w:line="240" w:lineRule="auto"/>
        <w:contextualSpacing/>
        <w:jc w:val="both"/>
        <w:textAlignment w:val="baseline"/>
        <w:rPr>
          <w:rFonts w:eastAsia="Times New Roman" w:cs="Calibri"/>
          <w:b/>
          <w:bCs/>
          <w:color w:val="000000"/>
          <w:kern w:val="24"/>
          <w:u w:val="single"/>
          <w:lang w:eastAsia="hr-HR"/>
        </w:rPr>
      </w:pPr>
      <w:r w:rsidRPr="00A33E06">
        <w:rPr>
          <w:rFonts w:eastAsia="Times New Roman" w:cs="Calibri"/>
          <w:b/>
          <w:bCs/>
          <w:color w:val="000000"/>
          <w:kern w:val="24"/>
          <w:u w:val="single"/>
          <w:lang w:eastAsia="hr-HR"/>
        </w:rPr>
        <w:t>Prilike</w:t>
      </w:r>
    </w:p>
    <w:p w14:paraId="203A5834" w14:textId="77777777" w:rsidR="00C5315F" w:rsidRPr="00A33E06" w:rsidRDefault="00C5315F" w:rsidP="00C5315F">
      <w:pPr>
        <w:spacing w:line="240" w:lineRule="auto"/>
        <w:jc w:val="both"/>
        <w:rPr>
          <w:rFonts w:cs="Calibri"/>
        </w:rPr>
      </w:pPr>
      <w:r w:rsidRPr="00A33E06">
        <w:rPr>
          <w:rFonts w:cs="Calibri"/>
        </w:rPr>
        <w:t>Iskorištavanje geoprometnog i geopolitičkog položaja kao razvojnog resursa za utjecat će i na razvoj gospodarstva ali i na unapređivanje prostornih kvaliteta i funkcija Grada. Značajno unapređenje za prometni sektor donijeti će priprema i implementacija planova za razvoj integriranoga javnog prijevoza Grada Zagreba, Zagrebačke i Krapinsko-zagorske županije. S planerskog stajališta, razvoj sustava upravljanja strateškim gradskim projektima te uvođenje analitičkih podloga i modernih alata u sustav donošenja odluka o prostoru grada unaprijedit će prostorni razvoj Grada. Prilika za korištenje prostornih resursa ruralnog područja leži u razvijanju i povezivanju poljoprivrednih, ekoloških, krajobraznih i turističkih potencijala. Revitalizacija vrijednih građevina industrijske arhitekture i njihovo uključivanje u kulturnu i turističku ponudu grada putem EU fondova prilika je za osnaživanje identiteta Grada na lokalnoj, regionalnoj, nacionalnoj i globalnoj razini.</w:t>
      </w:r>
    </w:p>
    <w:p w14:paraId="7956990E" w14:textId="77777777" w:rsidR="00C5315F" w:rsidRPr="00A33E06" w:rsidRDefault="00C5315F" w:rsidP="00C5315F">
      <w:pPr>
        <w:spacing w:after="0" w:line="240" w:lineRule="auto"/>
        <w:contextualSpacing/>
        <w:jc w:val="both"/>
        <w:textAlignment w:val="baseline"/>
        <w:rPr>
          <w:rFonts w:eastAsia="Times New Roman" w:cs="Calibri"/>
          <w:b/>
          <w:bCs/>
          <w:color w:val="000000"/>
          <w:kern w:val="24"/>
          <w:u w:val="single"/>
          <w:lang w:eastAsia="hr-HR"/>
        </w:rPr>
      </w:pPr>
      <w:r w:rsidRPr="00A33E06">
        <w:rPr>
          <w:rFonts w:eastAsia="Times New Roman" w:cs="Calibri"/>
          <w:b/>
          <w:bCs/>
          <w:color w:val="000000"/>
          <w:kern w:val="24"/>
          <w:u w:val="single"/>
          <w:lang w:eastAsia="hr-HR"/>
        </w:rPr>
        <w:t xml:space="preserve">Prijetnje </w:t>
      </w:r>
    </w:p>
    <w:p w14:paraId="0A3AA9F2" w14:textId="72FA85F7" w:rsidR="00C5315F" w:rsidRDefault="00C5315F" w:rsidP="00C5315F">
      <w:pPr>
        <w:spacing w:line="240" w:lineRule="auto"/>
        <w:jc w:val="both"/>
        <w:rPr>
          <w:rFonts w:cs="Calibri"/>
        </w:rPr>
      </w:pPr>
      <w:r w:rsidRPr="00A33E06">
        <w:rPr>
          <w:rFonts w:cs="Calibri"/>
        </w:rPr>
        <w:t xml:space="preserve">Gubitak identiteta povijesnih naselja, prenamjena šuma i poljoprivrednog </w:t>
      </w:r>
      <w:r>
        <w:rPr>
          <w:rFonts w:cs="Calibri"/>
        </w:rPr>
        <w:t>i parkovnog prostora</w:t>
      </w:r>
      <w:r w:rsidRPr="00A33E06">
        <w:rPr>
          <w:rFonts w:cs="Calibri"/>
        </w:rPr>
        <w:t xml:space="preserve"> u privatnom vlasništvu te općenito pritisci za prenamjenu poljoprivrednog prostora identificirani su kao glavne prijetnje. Širenje grada na neizgrađena područja, bez urbanističke i ekonomske opravdanosti također je prijetnja čiju potvrdu su dali rezultati Osnovne analize (u urbanom području Grada Zagreba u razdoblju od 1986. do 2011. broj stanovnika porastao je za 5 %, dok se površina koja se koristi za stambene i mješovite funkcije povećala za 33%. Pri tome su površine za gradnju dobivena nastale najvećim dijelom prenamjenom postojećih neizgrađenih zelenih područja (83%), a tek manjim dijelom prenamjenom drugih načina korištenja prostora (17%).</w:t>
      </w:r>
    </w:p>
    <w:p w14:paraId="5CFC02D6" w14:textId="043255EC" w:rsidR="00034784" w:rsidRPr="00BD5055" w:rsidRDefault="00034784" w:rsidP="00BD5055">
      <w:pPr>
        <w:pStyle w:val="Stil2"/>
      </w:pPr>
      <w:bookmarkStart w:id="173" w:name="_Toc97123876"/>
      <w:r w:rsidRPr="00BD5055">
        <w:t>SWOT – Okoliš</w:t>
      </w:r>
      <w:bookmarkEnd w:id="173"/>
      <w:r w:rsidRPr="00BD505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34784" w14:paraId="2886CEB5" w14:textId="77777777" w:rsidTr="001378AF">
        <w:trPr>
          <w:trHeight w:val="602"/>
        </w:trPr>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05A3A2" w14:textId="77777777" w:rsidR="00034784" w:rsidRDefault="00034784" w:rsidP="001378AF">
            <w:pPr>
              <w:jc w:val="center"/>
              <w:rPr>
                <w:rFonts w:cs="Calibri"/>
                <w:b/>
                <w:bCs/>
              </w:rPr>
            </w:pPr>
            <w:r>
              <w:rPr>
                <w:rFonts w:cs="Calibri"/>
                <w:b/>
                <w:bCs/>
              </w:rPr>
              <w:t>Snage (S)</w:t>
            </w:r>
          </w:p>
        </w:tc>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635A2A" w14:textId="77777777" w:rsidR="00034784" w:rsidRDefault="00034784" w:rsidP="001378AF">
            <w:pPr>
              <w:jc w:val="center"/>
              <w:rPr>
                <w:rFonts w:cs="Calibri"/>
                <w:b/>
                <w:bCs/>
              </w:rPr>
            </w:pPr>
            <w:r>
              <w:rPr>
                <w:rFonts w:cs="Calibri"/>
                <w:b/>
                <w:bCs/>
              </w:rPr>
              <w:t>Slabosti (W)</w:t>
            </w:r>
          </w:p>
        </w:tc>
      </w:tr>
      <w:tr w:rsidR="00034784" w14:paraId="70FD9F22" w14:textId="77777777" w:rsidTr="00072476">
        <w:trPr>
          <w:trHeight w:val="4670"/>
        </w:trPr>
        <w:tc>
          <w:tcPr>
            <w:tcW w:w="4428" w:type="dxa"/>
            <w:tcBorders>
              <w:top w:val="single" w:sz="4" w:space="0" w:color="auto"/>
              <w:left w:val="single" w:sz="4" w:space="0" w:color="auto"/>
              <w:bottom w:val="single" w:sz="4" w:space="0" w:color="auto"/>
              <w:right w:val="single" w:sz="4" w:space="0" w:color="auto"/>
            </w:tcBorders>
          </w:tcPr>
          <w:p w14:paraId="7D12E060" w14:textId="6A42A0A6" w:rsidR="00034784" w:rsidRPr="009D67FC" w:rsidRDefault="00034784" w:rsidP="00072476">
            <w:pPr>
              <w:spacing w:after="0" w:line="240" w:lineRule="auto"/>
              <w:rPr>
                <w:rFonts w:cs="Calibri"/>
              </w:rPr>
            </w:pPr>
            <w:r w:rsidRPr="009D67FC">
              <w:rPr>
                <w:rFonts w:cs="Calibri"/>
              </w:rPr>
              <w:t>- zastupljenost prirodnih i krajobraznih vrijednosti: Park prirode Medvednica, aluvijalna ravnica Save, Vukomeričke gorice, park-šume urbanog područja Grada</w:t>
            </w:r>
          </w:p>
          <w:p w14:paraId="5836BFC8" w14:textId="1919EA8E" w:rsidR="00034784" w:rsidRPr="009D67FC" w:rsidRDefault="00034784" w:rsidP="00072476">
            <w:pPr>
              <w:spacing w:after="0" w:line="240" w:lineRule="auto"/>
              <w:rPr>
                <w:rFonts w:cs="Calibri"/>
              </w:rPr>
            </w:pPr>
            <w:r w:rsidRPr="009D67FC">
              <w:rPr>
                <w:rFonts w:cs="Calibri"/>
              </w:rPr>
              <w:t>- relativno dobri pokazatelji kvalitete pojedinih sastavnica</w:t>
            </w:r>
            <w:r w:rsidR="00232168">
              <w:rPr>
                <w:rFonts w:cs="Calibri"/>
              </w:rPr>
              <w:t xml:space="preserve"> okoliša</w:t>
            </w:r>
            <w:r w:rsidRPr="009D67FC">
              <w:rPr>
                <w:rFonts w:cs="Calibri"/>
              </w:rPr>
              <w:t xml:space="preserve"> </w:t>
            </w:r>
          </w:p>
          <w:p w14:paraId="47682DB4" w14:textId="77777777" w:rsidR="00034784" w:rsidRPr="009D67FC" w:rsidRDefault="00034784" w:rsidP="00072476">
            <w:pPr>
              <w:spacing w:after="0" w:line="240" w:lineRule="auto"/>
              <w:rPr>
                <w:rFonts w:cs="Calibri"/>
              </w:rPr>
            </w:pPr>
            <w:r w:rsidRPr="009D67FC">
              <w:rPr>
                <w:rFonts w:cs="Calibri"/>
              </w:rPr>
              <w:t>- uspostavljen sustav zaštite i očuvanja prirodne i kulturne baštine</w:t>
            </w:r>
          </w:p>
          <w:p w14:paraId="02AE2843" w14:textId="77777777" w:rsidR="00034784" w:rsidRPr="009D67FC" w:rsidRDefault="00034784" w:rsidP="00072476">
            <w:pPr>
              <w:spacing w:after="0" w:line="240" w:lineRule="auto"/>
              <w:rPr>
                <w:rFonts w:cs="Calibri"/>
              </w:rPr>
            </w:pPr>
            <w:r w:rsidRPr="009D67FC">
              <w:rPr>
                <w:rFonts w:cs="Calibri"/>
              </w:rPr>
              <w:t>- tradicija brige za okoliš</w:t>
            </w:r>
          </w:p>
          <w:p w14:paraId="6E4B4BF5" w14:textId="77777777" w:rsidR="00034784" w:rsidRPr="009D67FC" w:rsidRDefault="00034784" w:rsidP="00072476">
            <w:pPr>
              <w:spacing w:after="0" w:line="240" w:lineRule="auto"/>
              <w:rPr>
                <w:rFonts w:cs="Calibri"/>
              </w:rPr>
            </w:pPr>
            <w:r w:rsidRPr="009D67FC">
              <w:rPr>
                <w:rFonts w:cs="Calibri"/>
              </w:rPr>
              <w:t>- znatna izgrađenost pouzdanog i sigurnog plinskog distribucijskog sustava</w:t>
            </w:r>
            <w:r>
              <w:rPr>
                <w:rFonts w:cs="Calibri"/>
              </w:rPr>
              <w:t xml:space="preserve"> kao osnove za dugoročnu pretvorbu sustava za prijenos obnovljivih plinova</w:t>
            </w:r>
          </w:p>
        </w:tc>
        <w:tc>
          <w:tcPr>
            <w:tcW w:w="4428" w:type="dxa"/>
            <w:tcBorders>
              <w:top w:val="single" w:sz="4" w:space="0" w:color="auto"/>
              <w:left w:val="single" w:sz="4" w:space="0" w:color="auto"/>
              <w:bottom w:val="single" w:sz="4" w:space="0" w:color="auto"/>
              <w:right w:val="single" w:sz="4" w:space="0" w:color="auto"/>
            </w:tcBorders>
          </w:tcPr>
          <w:p w14:paraId="59ADE9FE" w14:textId="77777777" w:rsidR="00034784" w:rsidRPr="009D67FC" w:rsidRDefault="00034784" w:rsidP="00072476">
            <w:pPr>
              <w:spacing w:after="0" w:line="240" w:lineRule="auto"/>
              <w:rPr>
                <w:rFonts w:cs="Calibri"/>
              </w:rPr>
            </w:pPr>
            <w:r w:rsidRPr="009D67FC">
              <w:rPr>
                <w:rFonts w:cs="Calibri"/>
              </w:rPr>
              <w:t>- divlja odlagališta otpada</w:t>
            </w:r>
          </w:p>
          <w:p w14:paraId="7FF6AD15" w14:textId="77777777" w:rsidR="00034784" w:rsidRPr="009D67FC" w:rsidRDefault="00034784" w:rsidP="00072476">
            <w:pPr>
              <w:spacing w:after="0" w:line="240" w:lineRule="auto"/>
              <w:rPr>
                <w:rFonts w:cs="Calibri"/>
              </w:rPr>
            </w:pPr>
            <w:r w:rsidRPr="009D67FC">
              <w:rPr>
                <w:rFonts w:cs="Calibri"/>
              </w:rPr>
              <w:t xml:space="preserve">- necjelovit sustav gospodarenja otpadom </w:t>
            </w:r>
            <w:r w:rsidRPr="009D67FC">
              <w:rPr>
                <w:rFonts w:cs="Calibri"/>
              </w:rPr>
              <w:br/>
              <w:t>- nedovoljan udio korištenja obnovljivih izvora energije</w:t>
            </w:r>
          </w:p>
          <w:p w14:paraId="355AE97A" w14:textId="574A8F87" w:rsidR="00034784" w:rsidRDefault="00034784" w:rsidP="00072476">
            <w:pPr>
              <w:spacing w:after="0" w:line="240" w:lineRule="auto"/>
              <w:rPr>
                <w:rFonts w:cs="Calibri"/>
              </w:rPr>
            </w:pPr>
            <w:r w:rsidRPr="009D67FC">
              <w:rPr>
                <w:rFonts w:cs="Calibri"/>
              </w:rPr>
              <w:t>- nedovoljna svijest javnosti o potrebi brige za okoliš</w:t>
            </w:r>
          </w:p>
          <w:p w14:paraId="627104A9" w14:textId="34ABF0A3" w:rsidR="00A45A76" w:rsidRPr="009D67FC" w:rsidRDefault="00A45A76" w:rsidP="00072476">
            <w:pPr>
              <w:spacing w:after="0" w:line="240" w:lineRule="auto"/>
              <w:rPr>
                <w:rFonts w:cs="Calibri"/>
              </w:rPr>
            </w:pPr>
            <w:r>
              <w:rPr>
                <w:rFonts w:cs="Calibri"/>
              </w:rPr>
              <w:t xml:space="preserve">- </w:t>
            </w:r>
            <w:r w:rsidRPr="00A45A76">
              <w:rPr>
                <w:rFonts w:cs="Calibri"/>
              </w:rPr>
              <w:t>ugroženost podzemnih voda</w:t>
            </w:r>
          </w:p>
          <w:p w14:paraId="7BBBC80E" w14:textId="77777777" w:rsidR="00034784" w:rsidRPr="009D67FC" w:rsidRDefault="00034784" w:rsidP="00072476">
            <w:pPr>
              <w:spacing w:after="0" w:line="240" w:lineRule="auto"/>
              <w:rPr>
                <w:rFonts w:cs="Calibri"/>
              </w:rPr>
            </w:pPr>
            <w:r w:rsidRPr="009D67FC">
              <w:rPr>
                <w:rFonts w:cs="Calibri"/>
              </w:rPr>
              <w:t>- nedovoljno energetski učinkovit građevinski fond</w:t>
            </w:r>
          </w:p>
          <w:p w14:paraId="6DF6C003" w14:textId="77777777" w:rsidR="00034784" w:rsidRPr="009D67FC" w:rsidRDefault="00034784" w:rsidP="00072476">
            <w:pPr>
              <w:spacing w:after="0" w:line="240" w:lineRule="auto"/>
              <w:rPr>
                <w:rFonts w:cs="Calibri"/>
              </w:rPr>
            </w:pPr>
            <w:r w:rsidRPr="009D67FC">
              <w:rPr>
                <w:rFonts w:cs="Calibri"/>
              </w:rPr>
              <w:t xml:space="preserve">- nedovoljno korištenje vrijednosti kulturne baštine i prirodnih resursa za održivi razvoj </w:t>
            </w:r>
          </w:p>
          <w:p w14:paraId="2E3127E8" w14:textId="77777777" w:rsidR="00034784" w:rsidRPr="009D67FC" w:rsidRDefault="00034784" w:rsidP="00072476">
            <w:pPr>
              <w:spacing w:after="0" w:line="240" w:lineRule="auto"/>
              <w:rPr>
                <w:rFonts w:cs="Calibri"/>
              </w:rPr>
            </w:pPr>
            <w:r w:rsidRPr="009D67FC">
              <w:rPr>
                <w:rFonts w:cs="Calibri"/>
              </w:rPr>
              <w:t>- nedovoljno iskorišteni geotermalni izvori</w:t>
            </w:r>
          </w:p>
          <w:p w14:paraId="2ED4A9A7" w14:textId="1F20438B" w:rsidR="00034784" w:rsidRDefault="00034784" w:rsidP="00072476">
            <w:pPr>
              <w:spacing w:after="0" w:line="240" w:lineRule="auto"/>
              <w:rPr>
                <w:rFonts w:cs="Calibri"/>
              </w:rPr>
            </w:pPr>
            <w:r w:rsidRPr="009D67FC">
              <w:rPr>
                <w:rFonts w:cs="Calibri"/>
              </w:rPr>
              <w:t>- nedovoljno pridavanje značaja konceptu kružnog gospodarstva</w:t>
            </w:r>
          </w:p>
          <w:sdt>
            <w:sdtPr>
              <w:rPr>
                <w:rFonts w:ascii="Calibri" w:eastAsia="Calibri" w:hAnsi="Calibri" w:cs="Calibri"/>
                <w:lang w:eastAsia="hr-HR"/>
              </w:rPr>
              <w:tag w:val="goog_rdk_99"/>
              <w:id w:val="1174533002"/>
            </w:sdtPr>
            <w:sdtEndPr/>
            <w:sdtContent>
              <w:p w14:paraId="336607D4" w14:textId="77777777" w:rsidR="007A615E" w:rsidRPr="007A615E" w:rsidRDefault="00751C19" w:rsidP="007A615E">
                <w:pPr>
                  <w:spacing w:after="0" w:line="240" w:lineRule="auto"/>
                  <w:rPr>
                    <w:rFonts w:ascii="Calibri" w:eastAsia="Calibri" w:hAnsi="Calibri" w:cs="Calibri"/>
                    <w:lang w:eastAsia="hr-HR"/>
                  </w:rPr>
                </w:pPr>
                <w:sdt>
                  <w:sdtPr>
                    <w:rPr>
                      <w:rFonts w:ascii="Calibri" w:eastAsia="Calibri" w:hAnsi="Calibri" w:cs="Calibri"/>
                      <w:lang w:eastAsia="hr-HR"/>
                    </w:rPr>
                    <w:tag w:val="goog_rdk_98"/>
                    <w:id w:val="-619068912"/>
                  </w:sdtPr>
                  <w:sdtEndPr/>
                  <w:sdtContent>
                    <w:r w:rsidR="007A615E" w:rsidRPr="007A615E">
                      <w:rPr>
                        <w:rFonts w:ascii="Calibri" w:eastAsia="Calibri" w:hAnsi="Calibri" w:cs="Calibri"/>
                        <w:lang w:eastAsia="hr-HR"/>
                      </w:rPr>
                      <w:t>- loša kvaliteta zraka</w:t>
                    </w:r>
                  </w:sdtContent>
                </w:sdt>
              </w:p>
            </w:sdtContent>
          </w:sdt>
          <w:p w14:paraId="00AA91C3" w14:textId="3DC37559" w:rsidR="00481A48" w:rsidRDefault="00751C19" w:rsidP="00481A48">
            <w:pPr>
              <w:spacing w:after="0" w:line="240" w:lineRule="auto"/>
              <w:rPr>
                <w:rFonts w:cs="Calibri"/>
              </w:rPr>
            </w:pPr>
            <w:sdt>
              <w:sdtPr>
                <w:rPr>
                  <w:rFonts w:ascii="Calibri" w:eastAsia="Calibri" w:hAnsi="Calibri" w:cs="Calibri"/>
                  <w:lang w:eastAsia="hr-HR"/>
                </w:rPr>
                <w:tag w:val="goog_rdk_100"/>
                <w:id w:val="1465009935"/>
              </w:sdtPr>
              <w:sdtEndPr/>
              <w:sdtContent>
                <w:r w:rsidR="007A615E" w:rsidRPr="007A615E">
                  <w:rPr>
                    <w:rFonts w:ascii="Calibri" w:eastAsia="Calibri" w:hAnsi="Calibri" w:cs="Calibri"/>
                    <w:lang w:eastAsia="hr-HR"/>
                  </w:rPr>
                  <w:t>- nespremnost za niskougljičnu tranziciju u sektoru grijanja</w:t>
                </w:r>
              </w:sdtContent>
            </w:sdt>
            <w:r w:rsidR="00481A48">
              <w:rPr>
                <w:rFonts w:cs="Calibri"/>
              </w:rPr>
              <w:t>- nespremnost na izgledno značajno povećanje cijena energije u bližoj budućnosti</w:t>
            </w:r>
          </w:p>
          <w:p w14:paraId="4B07A06B" w14:textId="4669B504" w:rsidR="00232168" w:rsidRPr="007A615E" w:rsidRDefault="00232168" w:rsidP="007A615E">
            <w:pPr>
              <w:spacing w:after="0" w:line="240" w:lineRule="auto"/>
              <w:rPr>
                <w:rFonts w:ascii="Calibri" w:eastAsia="Calibri" w:hAnsi="Calibri" w:cs="Calibri"/>
                <w:lang w:eastAsia="hr-HR"/>
              </w:rPr>
            </w:pPr>
            <w:r>
              <w:rPr>
                <w:rFonts w:ascii="Calibri" w:eastAsia="Calibri" w:hAnsi="Calibri" w:cs="Calibri"/>
                <w:lang w:eastAsia="hr-HR"/>
              </w:rPr>
              <w:t>- nedovoljna</w:t>
            </w:r>
            <w:r w:rsidRPr="00232168">
              <w:rPr>
                <w:rFonts w:ascii="Calibri" w:eastAsia="Calibri" w:hAnsi="Calibri" w:cs="Calibri"/>
                <w:lang w:eastAsia="hr-HR"/>
              </w:rPr>
              <w:t xml:space="preserve"> suradnja sa susjednim županijama u zaštiti okoliša i prirodnih vrijednosti</w:t>
            </w:r>
          </w:p>
          <w:p w14:paraId="2F7D3240" w14:textId="77777777" w:rsidR="00034784" w:rsidRPr="009D67FC" w:rsidRDefault="00034784" w:rsidP="00AF0864">
            <w:pPr>
              <w:spacing w:after="0" w:line="240" w:lineRule="auto"/>
              <w:rPr>
                <w:rFonts w:cs="Calibri"/>
              </w:rPr>
            </w:pPr>
          </w:p>
        </w:tc>
      </w:tr>
      <w:tr w:rsidR="00034784" w14:paraId="46592600" w14:textId="77777777" w:rsidTr="001378AF">
        <w:trPr>
          <w:trHeight w:val="422"/>
        </w:trPr>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ECC0B" w14:textId="77777777" w:rsidR="00034784" w:rsidRDefault="00034784" w:rsidP="001378AF">
            <w:pPr>
              <w:jc w:val="center"/>
              <w:rPr>
                <w:rFonts w:cs="Calibri"/>
                <w:b/>
                <w:bCs/>
              </w:rPr>
            </w:pPr>
            <w:r>
              <w:rPr>
                <w:rFonts w:cs="Calibri"/>
                <w:b/>
                <w:bCs/>
              </w:rPr>
              <w:t>Prilike (O)</w:t>
            </w:r>
          </w:p>
        </w:tc>
        <w:tc>
          <w:tcPr>
            <w:tcW w:w="44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476A307" w14:textId="77777777" w:rsidR="00034784" w:rsidRDefault="00034784" w:rsidP="001378AF">
            <w:pPr>
              <w:jc w:val="center"/>
              <w:rPr>
                <w:rFonts w:cs="Calibri"/>
                <w:b/>
                <w:bCs/>
              </w:rPr>
            </w:pPr>
            <w:r>
              <w:rPr>
                <w:rFonts w:cs="Calibri"/>
                <w:b/>
                <w:bCs/>
              </w:rPr>
              <w:t>Prijetnje (T)</w:t>
            </w:r>
          </w:p>
        </w:tc>
      </w:tr>
      <w:tr w:rsidR="00034784" w14:paraId="7F4090C8" w14:textId="77777777" w:rsidTr="00072476">
        <w:trPr>
          <w:trHeight w:val="4670"/>
        </w:trPr>
        <w:tc>
          <w:tcPr>
            <w:tcW w:w="4428" w:type="dxa"/>
            <w:tcBorders>
              <w:top w:val="single" w:sz="4" w:space="0" w:color="auto"/>
              <w:left w:val="single" w:sz="4" w:space="0" w:color="auto"/>
              <w:bottom w:val="single" w:sz="4" w:space="0" w:color="auto"/>
              <w:right w:val="single" w:sz="4" w:space="0" w:color="auto"/>
            </w:tcBorders>
          </w:tcPr>
          <w:p w14:paraId="135F55D5" w14:textId="46A97E2D" w:rsidR="0057633F" w:rsidRDefault="00784641" w:rsidP="00784641">
            <w:pPr>
              <w:spacing w:after="0" w:line="240" w:lineRule="auto"/>
              <w:rPr>
                <w:rFonts w:cs="Calibri"/>
              </w:rPr>
            </w:pPr>
            <w:r>
              <w:rPr>
                <w:rFonts w:cs="Calibri"/>
              </w:rPr>
              <w:t>-</w:t>
            </w:r>
            <w:r w:rsidR="0057633F">
              <w:t xml:space="preserve"> </w:t>
            </w:r>
            <w:r w:rsidR="0057633F" w:rsidRPr="0057633F">
              <w:rPr>
                <w:rFonts w:cs="Calibri"/>
              </w:rPr>
              <w:t>znatna prostorna zastupljenost prirodnih i krajobraznih vrijednosti</w:t>
            </w:r>
          </w:p>
          <w:p w14:paraId="16932F27" w14:textId="398058B0" w:rsidR="00784641" w:rsidRDefault="00784641" w:rsidP="00784641">
            <w:pPr>
              <w:spacing w:after="0" w:line="240" w:lineRule="auto"/>
              <w:rPr>
                <w:rFonts w:cs="Calibri"/>
              </w:rPr>
            </w:pPr>
            <w:r>
              <w:rPr>
                <w:rFonts w:cs="Calibri"/>
              </w:rPr>
              <w:t xml:space="preserve"> </w:t>
            </w:r>
            <w:r w:rsidR="0057633F">
              <w:rPr>
                <w:rFonts w:cs="Calibri"/>
              </w:rPr>
              <w:t xml:space="preserve">- </w:t>
            </w:r>
            <w:r w:rsidRPr="00784641">
              <w:rPr>
                <w:rFonts w:cs="Calibri"/>
              </w:rPr>
              <w:t>raznovrsnost i očuvanost prirodnih resursa: savski vodonosnik, šume, poljoprivredno tlo</w:t>
            </w:r>
          </w:p>
          <w:p w14:paraId="0BD7208C" w14:textId="76C35C2F" w:rsidR="0057633F" w:rsidRPr="00784641" w:rsidRDefault="0057633F" w:rsidP="00784641">
            <w:pPr>
              <w:spacing w:after="0" w:line="240" w:lineRule="auto"/>
              <w:rPr>
                <w:rFonts w:cs="Calibri"/>
              </w:rPr>
            </w:pPr>
            <w:r>
              <w:rPr>
                <w:rFonts w:cs="Calibri"/>
              </w:rPr>
              <w:t xml:space="preserve">- </w:t>
            </w:r>
            <w:r w:rsidRPr="0057633F">
              <w:rPr>
                <w:rFonts w:cs="Calibri"/>
              </w:rPr>
              <w:t>relativno dobri pokazatelji kvalitete okoliša, u cjelini i pojedinih sastavnica</w:t>
            </w:r>
          </w:p>
          <w:p w14:paraId="562B2493" w14:textId="2784A278" w:rsidR="00784641" w:rsidRDefault="00784641" w:rsidP="00784641">
            <w:pPr>
              <w:spacing w:after="0" w:line="240" w:lineRule="auto"/>
              <w:rPr>
                <w:rFonts w:cs="Calibri"/>
              </w:rPr>
            </w:pPr>
            <w:r w:rsidRPr="00784641">
              <w:rPr>
                <w:rFonts w:cs="Calibri"/>
              </w:rPr>
              <w:t>- izuzetno povoljni uvjeti za iskorištavanje geotermalne energije akumulirane u podzemlju Panonskog bazena koji ima za čak 60% viši geotermalni gradijent od europskog prosjeka</w:t>
            </w:r>
          </w:p>
          <w:p w14:paraId="65139B66" w14:textId="0E79A808" w:rsidR="00034784" w:rsidRPr="009D67FC" w:rsidRDefault="00034784" w:rsidP="00072476">
            <w:pPr>
              <w:spacing w:after="0" w:line="240" w:lineRule="auto"/>
              <w:rPr>
                <w:rFonts w:cs="Calibri"/>
              </w:rPr>
            </w:pPr>
            <w:r w:rsidRPr="009D67FC">
              <w:rPr>
                <w:rFonts w:cs="Calibri"/>
              </w:rPr>
              <w:t xml:space="preserve">- </w:t>
            </w:r>
          </w:p>
          <w:p w14:paraId="3C3D8A3F" w14:textId="7886AEBB" w:rsidR="00034784" w:rsidRPr="009D67FC" w:rsidRDefault="00034784" w:rsidP="00784641">
            <w:pPr>
              <w:spacing w:after="0" w:line="240" w:lineRule="auto"/>
              <w:rPr>
                <w:rFonts w:cs="Calibri"/>
              </w:rPr>
            </w:pPr>
            <w:r w:rsidRPr="009D67FC">
              <w:rPr>
                <w:rFonts w:cs="Calibri"/>
              </w:rPr>
              <w:t>- maksimalno iskorištavanje mogućnosti financiranja zelenih aktivnosti putem ESI fondova i ostalih mehanizama Zelenog plana za Europu</w:t>
            </w:r>
          </w:p>
          <w:p w14:paraId="2AB6C611" w14:textId="71A1C16D" w:rsidR="00784641" w:rsidRPr="009D67FC" w:rsidRDefault="00034784" w:rsidP="00072476">
            <w:pPr>
              <w:spacing w:after="0" w:line="240" w:lineRule="auto"/>
              <w:rPr>
                <w:rFonts w:cs="Calibri"/>
              </w:rPr>
            </w:pPr>
            <w:r w:rsidRPr="009D67FC">
              <w:rPr>
                <w:rFonts w:cs="Calibri"/>
              </w:rPr>
              <w:t xml:space="preserve">- </w:t>
            </w:r>
            <w:r w:rsidR="00784641">
              <w:rPr>
                <w:rFonts w:cs="Calibri"/>
              </w:rPr>
              <w:t xml:space="preserve"> trend rasta potražnje ekoloških poljoprivrednih proizvoda </w:t>
            </w:r>
          </w:p>
          <w:p w14:paraId="71687923" w14:textId="0973ADC3" w:rsidR="00034784" w:rsidRPr="009D67FC" w:rsidRDefault="00034784" w:rsidP="00072476">
            <w:pPr>
              <w:spacing w:after="0" w:line="240" w:lineRule="auto"/>
              <w:rPr>
                <w:rFonts w:cs="Calibri"/>
              </w:rPr>
            </w:pPr>
            <w:r w:rsidRPr="009D67FC">
              <w:rPr>
                <w:rFonts w:cs="Calibri"/>
              </w:rPr>
              <w:t xml:space="preserve">- </w:t>
            </w:r>
          </w:p>
          <w:p w14:paraId="4FFC2EF9" w14:textId="77777777" w:rsidR="00034784" w:rsidRPr="009D67FC" w:rsidRDefault="00034784" w:rsidP="00072476">
            <w:pPr>
              <w:spacing w:after="0" w:line="240" w:lineRule="auto"/>
              <w:rPr>
                <w:rFonts w:cs="Calibri"/>
              </w:rPr>
            </w:pPr>
            <w:r w:rsidRPr="009D67FC">
              <w:rPr>
                <w:rFonts w:cs="Calibri"/>
              </w:rPr>
              <w:t>- rastuća globalna svijest o zaštiti okoliša i prirode</w:t>
            </w:r>
          </w:p>
          <w:p w14:paraId="18A2D8A8" w14:textId="77777777" w:rsidR="00034784" w:rsidRPr="009D67FC" w:rsidRDefault="00034784" w:rsidP="00072476">
            <w:pPr>
              <w:spacing w:after="0" w:line="240" w:lineRule="auto"/>
              <w:rPr>
                <w:rFonts w:cs="Calibri"/>
              </w:rPr>
            </w:pPr>
            <w:r w:rsidRPr="009D67FC">
              <w:rPr>
                <w:rFonts w:cs="Calibri"/>
              </w:rPr>
              <w:t>- uključivanje u fondove potpore i proširivanje tržišta za ekološku proizvodnju, agroturizam, ruralni kulturni krajobraz i sl.</w:t>
            </w:r>
          </w:p>
          <w:p w14:paraId="2FC6C2E9" w14:textId="6586799E" w:rsidR="00034784" w:rsidRPr="009D67FC" w:rsidRDefault="00034784" w:rsidP="00072476">
            <w:pPr>
              <w:rPr>
                <w:rFonts w:cs="Calibri"/>
              </w:rPr>
            </w:pPr>
          </w:p>
        </w:tc>
        <w:tc>
          <w:tcPr>
            <w:tcW w:w="4428" w:type="dxa"/>
            <w:tcBorders>
              <w:top w:val="single" w:sz="4" w:space="0" w:color="auto"/>
              <w:left w:val="single" w:sz="4" w:space="0" w:color="auto"/>
              <w:bottom w:val="single" w:sz="4" w:space="0" w:color="auto"/>
              <w:right w:val="single" w:sz="4" w:space="0" w:color="auto"/>
            </w:tcBorders>
          </w:tcPr>
          <w:p w14:paraId="77301FE9" w14:textId="2793D20C" w:rsidR="00034784" w:rsidRDefault="00034784" w:rsidP="00072476">
            <w:pPr>
              <w:spacing w:after="0" w:line="240" w:lineRule="auto"/>
              <w:rPr>
                <w:rFonts w:cs="Calibri"/>
              </w:rPr>
            </w:pPr>
            <w:r>
              <w:rPr>
                <w:rFonts w:cs="Calibri"/>
              </w:rPr>
              <w:t xml:space="preserve">- ovisnost o uvozu energije  </w:t>
            </w:r>
          </w:p>
          <w:p w14:paraId="0C45217D" w14:textId="77777777" w:rsidR="00034784" w:rsidRPr="009D67FC" w:rsidRDefault="00034784" w:rsidP="00072476">
            <w:pPr>
              <w:spacing w:after="0" w:line="240" w:lineRule="auto"/>
              <w:rPr>
                <w:rFonts w:cs="Calibri"/>
              </w:rPr>
            </w:pPr>
            <w:r w:rsidRPr="009D67FC">
              <w:rPr>
                <w:rFonts w:cs="Calibri"/>
              </w:rPr>
              <w:t xml:space="preserve">- centralizacija </w:t>
            </w:r>
            <w:r>
              <w:rPr>
                <w:rFonts w:cs="Calibri"/>
              </w:rPr>
              <w:t xml:space="preserve">upravljačkih funkcija </w:t>
            </w:r>
            <w:r w:rsidRPr="009D67FC">
              <w:rPr>
                <w:rFonts w:cs="Calibri"/>
              </w:rPr>
              <w:t xml:space="preserve">na državnoj razini u </w:t>
            </w:r>
            <w:r>
              <w:rPr>
                <w:rFonts w:cs="Calibri"/>
              </w:rPr>
              <w:t xml:space="preserve">većini </w:t>
            </w:r>
            <w:r w:rsidRPr="009D67FC">
              <w:rPr>
                <w:rFonts w:cs="Calibri"/>
              </w:rPr>
              <w:t>sektor</w:t>
            </w:r>
            <w:r>
              <w:rPr>
                <w:rFonts w:cs="Calibri"/>
              </w:rPr>
              <w:t>a iz područja Okoliša</w:t>
            </w:r>
            <w:r w:rsidRPr="009D67FC">
              <w:rPr>
                <w:rFonts w:cs="Calibri"/>
              </w:rPr>
              <w:t xml:space="preserve"> (šume, poljoprivredno zemljište, vode) </w:t>
            </w:r>
          </w:p>
          <w:p w14:paraId="532264FE" w14:textId="77777777" w:rsidR="00034784" w:rsidRPr="009D67FC" w:rsidRDefault="00034784" w:rsidP="00072476">
            <w:pPr>
              <w:spacing w:after="0" w:line="240" w:lineRule="auto"/>
              <w:rPr>
                <w:rFonts w:cs="Calibri"/>
              </w:rPr>
            </w:pPr>
            <w:r w:rsidRPr="009D67FC">
              <w:rPr>
                <w:rFonts w:cs="Calibri"/>
              </w:rPr>
              <w:t>- sve veći negativni utjecaj klimatskih promjena</w:t>
            </w:r>
          </w:p>
          <w:p w14:paraId="69894108" w14:textId="77777777" w:rsidR="00034784" w:rsidRDefault="00034784" w:rsidP="00072476">
            <w:pPr>
              <w:spacing w:after="0" w:line="240" w:lineRule="auto"/>
              <w:rPr>
                <w:rFonts w:cs="Calibri"/>
              </w:rPr>
            </w:pPr>
            <w:r w:rsidRPr="009D67FC">
              <w:rPr>
                <w:rFonts w:cs="Calibri"/>
              </w:rPr>
              <w:t>- negativni utjecaj HE u Sloveniji</w:t>
            </w:r>
          </w:p>
          <w:p w14:paraId="5190CB2A" w14:textId="77777777" w:rsidR="00034784" w:rsidRPr="009D67FC" w:rsidRDefault="00034784" w:rsidP="00072476">
            <w:pPr>
              <w:spacing w:after="0" w:line="240" w:lineRule="auto"/>
            </w:pPr>
            <w:r>
              <w:rPr>
                <w:rFonts w:cs="Calibri"/>
              </w:rPr>
              <w:t xml:space="preserve">- </w:t>
            </w:r>
            <w:r>
              <w:t>problem skladištenja radioaktivnog otpada iz NE Krško</w:t>
            </w:r>
          </w:p>
          <w:p w14:paraId="3ACEDC61" w14:textId="77777777" w:rsidR="00034784" w:rsidRPr="009D67FC" w:rsidRDefault="00034784" w:rsidP="00072476">
            <w:pPr>
              <w:spacing w:after="0" w:line="240" w:lineRule="auto"/>
              <w:rPr>
                <w:rFonts w:cs="Calibri"/>
              </w:rPr>
            </w:pPr>
            <w:r w:rsidRPr="009D67FC">
              <w:rPr>
                <w:rFonts w:cs="Calibri"/>
              </w:rPr>
              <w:t>- nedovoljna koordinacija ključnih aktera u pitanjima zaštite okoliša</w:t>
            </w:r>
          </w:p>
          <w:p w14:paraId="2CE95213" w14:textId="77777777" w:rsidR="00034784" w:rsidRPr="009D67FC" w:rsidRDefault="00034784" w:rsidP="00072476">
            <w:pPr>
              <w:spacing w:after="0" w:line="240" w:lineRule="auto"/>
              <w:rPr>
                <w:rFonts w:cs="Calibri"/>
              </w:rPr>
            </w:pPr>
            <w:r w:rsidRPr="009D67FC">
              <w:rPr>
                <w:rFonts w:cs="Calibri"/>
              </w:rPr>
              <w:t>- česte izmjene propisa, planova i programa vezanih uz temu gospodarenja otpadom</w:t>
            </w:r>
          </w:p>
          <w:p w14:paraId="0DFE7EC5" w14:textId="6CEDD2E6" w:rsidR="00034784" w:rsidRPr="009D67FC" w:rsidRDefault="00034784" w:rsidP="00072476">
            <w:pPr>
              <w:spacing w:after="0" w:line="240" w:lineRule="auto"/>
              <w:rPr>
                <w:rFonts w:cs="Calibri"/>
              </w:rPr>
            </w:pPr>
            <w:r w:rsidRPr="009D67FC">
              <w:rPr>
                <w:rFonts w:cs="Calibri"/>
              </w:rPr>
              <w:t xml:space="preserve">- </w:t>
            </w:r>
          </w:p>
          <w:p w14:paraId="7751F333" w14:textId="77777777" w:rsidR="00034784" w:rsidRPr="009D67FC" w:rsidRDefault="00034784" w:rsidP="00072476">
            <w:pPr>
              <w:spacing w:after="0" w:line="240" w:lineRule="auto"/>
              <w:rPr>
                <w:rFonts w:cs="Calibri"/>
              </w:rPr>
            </w:pPr>
            <w:r w:rsidRPr="009D67FC">
              <w:rPr>
                <w:rFonts w:cs="Calibri"/>
              </w:rPr>
              <w:t>- nedostatak financijskih sredstava</w:t>
            </w:r>
          </w:p>
          <w:p w14:paraId="1DEBEF1B" w14:textId="77777777" w:rsidR="00034784" w:rsidRPr="009D67FC" w:rsidRDefault="00034784" w:rsidP="00072476">
            <w:pPr>
              <w:spacing w:after="0" w:line="240" w:lineRule="auto"/>
              <w:rPr>
                <w:rFonts w:cs="Calibri"/>
              </w:rPr>
            </w:pPr>
          </w:p>
        </w:tc>
      </w:tr>
    </w:tbl>
    <w:p w14:paraId="6AFF4EC7" w14:textId="77777777" w:rsidR="00034784" w:rsidRDefault="00034784" w:rsidP="00034784">
      <w:pPr>
        <w:rPr>
          <w:rFonts w:eastAsia="Times New Roman" w:cs="Calibri"/>
          <w:b/>
          <w:bCs/>
          <w:color w:val="000000"/>
          <w:kern w:val="24"/>
          <w:lang w:eastAsia="hr-HR"/>
        </w:rPr>
      </w:pPr>
      <w:r>
        <w:rPr>
          <w:rFonts w:eastAsia="Times New Roman" w:cs="Calibri"/>
          <w:b/>
          <w:bCs/>
          <w:color w:val="000000"/>
          <w:kern w:val="24"/>
          <w:lang w:eastAsia="hr-HR"/>
        </w:rPr>
        <w:br w:type="page"/>
        <w:t xml:space="preserve">Okoliš </w:t>
      </w:r>
    </w:p>
    <w:p w14:paraId="5F7E0786" w14:textId="77777777" w:rsidR="00034784" w:rsidRDefault="00034784" w:rsidP="00034784">
      <w:pPr>
        <w:spacing w:after="0" w:line="240" w:lineRule="auto"/>
        <w:contextualSpacing/>
        <w:jc w:val="both"/>
        <w:textAlignment w:val="baseline"/>
        <w:rPr>
          <w:rFonts w:eastAsia="Times New Roman" w:cs="Calibri"/>
          <w:b/>
          <w:bCs/>
          <w:color w:val="000000"/>
          <w:kern w:val="24"/>
          <w:u w:val="single"/>
          <w:lang w:eastAsia="hr-HR"/>
        </w:rPr>
      </w:pPr>
      <w:r>
        <w:rPr>
          <w:rFonts w:eastAsia="Times New Roman" w:cs="Calibri"/>
          <w:b/>
          <w:bCs/>
          <w:color w:val="000000"/>
          <w:kern w:val="24"/>
          <w:u w:val="single"/>
          <w:lang w:eastAsia="hr-HR"/>
        </w:rPr>
        <w:t xml:space="preserve">Snage </w:t>
      </w:r>
    </w:p>
    <w:p w14:paraId="00F39ACB" w14:textId="77777777" w:rsidR="00034784" w:rsidRDefault="00034784" w:rsidP="00034784">
      <w:pPr>
        <w:spacing w:after="0" w:line="240" w:lineRule="auto"/>
        <w:jc w:val="both"/>
        <w:rPr>
          <w:rFonts w:cs="Calibri"/>
        </w:rPr>
      </w:pPr>
      <w:r>
        <w:rPr>
          <w:rFonts w:cs="Calibri"/>
        </w:rPr>
        <w:t xml:space="preserve">Prirodni resursi: savski vodonosnik, šume, poljoprivredno tlo, te raznovrsnost, očuvanost i znatna </w:t>
      </w:r>
      <w:r w:rsidRPr="00F12F66">
        <w:rPr>
          <w:rFonts w:cs="Calibri"/>
        </w:rPr>
        <w:t>prostorna zastupljenost prirodnih i krajobraznih vrijednosti kao što su Park prirode Medvednica, aluvijalna ravnica Save, Vukomeričke gorice, park-šume urbanog područja Grada zajedno sa relativno dobrim pokazateljima kvalitete okoliša, u cjelini i pojedinih sastavnica, i tradicija brige za okoliš glavne su razvojne snage. Na području Grada prisutni su izuzetno povoljni uvjeti za iskorištavanje geotermalne energije akumulirane u podzemlju Panonskog bazena koji ima za čak 60% viši geotermalni gradijent od europskog prosjeka. Kvalitetno upravljanje prirodnim resursima u skladu s načelima održivog razvoja jedan je od temelja budućeg promišljanja razvoja Grada.</w:t>
      </w:r>
    </w:p>
    <w:p w14:paraId="1C85FB92" w14:textId="77777777" w:rsidR="00034784" w:rsidRPr="00F12F66" w:rsidRDefault="00034784" w:rsidP="00034784">
      <w:pPr>
        <w:spacing w:after="0" w:line="240" w:lineRule="auto"/>
        <w:jc w:val="both"/>
        <w:rPr>
          <w:rFonts w:cs="Calibri"/>
        </w:rPr>
      </w:pPr>
    </w:p>
    <w:p w14:paraId="5B10CEC1" w14:textId="77777777" w:rsidR="00034784" w:rsidRPr="00A21B02" w:rsidRDefault="00034784" w:rsidP="00034784">
      <w:pPr>
        <w:spacing w:after="0" w:line="240" w:lineRule="auto"/>
        <w:jc w:val="both"/>
        <w:rPr>
          <w:rFonts w:cs="Calibri"/>
        </w:rPr>
      </w:pPr>
      <w:r w:rsidRPr="00F12F66">
        <w:rPr>
          <w:rFonts w:eastAsia="Times New Roman" w:cs="Calibri"/>
          <w:b/>
          <w:bCs/>
          <w:color w:val="000000"/>
          <w:kern w:val="24"/>
          <w:u w:val="single"/>
          <w:lang w:eastAsia="hr-HR"/>
        </w:rPr>
        <w:t>Slabosti</w:t>
      </w:r>
      <w:r w:rsidRPr="00F12F66">
        <w:rPr>
          <w:rFonts w:eastAsia="Times New Roman" w:cs="Calibri"/>
          <w:b/>
          <w:bCs/>
          <w:color w:val="000000"/>
          <w:kern w:val="24"/>
          <w:u w:val="single"/>
          <w:lang w:eastAsia="hr-HR"/>
        </w:rPr>
        <w:br/>
      </w:r>
      <w:r w:rsidRPr="00F12F66">
        <w:rPr>
          <w:rFonts w:cs="Calibri"/>
        </w:rPr>
        <w:t>Ključni problemi sektora okoliša problemi su vezani uz otpad. Na području Grada kontinuirano je prisutan problem nastajanja manjih ili većih divljih odlagališta otpada, koja su uglavnom koncentrirana na rubnim gradskim dijelovima što također ukazuje na nedovoljno razvijenu ekološku svijest i informiranost građana. S obzirom da na području Grada Zagreba nije u potpunosti uspostavljen sustav gospodarenja otpadom, potrebno je uspostaviti cjeloviti sustav gospodarenja otpadom koji će uključivati sve elemente predviđene hijerarhijom gospodarenja otpadom prema redu prvenstva s dugoročnim ciljevima u skladu s gospodarskim mogućnostima.</w:t>
      </w:r>
      <w:r>
        <w:rPr>
          <w:rFonts w:cs="Calibri"/>
        </w:rPr>
        <w:t xml:space="preserve"> </w:t>
      </w:r>
      <w:r w:rsidRPr="00F12F66">
        <w:rPr>
          <w:rFonts w:cs="Calibri"/>
        </w:rPr>
        <w:t>Kroz analizu u sektoru energetike je identificirano nekoliko slabosti: nedovoljan udio korištenja obnovljivih izvora energije, nedovoljno energetski učinkovit građevinski fond te nedovoljno iskorišteni geotermalni izvori. Budući da prirodni resursi ne „poznaju“ administrativne granice kao problem navodi se i nepostojanje zajedničke strategije za zaštitu i korištenje resursa Grada Zagreba i zagrebačke regije, što je kao jedna od zajedničkih tema prepoznata i u Strategiji razvoja Urbane aglomeracije Zagreb, dokumentu koji je u izradi.</w:t>
      </w:r>
    </w:p>
    <w:p w14:paraId="2ED8A8BB" w14:textId="77777777" w:rsidR="00034784" w:rsidRDefault="00034784" w:rsidP="00034784">
      <w:pPr>
        <w:spacing w:after="0" w:line="240" w:lineRule="auto"/>
        <w:jc w:val="both"/>
        <w:rPr>
          <w:rFonts w:eastAsia="Times New Roman" w:cs="Calibri"/>
          <w:b/>
          <w:bCs/>
          <w:color w:val="000000"/>
          <w:kern w:val="24"/>
          <w:u w:val="single"/>
          <w:lang w:eastAsia="hr-HR"/>
        </w:rPr>
      </w:pPr>
    </w:p>
    <w:p w14:paraId="48CDCB3A" w14:textId="77777777" w:rsidR="00034784" w:rsidRDefault="00034784" w:rsidP="00034784">
      <w:pPr>
        <w:spacing w:after="0" w:line="240" w:lineRule="auto"/>
        <w:jc w:val="both"/>
        <w:rPr>
          <w:rFonts w:cs="Calibri"/>
        </w:rPr>
      </w:pPr>
      <w:r>
        <w:rPr>
          <w:rFonts w:eastAsia="Times New Roman" w:cs="Calibri"/>
          <w:b/>
          <w:bCs/>
          <w:color w:val="000000"/>
          <w:kern w:val="24"/>
          <w:u w:val="single"/>
          <w:lang w:eastAsia="hr-HR"/>
        </w:rPr>
        <w:t>Prilike</w:t>
      </w:r>
      <w:r>
        <w:rPr>
          <w:rFonts w:eastAsia="Times New Roman" w:cs="Calibri"/>
          <w:b/>
          <w:bCs/>
          <w:color w:val="000000"/>
          <w:kern w:val="24"/>
          <w:u w:val="single"/>
          <w:lang w:eastAsia="hr-HR"/>
        </w:rPr>
        <w:br/>
      </w:r>
      <w:r>
        <w:rPr>
          <w:rFonts w:cs="Calibri"/>
        </w:rPr>
        <w:t>Senzibiliziranje jedinica lokalne i regionalne samouprave u zagrebačkom okruženju te postupno jačanje svijesti o potrebi još veće brige za okoliš kao priliku identificiraju djelotvorniju suradnju sa susjednim županijama u zaštiti okoliša i prirodnih vrijednosti. Rastuća globalna svijest o zaštiti okoliša i prirode, te korištenje EU fondova i programa te drugih inozemnih financijskih izvora za projekte okoliša kao i za unapređivanje energetske učinkovitosti razvojni su čimbenik koji predstavlja priliku za unapređivanje stanja okoliša i energetske učinkovitosti. Također, uvođenje procedura provedbe strateških procjena utjecaja na okoliš za strateške dokumente i studija utjecaja na okoliš za programe i projekte izravno utječe na jačanje svijesti o potrebi brige i zaštite okoliša kroz provedbu procedura propisanih Zakonom o zaštiti okoliša i pripadajućim podzakonskim aktima i pravilnicima.</w:t>
      </w:r>
    </w:p>
    <w:p w14:paraId="19FA39E1" w14:textId="77777777" w:rsidR="00034784" w:rsidRDefault="00034784" w:rsidP="00034784">
      <w:pPr>
        <w:spacing w:after="0" w:line="240" w:lineRule="auto"/>
        <w:jc w:val="both"/>
        <w:rPr>
          <w:rFonts w:eastAsia="Times New Roman" w:cs="Calibri"/>
          <w:bCs/>
          <w:color w:val="000000"/>
          <w:kern w:val="24"/>
          <w:lang w:eastAsia="hr-HR"/>
        </w:rPr>
      </w:pPr>
      <w:r>
        <w:rPr>
          <w:rFonts w:eastAsia="Times New Roman" w:cs="Calibri"/>
          <w:bCs/>
          <w:color w:val="000000"/>
          <w:kern w:val="24"/>
          <w:lang w:eastAsia="hr-HR"/>
        </w:rPr>
        <w:t>Zeleni plan za Europu (EU Green Deal) temeljna je, sveobuhvatna strategija Europske unije za dostizanje klimatske neutralnosti cijelog kontinenta do 2050. godine i predstavlja jedinstvenu priliku za pripremu i provođenje projekata iz domene ublažavanja i prilagodbe klimatskim promjenama s obzirom da će ove aktivnosti imati najveći značaj u idućem financijskom razdoblju.</w:t>
      </w:r>
    </w:p>
    <w:p w14:paraId="2F8B1CFE" w14:textId="77777777" w:rsidR="00034784" w:rsidRDefault="00034784" w:rsidP="00034784">
      <w:pPr>
        <w:spacing w:after="0" w:line="240" w:lineRule="auto"/>
        <w:jc w:val="both"/>
        <w:rPr>
          <w:rFonts w:eastAsia="Times New Roman" w:cs="Calibri"/>
          <w:b/>
          <w:bCs/>
          <w:color w:val="000000"/>
          <w:kern w:val="24"/>
          <w:u w:val="single"/>
          <w:lang w:eastAsia="hr-HR"/>
        </w:rPr>
      </w:pPr>
    </w:p>
    <w:p w14:paraId="06E41538" w14:textId="77777777" w:rsidR="00034784" w:rsidRDefault="00034784" w:rsidP="00034784">
      <w:pPr>
        <w:spacing w:after="0" w:line="240" w:lineRule="auto"/>
        <w:jc w:val="both"/>
        <w:rPr>
          <w:rFonts w:cs="Calibri"/>
        </w:rPr>
      </w:pPr>
      <w:r>
        <w:rPr>
          <w:rFonts w:eastAsia="Times New Roman" w:cs="Calibri"/>
          <w:b/>
          <w:bCs/>
          <w:color w:val="000000"/>
          <w:kern w:val="24"/>
          <w:u w:val="single"/>
          <w:lang w:eastAsia="hr-HR"/>
        </w:rPr>
        <w:t xml:space="preserve">Prijetnje </w:t>
      </w:r>
      <w:r>
        <w:rPr>
          <w:rFonts w:eastAsia="Times New Roman" w:cs="Calibri"/>
          <w:b/>
          <w:bCs/>
          <w:color w:val="000000"/>
          <w:kern w:val="24"/>
          <w:u w:val="single"/>
          <w:lang w:eastAsia="hr-HR"/>
        </w:rPr>
        <w:br/>
      </w:r>
      <w:r>
        <w:rPr>
          <w:rFonts w:cs="Calibri"/>
        </w:rPr>
        <w:t xml:space="preserve">Klimatske promjene tema su koja će u budućnosti sve više dobivati na značaju na globalnoj, ali i na nižim razinama, čemu u prilog govori činjenica da je sedam od deset najtoplijih godina u Zagrebu (od početka 20. stoljeća do 2010. godine) zabilježeno nakon 2000. godine. Institucionalna centralizacija na državnoj razini u određenim sektorima (šume, poljoprivredno zemljište, geotermalna energija, vode)  kao i nedovoljna koordinacija ključnih aktera u pitanjima okoliša </w:t>
      </w:r>
      <w:r w:rsidRPr="0021384E">
        <w:rPr>
          <w:rFonts w:cs="Calibri"/>
        </w:rPr>
        <w:t xml:space="preserve">značajni su u mnogim sektorima, pa tako i u sektoru okoliša. </w:t>
      </w:r>
    </w:p>
    <w:p w14:paraId="56FDCDF7" w14:textId="5E7D4D8C" w:rsidR="002D5144" w:rsidRDefault="002D5144" w:rsidP="002D5144">
      <w:pPr>
        <w:spacing w:after="200" w:line="276" w:lineRule="auto"/>
        <w:rPr>
          <w:rFonts w:ascii="Calibri" w:eastAsia="Calibri" w:hAnsi="Calibri" w:cs="Calibri"/>
          <w:b/>
          <w:caps/>
          <w:sz w:val="40"/>
          <w:szCs w:val="40"/>
        </w:rPr>
      </w:pPr>
    </w:p>
    <w:sectPr w:rsidR="002D5144" w:rsidSect="008F00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0872C" w14:textId="77777777" w:rsidR="00751C19" w:rsidRDefault="00751C19" w:rsidP="00E81D2E">
      <w:pPr>
        <w:spacing w:after="0" w:line="240" w:lineRule="auto"/>
      </w:pPr>
      <w:r>
        <w:separator/>
      </w:r>
    </w:p>
  </w:endnote>
  <w:endnote w:type="continuationSeparator" w:id="0">
    <w:p w14:paraId="22BE5A2F" w14:textId="77777777" w:rsidR="00751C19" w:rsidRDefault="00751C19" w:rsidP="00E81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ArialMT">
    <w:altName w:val="Arial"/>
    <w:charset w:val="00"/>
    <w:family w:val="auto"/>
    <w:pitch w:val="default"/>
  </w:font>
  <w:font w:name="Tahoma Bold">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utura Hv AT">
    <w:altName w:val="Times New Roman"/>
    <w:panose1 w:val="00000000000000000000"/>
    <w:charset w:val="00"/>
    <w:family w:val="auto"/>
    <w:notTrueType/>
    <w:pitch w:val="variable"/>
    <w:sig w:usb0="00000003" w:usb1="00000000" w:usb2="00000000" w:usb3="00000000" w:csb0="00000001" w:csb1="00000000"/>
  </w:font>
  <w:font w:name="IAZGUY+MinionPro-BoldC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RO_Swiss">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Gotham Light">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EE"/>
    <w:family w:val="swiss"/>
    <w:pitch w:val="variable"/>
    <w:sig w:usb0="E4002EFF" w:usb1="C000247B" w:usb2="00000009" w:usb3="00000000" w:csb0="000001FF" w:csb1="00000000"/>
  </w:font>
  <w:font w:name="Calibri,Bold">
    <w:altName w:val="Arial"/>
    <w:panose1 w:val="00000000000000000000"/>
    <w:charset w:val="00"/>
    <w:family w:val="swiss"/>
    <w:notTrueType/>
    <w:pitch w:val="default"/>
    <w:sig w:usb0="00000007" w:usb1="08070000" w:usb2="00000010" w:usb3="00000000" w:csb0="00020003" w:csb1="00000000"/>
  </w:font>
  <w:font w:name="Helvetica">
    <w:panose1 w:val="020B0604020202020204"/>
    <w:charset w:val="EE"/>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NeueLTPro-Md">
    <w:altName w:val="MS Gothic"/>
    <w:panose1 w:val="00000000000000000000"/>
    <w:charset w:val="80"/>
    <w:family w:val="swiss"/>
    <w:notTrueType/>
    <w:pitch w:val="default"/>
    <w:sig w:usb0="00000001" w:usb1="08070000" w:usb2="00000010" w:usb3="00000000" w:csb0="00020000" w:csb1="00000000"/>
  </w:font>
  <w:font w:name="HelveticaNeueLTPro-Lt">
    <w:altName w:val="MS Gothic"/>
    <w:panose1 w:val="00000000000000000000"/>
    <w:charset w:val="80"/>
    <w:family w:val="swiss"/>
    <w:notTrueType/>
    <w:pitch w:val="default"/>
    <w:sig w:usb0="00000001" w:usb1="08070000" w:usb2="00000010" w:usb3="00000000" w:csb0="00020000" w:csb1="00000000"/>
  </w:font>
  <w:font w:name="CIDFont+F3">
    <w:altName w:val="MS Mincho"/>
    <w:panose1 w:val="00000000000000000000"/>
    <w:charset w:val="80"/>
    <w:family w:val="auto"/>
    <w:notTrueType/>
    <w:pitch w:val="default"/>
    <w:sig w:usb0="00000000" w:usb1="08070000" w:usb2="00000010" w:usb3="00000000" w:csb0="00020000" w:csb1="00000000"/>
  </w:font>
  <w:font w:name="TemperaProNormal">
    <w:altName w:val="Arial Unicode MS"/>
    <w:panose1 w:val="00000000000000000000"/>
    <w:charset w:val="80"/>
    <w:family w:val="swiss"/>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IDFont+F2">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3045704"/>
      <w:docPartObj>
        <w:docPartGallery w:val="Page Numbers (Bottom of Page)"/>
        <w:docPartUnique/>
      </w:docPartObj>
    </w:sdtPr>
    <w:sdtEndPr/>
    <w:sdtContent>
      <w:p w14:paraId="20B6E547" w14:textId="22E05CEA" w:rsidR="00710303" w:rsidRDefault="00751C19">
        <w:pPr>
          <w:pStyle w:val="Podnoje"/>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07595" w14:textId="77777777" w:rsidR="00710303" w:rsidRDefault="00710303">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962299"/>
      <w:docPartObj>
        <w:docPartGallery w:val="Page Numbers (Bottom of Page)"/>
        <w:docPartUnique/>
      </w:docPartObj>
    </w:sdtPr>
    <w:sdtEndPr/>
    <w:sdtContent>
      <w:p w14:paraId="3456A5E4" w14:textId="77777777" w:rsidR="00710303" w:rsidRDefault="00710303">
        <w:pPr>
          <w:pStyle w:val="Podnoje"/>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6447E" w14:textId="77777777" w:rsidR="00710303" w:rsidRDefault="0071030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27D8C" w14:textId="77777777" w:rsidR="00751C19" w:rsidRDefault="00751C19" w:rsidP="00E81D2E">
      <w:pPr>
        <w:spacing w:after="0" w:line="240" w:lineRule="auto"/>
      </w:pPr>
      <w:r>
        <w:separator/>
      </w:r>
    </w:p>
  </w:footnote>
  <w:footnote w:type="continuationSeparator" w:id="0">
    <w:p w14:paraId="5318CB84" w14:textId="77777777" w:rsidR="00751C19" w:rsidRDefault="00751C19" w:rsidP="00E81D2E">
      <w:pPr>
        <w:spacing w:after="0" w:line="240" w:lineRule="auto"/>
      </w:pPr>
      <w:r>
        <w:continuationSeparator/>
      </w:r>
    </w:p>
  </w:footnote>
  <w:footnote w:id="1">
    <w:p w14:paraId="30583389" w14:textId="77777777" w:rsidR="00710303" w:rsidRPr="007B660E" w:rsidRDefault="00710303" w:rsidP="00696143">
      <w:pPr>
        <w:pStyle w:val="Tekstfusnote"/>
        <w:rPr>
          <w:lang w:val="hr-HR"/>
        </w:rPr>
      </w:pPr>
      <w:r>
        <w:rPr>
          <w:rStyle w:val="Referencafusnote"/>
        </w:rPr>
        <w:footnoteRef/>
      </w:r>
      <w:r>
        <w:t xml:space="preserve"> </w:t>
      </w:r>
      <w:r w:rsidRPr="007B660E">
        <w:t>Izvor: Statistički ljetopis Grada Zagreba, 2020.</w:t>
      </w:r>
    </w:p>
  </w:footnote>
  <w:footnote w:id="2">
    <w:p w14:paraId="42BDEE87" w14:textId="77777777" w:rsidR="00710303" w:rsidRPr="007B660E" w:rsidRDefault="00710303" w:rsidP="00696143">
      <w:pPr>
        <w:pStyle w:val="Tekstfusnote"/>
        <w:rPr>
          <w:lang w:val="hr-HR"/>
        </w:rPr>
      </w:pPr>
      <w:r>
        <w:rPr>
          <w:rStyle w:val="Referencafusnote"/>
        </w:rPr>
        <w:footnoteRef/>
      </w:r>
      <w:r>
        <w:t xml:space="preserve"> </w:t>
      </w:r>
      <w:r>
        <w:rPr>
          <w:lang w:val="hr-HR"/>
        </w:rPr>
        <w:t>Odluka o naseljima u Gradu Zagrebu (Sl.gl.12/2019)</w:t>
      </w:r>
    </w:p>
  </w:footnote>
  <w:footnote w:id="3">
    <w:p w14:paraId="693D0703" w14:textId="77777777" w:rsidR="00710303" w:rsidRDefault="00710303" w:rsidP="00C17261">
      <w:pPr>
        <w:pStyle w:val="Tekstfusnote"/>
      </w:pPr>
      <w:r>
        <w:rPr>
          <w:rStyle w:val="Referencafusnote"/>
        </w:rPr>
        <w:footnoteRef/>
      </w:r>
      <w:r>
        <w:t xml:space="preserve"> Jedan od devet koridora Osnovne prometne mreže TEN-T (Trans European Network – Transport)</w:t>
      </w:r>
    </w:p>
  </w:footnote>
  <w:footnote w:id="4">
    <w:p w14:paraId="6542FEE4" w14:textId="77777777" w:rsidR="00710303" w:rsidRDefault="00710303" w:rsidP="00C17261">
      <w:pPr>
        <w:pStyle w:val="Tekstfusnote"/>
      </w:pPr>
      <w:r>
        <w:rPr>
          <w:rStyle w:val="Referencafusnote"/>
        </w:rPr>
        <w:footnoteRef/>
      </w:r>
      <w:r>
        <w:t xml:space="preserve"> Izvor: Rudarsko-geološka studija Grada Zagreba, 2013.</w:t>
      </w:r>
    </w:p>
  </w:footnote>
  <w:footnote w:id="5">
    <w:p w14:paraId="563953E2" w14:textId="77777777" w:rsidR="00710303" w:rsidRPr="008A5152" w:rsidRDefault="00710303" w:rsidP="00C17261">
      <w:pPr>
        <w:pStyle w:val="Tekstfusnote"/>
        <w:rPr>
          <w:lang w:val="hr-HR"/>
        </w:rPr>
      </w:pPr>
      <w:r>
        <w:rPr>
          <w:rStyle w:val="Referencafusnote"/>
        </w:rPr>
        <w:footnoteRef/>
      </w:r>
      <w:r>
        <w:t xml:space="preserve"> </w:t>
      </w:r>
      <w:r>
        <w:rPr>
          <w:lang w:val="hr-HR"/>
        </w:rPr>
        <w:t xml:space="preserve">Izvor: </w:t>
      </w:r>
      <w:r w:rsidRPr="008A5152">
        <w:rPr>
          <w:lang w:val="hr-HR"/>
        </w:rPr>
        <w:t>https://www.pmf.unizg.hr/geof/seizmoloska_sluzba/o_zagrebackom_potresu_2020</w:t>
      </w:r>
    </w:p>
  </w:footnote>
  <w:footnote w:id="6">
    <w:p w14:paraId="7053E3E2" w14:textId="77777777" w:rsidR="00710303" w:rsidRPr="00B92FB3" w:rsidRDefault="00710303" w:rsidP="00C17261">
      <w:pPr>
        <w:pStyle w:val="Tekstfusnote"/>
        <w:rPr>
          <w:lang w:val="hr-HR"/>
        </w:rPr>
      </w:pPr>
      <w:r>
        <w:rPr>
          <w:rStyle w:val="Referencafusnote"/>
        </w:rPr>
        <w:footnoteRef/>
      </w:r>
      <w:r>
        <w:t xml:space="preserve"> </w:t>
      </w:r>
      <w:r>
        <w:rPr>
          <w:lang w:val="hr-HR"/>
        </w:rPr>
        <w:t xml:space="preserve">Izvor: </w:t>
      </w:r>
      <w:r w:rsidRPr="00557737">
        <w:rPr>
          <w:lang w:val="hr-HR"/>
        </w:rPr>
        <w:t>http://www.pmf.unizg.hr/geof/seizmoloska_sluzba/potresi_kod_petrinje</w:t>
      </w:r>
    </w:p>
  </w:footnote>
  <w:footnote w:id="7">
    <w:p w14:paraId="5D5A4CB0" w14:textId="77777777" w:rsidR="00710303" w:rsidRPr="00B31159" w:rsidRDefault="00710303" w:rsidP="00C17261">
      <w:pPr>
        <w:pStyle w:val="Tekstfusnote"/>
        <w:rPr>
          <w:lang w:val="hr-HR"/>
        </w:rPr>
      </w:pPr>
      <w:r>
        <w:rPr>
          <w:rStyle w:val="Referencafusnote"/>
        </w:rPr>
        <w:footnoteRef/>
      </w:r>
      <w:r>
        <w:t xml:space="preserve"> </w:t>
      </w:r>
      <w:r>
        <w:rPr>
          <w:lang w:val="hr-HR"/>
        </w:rPr>
        <w:t>Izvor: Državni hidrometeorološki zavod, Ocjena 2019. godine</w:t>
      </w:r>
    </w:p>
  </w:footnote>
  <w:footnote w:id="8">
    <w:p w14:paraId="6C3CD1E1" w14:textId="77777777" w:rsidR="00710303" w:rsidRPr="00B31159" w:rsidRDefault="00710303" w:rsidP="00C17261">
      <w:pPr>
        <w:pStyle w:val="Tekstfusnote"/>
        <w:rPr>
          <w:lang w:val="hr-HR"/>
        </w:rPr>
      </w:pPr>
      <w:r>
        <w:rPr>
          <w:rStyle w:val="Referencafusnote"/>
        </w:rPr>
        <w:footnoteRef/>
      </w:r>
      <w:r>
        <w:t xml:space="preserve"> </w:t>
      </w:r>
      <w:r>
        <w:rPr>
          <w:lang w:val="hr-HR"/>
        </w:rPr>
        <w:t xml:space="preserve">Izvor: Državni hidrometeorološki zavod, </w:t>
      </w:r>
      <w:r w:rsidRPr="00126D1F">
        <w:rPr>
          <w:lang w:val="hr-HR"/>
        </w:rPr>
        <w:t>Ukupna mjesečna i godišnja količina oborine</w:t>
      </w:r>
      <w:r>
        <w:rPr>
          <w:lang w:val="hr-HR"/>
        </w:rPr>
        <w:t xml:space="preserve"> za 2020. godinu</w:t>
      </w:r>
    </w:p>
  </w:footnote>
  <w:footnote w:id="9">
    <w:p w14:paraId="744C8BB0" w14:textId="77777777" w:rsidR="00710303" w:rsidRPr="001C2B9B" w:rsidRDefault="00710303" w:rsidP="00C17261">
      <w:pPr>
        <w:pStyle w:val="Tekstfusnote"/>
        <w:rPr>
          <w:lang w:val="hr-HR"/>
        </w:rPr>
      </w:pPr>
      <w:r>
        <w:rPr>
          <w:rStyle w:val="Referencafusnote"/>
        </w:rPr>
        <w:footnoteRef/>
      </w:r>
      <w:r>
        <w:t xml:space="preserve"> </w:t>
      </w:r>
      <w:r w:rsidRPr="001C2B9B">
        <w:t>Izvor: Gradski zavod za zaštitu spomenika kulture i prirode, 2020.</w:t>
      </w:r>
    </w:p>
  </w:footnote>
  <w:footnote w:id="10">
    <w:p w14:paraId="2B56E925" w14:textId="77777777" w:rsidR="00710303" w:rsidRPr="00373651" w:rsidRDefault="00710303" w:rsidP="00696143">
      <w:pPr>
        <w:pStyle w:val="Tekstfusnote"/>
        <w:rPr>
          <w:lang w:val="hr-HR"/>
        </w:rPr>
      </w:pPr>
      <w:r>
        <w:rPr>
          <w:rStyle w:val="Referencafusnote"/>
        </w:rPr>
        <w:footnoteRef/>
      </w:r>
      <w:r>
        <w:t xml:space="preserve"> </w:t>
      </w:r>
      <w:r>
        <w:rPr>
          <w:rFonts w:cs="Calibri"/>
          <w:bCs/>
        </w:rPr>
        <w:t>Državn</w:t>
      </w:r>
      <w:r>
        <w:rPr>
          <w:rFonts w:cs="Calibri"/>
          <w:bCs/>
          <w:lang w:val="hr-HR"/>
        </w:rPr>
        <w:t>i</w:t>
      </w:r>
      <w:r>
        <w:rPr>
          <w:rFonts w:cs="Calibri"/>
          <w:bCs/>
        </w:rPr>
        <w:t xml:space="preserve"> zavod za statistiku (</w:t>
      </w:r>
      <w:hyperlink r:id="rId1" w:history="1">
        <w:r w:rsidRPr="00D273C0">
          <w:rPr>
            <w:rStyle w:val="Hiperveza"/>
            <w:rFonts w:cs="Calibri"/>
          </w:rPr>
          <w:t>www.dzs.hr</w:t>
        </w:r>
      </w:hyperlink>
      <w:r>
        <w:rPr>
          <w:rFonts w:cs="Calibri"/>
          <w:bCs/>
        </w:rPr>
        <w:t>, tablica 7.4.2. Doseljeno i odseljeno stanovništvo)</w:t>
      </w:r>
    </w:p>
  </w:footnote>
  <w:footnote w:id="11">
    <w:p w14:paraId="55EB55C2" w14:textId="77777777" w:rsidR="00710303" w:rsidRPr="001F0C99" w:rsidRDefault="00710303" w:rsidP="00C17261">
      <w:pPr>
        <w:pStyle w:val="Tekstfusnote"/>
        <w:rPr>
          <w:lang w:val="hr-HR"/>
        </w:rPr>
      </w:pPr>
      <w:r>
        <w:rPr>
          <w:rStyle w:val="Referencafusnote"/>
        </w:rPr>
        <w:footnoteRef/>
      </w:r>
      <w:r>
        <w:t xml:space="preserve"> </w:t>
      </w:r>
      <w:r w:rsidRPr="00D15AFD">
        <w:t>Izvješće o osobama s invaliditetom u Republici Hrvatskoj</w:t>
      </w:r>
      <w:r>
        <w:rPr>
          <w:lang w:val="hr-HR"/>
        </w:rPr>
        <w:t xml:space="preserve"> 2019. (www.hzjz.hr)</w:t>
      </w:r>
    </w:p>
  </w:footnote>
  <w:footnote w:id="12">
    <w:p w14:paraId="4045DBA1" w14:textId="77777777" w:rsidR="00710303" w:rsidRDefault="00710303" w:rsidP="00C17261">
      <w:pPr>
        <w:pStyle w:val="Tekstfusnote"/>
        <w:rPr>
          <w:rStyle w:val="Hiperveza"/>
        </w:rPr>
      </w:pPr>
      <w:r>
        <w:rPr>
          <w:rStyle w:val="Referencafusnote"/>
        </w:rPr>
        <w:footnoteRef/>
      </w:r>
      <w:r>
        <w:t xml:space="preserve"> </w:t>
      </w:r>
      <w:r w:rsidRPr="008D0B2C">
        <w:rPr>
          <w:lang w:val="hr-HR"/>
        </w:rPr>
        <w:t xml:space="preserve">Izvor: </w:t>
      </w:r>
      <w:hyperlink r:id="rId2" w:history="1">
        <w:r w:rsidRPr="008D0B2C">
          <w:rPr>
            <w:rStyle w:val="Hiperveza"/>
          </w:rPr>
          <w:t>www.hzz.hr</w:t>
        </w:r>
      </w:hyperlink>
    </w:p>
    <w:p w14:paraId="53077565" w14:textId="77777777" w:rsidR="00710303" w:rsidRPr="00B92FB3" w:rsidRDefault="00710303" w:rsidP="00124CC4">
      <w:pPr>
        <w:pStyle w:val="Tekstfusnote"/>
        <w:spacing w:line="240" w:lineRule="auto"/>
        <w:rPr>
          <w:u w:val="single"/>
        </w:rPr>
      </w:pPr>
      <w:r w:rsidRPr="002D5EA3">
        <w:rPr>
          <w:lang w:val="hr-HR"/>
        </w:rPr>
        <w:t>https://www.hzz.hr/content/stats/0221/HZZ_stat_bilten_02_2021.pdf</w:t>
      </w:r>
    </w:p>
  </w:footnote>
  <w:footnote w:id="13">
    <w:p w14:paraId="602F8F96" w14:textId="77777777" w:rsidR="00710303" w:rsidRDefault="00710303" w:rsidP="00124CC4">
      <w:pPr>
        <w:pStyle w:val="Tekstfusnote"/>
        <w:spacing w:line="240" w:lineRule="auto"/>
      </w:pPr>
      <w:r>
        <w:rPr>
          <w:rStyle w:val="Referencafusnote"/>
        </w:rPr>
        <w:footnoteRef/>
      </w:r>
      <w:r w:rsidRPr="00C1022E">
        <w:t>Izvor: www.hzz.hr</w:t>
      </w:r>
    </w:p>
    <w:p w14:paraId="1BA45CEA" w14:textId="77777777" w:rsidR="00710303" w:rsidRPr="00B92FB3" w:rsidRDefault="00710303" w:rsidP="00124CC4">
      <w:pPr>
        <w:pStyle w:val="Tekstfusnote"/>
        <w:spacing w:line="240" w:lineRule="auto"/>
        <w:rPr>
          <w:lang w:val="hr-HR"/>
        </w:rPr>
      </w:pPr>
      <w:r>
        <w:t xml:space="preserve"> </w:t>
      </w:r>
      <w:r w:rsidRPr="00C1022E">
        <w:t>https://www.hzz.hr/content/stats/0221/HZZ_stat_bilten_02_2021.pdf</w:t>
      </w:r>
    </w:p>
  </w:footnote>
  <w:footnote w:id="14">
    <w:p w14:paraId="0B8D344F" w14:textId="77777777" w:rsidR="00710303" w:rsidRPr="00B83C0E" w:rsidRDefault="00710303" w:rsidP="00124CC4">
      <w:pPr>
        <w:pStyle w:val="Tekstfusnote"/>
        <w:spacing w:line="240" w:lineRule="auto"/>
        <w:rPr>
          <w:lang w:val="hr-HR"/>
        </w:rPr>
      </w:pPr>
      <w:r>
        <w:rPr>
          <w:rStyle w:val="Referencafusnote"/>
        </w:rPr>
        <w:footnoteRef/>
      </w:r>
      <w:r>
        <w:t xml:space="preserve"> </w:t>
      </w:r>
      <w:r>
        <w:rPr>
          <w:lang w:val="hr-HR"/>
        </w:rPr>
        <w:t>Zapošljavanje osoba s invaliditetom od 01. Siječnja do 30. prosinca 2020. godine (</w:t>
      </w:r>
      <w:hyperlink r:id="rId3" w:history="1">
        <w:r w:rsidRPr="00F053AB">
          <w:rPr>
            <w:rStyle w:val="Hiperveza"/>
            <w:lang w:val="hr-HR"/>
          </w:rPr>
          <w:t>www.hzz.hr</w:t>
        </w:r>
      </w:hyperlink>
      <w:r>
        <w:rPr>
          <w:lang w:val="hr-HR"/>
        </w:rPr>
        <w:t>)</w:t>
      </w:r>
      <w:r w:rsidRPr="008D2991">
        <w:rPr>
          <w:lang w:val="hr-HR"/>
        </w:rPr>
        <w:t>https://www.hzz.hr/statistika/statistika-zaposljavanja-osobe-s-invaliditetom.php</w:t>
      </w:r>
    </w:p>
    <w:p w14:paraId="431C7020" w14:textId="77777777" w:rsidR="00710303" w:rsidRPr="00B92FB3" w:rsidRDefault="00710303" w:rsidP="00C17261">
      <w:pPr>
        <w:pStyle w:val="Tekstfusnote"/>
        <w:rPr>
          <w:lang w:val="hr-HR"/>
        </w:rPr>
      </w:pPr>
    </w:p>
  </w:footnote>
  <w:footnote w:id="15">
    <w:p w14:paraId="0E326A4C" w14:textId="77777777" w:rsidR="00710303" w:rsidRPr="002D1B4F" w:rsidRDefault="00710303" w:rsidP="004976E4">
      <w:pPr>
        <w:pStyle w:val="Tekstfusnote"/>
        <w:rPr>
          <w:lang w:val="hr-HR"/>
        </w:rPr>
      </w:pPr>
      <w:r>
        <w:rPr>
          <w:rStyle w:val="Referencafusnote"/>
        </w:rPr>
        <w:footnoteRef/>
      </w:r>
      <w:r>
        <w:t xml:space="preserve"> </w:t>
      </w:r>
      <w:r>
        <w:rPr>
          <w:lang w:val="hr-HR"/>
        </w:rPr>
        <w:t>Izvor: Statistički ljetopis Grada Zagreba 2020.</w:t>
      </w:r>
    </w:p>
  </w:footnote>
  <w:footnote w:id="16">
    <w:p w14:paraId="3F24B170" w14:textId="77777777" w:rsidR="00710303" w:rsidRPr="00E83C90" w:rsidRDefault="00710303" w:rsidP="004976E4">
      <w:pPr>
        <w:pStyle w:val="Tekstfusnote"/>
        <w:rPr>
          <w:lang w:val="hr-HR"/>
        </w:rPr>
      </w:pPr>
      <w:r>
        <w:rPr>
          <w:rStyle w:val="Referencafusnote"/>
        </w:rPr>
        <w:footnoteRef/>
      </w:r>
      <w:r>
        <w:t xml:space="preserve"> </w:t>
      </w:r>
      <w:r>
        <w:rPr>
          <w:lang w:val="hr-HR"/>
        </w:rPr>
        <w:t>Službeni glasnik Grada Zagreba, br. 34 od 15.12.2020.</w:t>
      </w:r>
    </w:p>
  </w:footnote>
  <w:footnote w:id="17">
    <w:p w14:paraId="7DB7E8A1" w14:textId="77777777" w:rsidR="00710303" w:rsidRPr="00097541" w:rsidRDefault="00710303" w:rsidP="004976E4">
      <w:pPr>
        <w:pStyle w:val="Tekstfusnote"/>
        <w:rPr>
          <w:lang w:val="hr-HR"/>
        </w:rPr>
      </w:pPr>
      <w:r>
        <w:rPr>
          <w:rStyle w:val="Referencafusnote"/>
        </w:rPr>
        <w:footnoteRef/>
      </w:r>
      <w:r>
        <w:t xml:space="preserve"> </w:t>
      </w:r>
      <w:r w:rsidRPr="00097541">
        <w:t>SLUŽBENI G</w:t>
      </w:r>
      <w:r>
        <w:rPr>
          <w:lang w:val="hr-HR"/>
        </w:rPr>
        <w:t>LA</w:t>
      </w:r>
      <w:r w:rsidRPr="00097541">
        <w:t>SNIK GZ br. 34 od 15.12.2020.</w:t>
      </w:r>
    </w:p>
  </w:footnote>
  <w:footnote w:id="18">
    <w:p w14:paraId="13646B9E" w14:textId="77777777" w:rsidR="00710303" w:rsidRPr="003D0FF0" w:rsidRDefault="00710303" w:rsidP="004976E4">
      <w:pPr>
        <w:pStyle w:val="Tekstfusnote"/>
        <w:rPr>
          <w:lang w:val="hr-HR"/>
        </w:rPr>
      </w:pPr>
      <w:r>
        <w:rPr>
          <w:rStyle w:val="Referencafusnote"/>
        </w:rPr>
        <w:footnoteRef/>
      </w:r>
      <w:r>
        <w:t xml:space="preserve"> </w:t>
      </w:r>
      <w:r w:rsidRPr="003D0FF0">
        <w:t>SLUŽBENI GLASNIK GZ br. 34 od 15.12.2020.</w:t>
      </w:r>
    </w:p>
  </w:footnote>
  <w:footnote w:id="19">
    <w:p w14:paraId="0E813B15" w14:textId="77777777" w:rsidR="00710303" w:rsidRPr="003D0FF0" w:rsidRDefault="00710303" w:rsidP="004976E4">
      <w:pPr>
        <w:pStyle w:val="Tekstfusnote"/>
        <w:rPr>
          <w:lang w:val="hr-HR"/>
        </w:rPr>
      </w:pPr>
      <w:r>
        <w:rPr>
          <w:rStyle w:val="Referencafusnote"/>
        </w:rPr>
        <w:footnoteRef/>
      </w:r>
      <w:r>
        <w:t xml:space="preserve"> </w:t>
      </w:r>
      <w:r w:rsidRPr="003D0FF0">
        <w:t>SLUŽBENI GLASNIK GZ br. 34 od 15.12.2020.</w:t>
      </w:r>
    </w:p>
  </w:footnote>
  <w:footnote w:id="20">
    <w:p w14:paraId="0EC44E54" w14:textId="77777777" w:rsidR="00710303" w:rsidRPr="00A94485" w:rsidRDefault="00710303" w:rsidP="004976E4">
      <w:pPr>
        <w:pStyle w:val="Tekstfusnote"/>
        <w:rPr>
          <w:lang w:val="hr-HR"/>
        </w:rPr>
      </w:pPr>
      <w:r>
        <w:rPr>
          <w:rStyle w:val="Referencafusnote"/>
        </w:rPr>
        <w:footnoteRef/>
      </w:r>
      <w:r>
        <w:t xml:space="preserve"> </w:t>
      </w:r>
      <w:r>
        <w:rPr>
          <w:lang w:val="hr-HR"/>
        </w:rPr>
        <w:t>Izvor: Statistički ljetopis Grada Zagreba 2019.</w:t>
      </w:r>
    </w:p>
  </w:footnote>
  <w:footnote w:id="21">
    <w:p w14:paraId="1BFD9AC0" w14:textId="77777777" w:rsidR="00710303" w:rsidRPr="0056430D" w:rsidRDefault="00710303" w:rsidP="004976E4">
      <w:pPr>
        <w:pStyle w:val="Tekstfusnote"/>
        <w:rPr>
          <w:lang w:val="hr-HR"/>
        </w:rPr>
      </w:pPr>
      <w:r>
        <w:rPr>
          <w:rStyle w:val="Referencafusnote"/>
        </w:rPr>
        <w:footnoteRef/>
      </w:r>
      <w:r>
        <w:t xml:space="preserve"> </w:t>
      </w:r>
      <w:r>
        <w:rPr>
          <w:rFonts w:cs="Calibri"/>
        </w:rPr>
        <w:t xml:space="preserve">Izvor: </w:t>
      </w:r>
      <w:r>
        <w:rPr>
          <w:rFonts w:cs="Calibri"/>
          <w:lang w:val="hr-HR"/>
        </w:rPr>
        <w:t>Gradski ured za obrazovanje</w:t>
      </w:r>
    </w:p>
  </w:footnote>
  <w:footnote w:id="22">
    <w:p w14:paraId="6B266DFF" w14:textId="77777777" w:rsidR="00710303" w:rsidRPr="005F6707" w:rsidRDefault="00710303" w:rsidP="004976E4">
      <w:pPr>
        <w:pStyle w:val="Tekstfusnote"/>
        <w:rPr>
          <w:lang w:val="hr-HR"/>
        </w:rPr>
      </w:pPr>
      <w:r>
        <w:rPr>
          <w:rStyle w:val="Referencafusnote"/>
        </w:rPr>
        <w:footnoteRef/>
      </w:r>
      <w:r>
        <w:t xml:space="preserve"> </w:t>
      </w:r>
      <w:r>
        <w:rPr>
          <w:lang w:val="hr-HR"/>
        </w:rPr>
        <w:t>Izvor: Statistički ljetopis Grada Zagreba 2019.</w:t>
      </w:r>
    </w:p>
  </w:footnote>
  <w:footnote w:id="23">
    <w:p w14:paraId="1AF29A84" w14:textId="08F9BE67" w:rsidR="00710303" w:rsidRPr="00E93A23" w:rsidRDefault="00710303">
      <w:pPr>
        <w:pStyle w:val="Tekstfusnote"/>
        <w:rPr>
          <w:lang w:val="hr-HR"/>
        </w:rPr>
      </w:pPr>
      <w:r>
        <w:rPr>
          <w:rStyle w:val="Referencafusnote"/>
        </w:rPr>
        <w:footnoteRef/>
      </w:r>
      <w:r>
        <w:t xml:space="preserve"> </w:t>
      </w:r>
      <w:r>
        <w:rPr>
          <w:lang w:val="hr-HR"/>
        </w:rPr>
        <w:t>Urbani pokazatelji Grada Zagreba i europskih gradova, izdanje 2021.; Eurostat</w:t>
      </w:r>
    </w:p>
  </w:footnote>
  <w:footnote w:id="24">
    <w:p w14:paraId="3C56BCF5" w14:textId="77777777" w:rsidR="00710303" w:rsidRPr="004871A3" w:rsidRDefault="00710303" w:rsidP="004976E4">
      <w:pPr>
        <w:pStyle w:val="Tekstfusnote"/>
        <w:rPr>
          <w:rFonts w:cstheme="minorHAnsi"/>
          <w:lang w:val="hr-HR"/>
        </w:rPr>
      </w:pPr>
      <w:r w:rsidRPr="004871A3">
        <w:rPr>
          <w:rStyle w:val="Referencafusnote"/>
          <w:rFonts w:cstheme="minorHAnsi"/>
        </w:rPr>
        <w:footnoteRef/>
      </w:r>
      <w:r w:rsidRPr="004871A3">
        <w:rPr>
          <w:rFonts w:cstheme="minorHAnsi"/>
        </w:rPr>
        <w:t xml:space="preserve"> </w:t>
      </w:r>
      <w:r w:rsidRPr="004871A3">
        <w:rPr>
          <w:rFonts w:eastAsia="TimesNewRomanPSMT" w:cstheme="minorHAnsi"/>
          <w:sz w:val="18"/>
          <w:szCs w:val="18"/>
        </w:rPr>
        <w:t xml:space="preserve">Promocija plus d.o.o.: </w:t>
      </w:r>
      <w:r w:rsidRPr="008C03CC">
        <w:rPr>
          <w:rFonts w:cstheme="minorHAnsi"/>
          <w:sz w:val="18"/>
          <w:szCs w:val="18"/>
        </w:rPr>
        <w:t xml:space="preserve">IZVJEŠĆE O PROVEDENOM ISPITIVANJU MIŠLJENJA I POTREBA MLADIH GRADA ZAGREBA, </w:t>
      </w:r>
      <w:r w:rsidRPr="008C03CC">
        <w:rPr>
          <w:rFonts w:cstheme="minorHAnsi"/>
          <w:i/>
          <w:sz w:val="18"/>
          <w:szCs w:val="18"/>
        </w:rPr>
        <w:t>Istraživački izvještaj</w:t>
      </w:r>
      <w:r w:rsidRPr="008C03CC">
        <w:rPr>
          <w:rFonts w:cstheme="minorHAnsi"/>
          <w:sz w:val="18"/>
          <w:szCs w:val="18"/>
        </w:rPr>
        <w:t>,</w:t>
      </w:r>
      <w:r w:rsidRPr="004871A3">
        <w:rPr>
          <w:rFonts w:cstheme="minorHAnsi"/>
          <w:bCs/>
          <w:sz w:val="18"/>
          <w:szCs w:val="18"/>
        </w:rPr>
        <w:t xml:space="preserve"> Zagreb, 2019., str. 4-6.</w:t>
      </w:r>
    </w:p>
  </w:footnote>
  <w:footnote w:id="25">
    <w:p w14:paraId="669BDD71" w14:textId="77777777" w:rsidR="00710303" w:rsidRPr="004871A3" w:rsidRDefault="00710303" w:rsidP="004976E4">
      <w:pPr>
        <w:autoSpaceDE w:val="0"/>
        <w:autoSpaceDN w:val="0"/>
        <w:adjustRightInd w:val="0"/>
        <w:spacing w:after="0" w:line="240" w:lineRule="auto"/>
        <w:rPr>
          <w:rFonts w:cstheme="minorHAnsi"/>
          <w:bCs/>
          <w:sz w:val="18"/>
          <w:szCs w:val="18"/>
        </w:rPr>
      </w:pPr>
      <w:r w:rsidRPr="004871A3">
        <w:rPr>
          <w:rStyle w:val="Referencafusnote"/>
          <w:rFonts w:cstheme="minorHAnsi"/>
          <w:sz w:val="18"/>
          <w:szCs w:val="18"/>
        </w:rPr>
        <w:footnoteRef/>
      </w:r>
      <w:r w:rsidRPr="004871A3">
        <w:rPr>
          <w:rFonts w:cstheme="minorHAnsi"/>
          <w:sz w:val="18"/>
          <w:szCs w:val="18"/>
        </w:rPr>
        <w:t xml:space="preserve"> </w:t>
      </w:r>
      <w:r w:rsidRPr="004871A3">
        <w:rPr>
          <w:rFonts w:eastAsia="TimesNewRomanPSMT" w:cstheme="minorHAnsi"/>
          <w:sz w:val="18"/>
          <w:szCs w:val="18"/>
        </w:rPr>
        <w:t xml:space="preserve">Promocija plus d.o.o.: </w:t>
      </w:r>
      <w:r w:rsidRPr="008C03CC">
        <w:rPr>
          <w:rFonts w:cstheme="minorHAnsi"/>
          <w:sz w:val="18"/>
          <w:szCs w:val="18"/>
        </w:rPr>
        <w:t xml:space="preserve">IZVJEŠĆE O PROVEDENOM ISPITIVANJU MIŠLJENJA I POTREBA MLADIH GRADA ZAGREBA, </w:t>
      </w:r>
      <w:r w:rsidRPr="008C03CC">
        <w:rPr>
          <w:rFonts w:cstheme="minorHAnsi"/>
          <w:i/>
          <w:sz w:val="18"/>
          <w:szCs w:val="18"/>
        </w:rPr>
        <w:t>Istraživački izvještaj</w:t>
      </w:r>
      <w:r w:rsidRPr="008C03CC">
        <w:rPr>
          <w:rFonts w:cstheme="minorHAnsi"/>
          <w:sz w:val="18"/>
          <w:szCs w:val="18"/>
        </w:rPr>
        <w:t xml:space="preserve">, </w:t>
      </w:r>
      <w:r w:rsidRPr="004871A3">
        <w:rPr>
          <w:rFonts w:cstheme="minorHAnsi"/>
          <w:bCs/>
          <w:sz w:val="18"/>
          <w:szCs w:val="18"/>
        </w:rPr>
        <w:t>Zagreb, 2019., str. 61</w:t>
      </w:r>
      <w:r w:rsidRPr="004871A3">
        <w:rPr>
          <w:rFonts w:cstheme="minorHAnsi"/>
          <w:b/>
          <w:bCs/>
          <w:sz w:val="18"/>
          <w:szCs w:val="18"/>
        </w:rPr>
        <w:t>.</w:t>
      </w:r>
    </w:p>
    <w:p w14:paraId="048B1B1C" w14:textId="77777777" w:rsidR="00710303" w:rsidRDefault="00710303" w:rsidP="004976E4">
      <w:pPr>
        <w:pStyle w:val="Tekstfusnote"/>
        <w:rPr>
          <w:lang w:val="hr-HR"/>
        </w:rPr>
      </w:pPr>
    </w:p>
  </w:footnote>
  <w:footnote w:id="26">
    <w:p w14:paraId="007A4AC7" w14:textId="77777777" w:rsidR="00710303" w:rsidRDefault="00710303" w:rsidP="002951D9">
      <w:pPr>
        <w:pStyle w:val="Tekstkomentara"/>
      </w:pPr>
      <w:r>
        <w:rPr>
          <w:rStyle w:val="Referencafusnote"/>
        </w:rPr>
        <w:footnoteRef/>
      </w:r>
      <w:r>
        <w:t xml:space="preserve"> IRMO br. 5 2020. aktualno, dr.sc. Čučković, N., MALA I SREDNJA PODUZEĆA U BORBI S KRIZOM IZAZVANOM KORONOM: KAKO DALJE? </w:t>
      </w:r>
      <w:r w:rsidRPr="00C77E26">
        <w:t>https://irmo.hr/wp-content/uploads/2020/05/IRMO-aktualno-5.pdf</w:t>
      </w:r>
    </w:p>
    <w:p w14:paraId="3654FFAA" w14:textId="6E935D0D" w:rsidR="00710303" w:rsidRPr="00E93A23" w:rsidRDefault="00710303">
      <w:pPr>
        <w:pStyle w:val="Tekstfusnote"/>
        <w:rPr>
          <w:lang w:val="hr-HR"/>
        </w:rPr>
      </w:pPr>
    </w:p>
  </w:footnote>
  <w:footnote w:id="27">
    <w:p w14:paraId="06A49983" w14:textId="77777777" w:rsidR="00710303" w:rsidRPr="00940DFF" w:rsidRDefault="00710303" w:rsidP="00E87AC6">
      <w:pPr>
        <w:pStyle w:val="Tekstfusnote"/>
        <w:rPr>
          <w:sz w:val="18"/>
          <w:szCs w:val="18"/>
          <w:lang w:val="hr-HR"/>
        </w:rPr>
      </w:pPr>
      <w:r>
        <w:rPr>
          <w:rStyle w:val="Referencafusnote"/>
        </w:rPr>
        <w:footnoteRef/>
      </w:r>
      <w:r>
        <w:t xml:space="preserve"> </w:t>
      </w:r>
      <w:r w:rsidRPr="00940DFF">
        <w:rPr>
          <w:sz w:val="18"/>
          <w:szCs w:val="18"/>
          <w:lang w:val="hr-HR"/>
        </w:rPr>
        <w:t>Izvor: DZS</w:t>
      </w:r>
    </w:p>
  </w:footnote>
  <w:footnote w:id="28">
    <w:p w14:paraId="3FDAA2F9" w14:textId="5D8119B0" w:rsidR="00710303" w:rsidRPr="00E93A23" w:rsidRDefault="00710303">
      <w:pPr>
        <w:pStyle w:val="Tekstfusnote"/>
        <w:rPr>
          <w:lang w:val="hr-HR"/>
        </w:rPr>
      </w:pPr>
      <w:r>
        <w:rPr>
          <w:rStyle w:val="Referencafusnote"/>
        </w:rPr>
        <w:footnoteRef/>
      </w:r>
      <w:r>
        <w:t xml:space="preserve"> </w:t>
      </w:r>
      <w:r>
        <w:rPr>
          <w:lang w:val="hr-HR"/>
        </w:rPr>
        <w:t>Urbani pokazatelji Grada Zagreba i europskih gradova, izdanje 2021.; Eurostat</w:t>
      </w:r>
    </w:p>
  </w:footnote>
  <w:footnote w:id="29">
    <w:p w14:paraId="73A1E412" w14:textId="77777777" w:rsidR="00710303" w:rsidRPr="00D6280B" w:rsidRDefault="00710303" w:rsidP="00E87AC6">
      <w:pPr>
        <w:pStyle w:val="Tekstfusnote"/>
        <w:rPr>
          <w:sz w:val="18"/>
          <w:szCs w:val="18"/>
          <w:lang w:val="hr-HR"/>
        </w:rPr>
      </w:pPr>
      <w:r>
        <w:rPr>
          <w:rStyle w:val="Referencafusnote"/>
        </w:rPr>
        <w:footnoteRef/>
      </w:r>
      <w:r>
        <w:t xml:space="preserve"> </w:t>
      </w:r>
      <w:bookmarkStart w:id="62" w:name="_Hlk68600252"/>
      <w:r w:rsidRPr="00D6280B">
        <w:rPr>
          <w:sz w:val="18"/>
          <w:szCs w:val="18"/>
        </w:rPr>
        <w:t>Priopćenje: Gradski ured za strategijsko planiranje i razvoj Grada, 04. ožujka 2021.</w:t>
      </w:r>
      <w:bookmarkEnd w:id="62"/>
    </w:p>
  </w:footnote>
  <w:footnote w:id="30">
    <w:p w14:paraId="24B76A32" w14:textId="77777777" w:rsidR="00710303" w:rsidRPr="00ED1BCF" w:rsidRDefault="00710303" w:rsidP="00E87AC6">
      <w:pPr>
        <w:pStyle w:val="Tekstfusnote"/>
        <w:spacing w:after="0" w:line="240" w:lineRule="auto"/>
        <w:rPr>
          <w:sz w:val="18"/>
          <w:szCs w:val="18"/>
        </w:rPr>
      </w:pPr>
      <w:r>
        <w:rPr>
          <w:rStyle w:val="Referencafusnote"/>
        </w:rPr>
        <w:footnoteRef/>
      </w:r>
      <w:r>
        <w:t xml:space="preserve"> </w:t>
      </w:r>
      <w:r w:rsidRPr="00ED1BCF">
        <w:rPr>
          <w:sz w:val="18"/>
          <w:szCs w:val="18"/>
        </w:rPr>
        <w:t>Priopćenje DZS broj: 11.1.2/1.</w:t>
      </w:r>
    </w:p>
  </w:footnote>
  <w:footnote w:id="31">
    <w:p w14:paraId="2B71CA1F" w14:textId="77777777" w:rsidR="00710303" w:rsidRPr="00C13F8E" w:rsidRDefault="00710303" w:rsidP="00E87AC6">
      <w:pPr>
        <w:pStyle w:val="Tekstfusnote"/>
        <w:spacing w:after="0"/>
        <w:rPr>
          <w:sz w:val="18"/>
          <w:szCs w:val="18"/>
          <w:lang w:val="hr-HR"/>
        </w:rPr>
      </w:pPr>
      <w:r>
        <w:rPr>
          <w:rStyle w:val="Referencafusnote"/>
        </w:rPr>
        <w:footnoteRef/>
      </w:r>
      <w:r>
        <w:t xml:space="preserve"> </w:t>
      </w:r>
      <w:r>
        <w:rPr>
          <w:lang w:val="hr-HR"/>
        </w:rPr>
        <w:t xml:space="preserve">Izvor: </w:t>
      </w:r>
      <w:r w:rsidRPr="00C13F8E">
        <w:rPr>
          <w:sz w:val="18"/>
          <w:szCs w:val="18"/>
          <w:lang w:val="hr-HR"/>
        </w:rPr>
        <w:t>HGK Analiza hrvatske IT industrije 2014-2019, Zagreb, prosinac 2020.</w:t>
      </w:r>
    </w:p>
  </w:footnote>
  <w:footnote w:id="32">
    <w:p w14:paraId="4763C574" w14:textId="77777777" w:rsidR="00710303" w:rsidRPr="008C2EEB" w:rsidRDefault="00710303" w:rsidP="00E87AC6">
      <w:pPr>
        <w:pStyle w:val="Tekstfusnote"/>
        <w:spacing w:after="0"/>
        <w:rPr>
          <w:sz w:val="18"/>
          <w:szCs w:val="18"/>
        </w:rPr>
      </w:pPr>
      <w:r>
        <w:rPr>
          <w:rStyle w:val="Referencafusnote"/>
        </w:rPr>
        <w:footnoteRef/>
      </w:r>
      <w:r>
        <w:t xml:space="preserve"> </w:t>
      </w:r>
      <w:r w:rsidRPr="008C2EEB">
        <w:rPr>
          <w:sz w:val="18"/>
          <w:szCs w:val="18"/>
        </w:rPr>
        <w:t>Izvor: Priopćenja Gradskog ureda za strategijsko planiranje i razvoj grada, Odjel za statističke i analitičke poslove</w:t>
      </w:r>
    </w:p>
    <w:p w14:paraId="599AC3D6" w14:textId="77777777" w:rsidR="00710303" w:rsidRPr="008C2EEB" w:rsidRDefault="00710303" w:rsidP="00E87AC6">
      <w:pPr>
        <w:pStyle w:val="Tekstfusnote"/>
        <w:rPr>
          <w:lang w:val="hr-HR"/>
        </w:rPr>
      </w:pPr>
      <w:r>
        <w:t xml:space="preserve">   </w:t>
      </w:r>
    </w:p>
  </w:footnote>
  <w:footnote w:id="33">
    <w:p w14:paraId="2157DAA3" w14:textId="77777777" w:rsidR="00710303" w:rsidRPr="00950064" w:rsidRDefault="00710303" w:rsidP="00E87AC6">
      <w:pPr>
        <w:pStyle w:val="Tekstfusnote"/>
        <w:rPr>
          <w:sz w:val="18"/>
          <w:szCs w:val="18"/>
          <w:lang w:val="hr-HR"/>
        </w:rPr>
      </w:pPr>
      <w:r>
        <w:rPr>
          <w:rStyle w:val="Referencafusnote"/>
        </w:rPr>
        <w:footnoteRef/>
      </w:r>
      <w:r>
        <w:t xml:space="preserve"> </w:t>
      </w:r>
      <w:r w:rsidRPr="00950064">
        <w:rPr>
          <w:sz w:val="18"/>
          <w:szCs w:val="18"/>
          <w:lang w:val="hr-HR"/>
        </w:rPr>
        <w:t xml:space="preserve">HUP; </w:t>
      </w:r>
      <w:r w:rsidRPr="00950064">
        <w:rPr>
          <w:sz w:val="18"/>
          <w:szCs w:val="18"/>
        </w:rPr>
        <w:t>Hrvatsko gospodarstvo u 2020. i očekivanja za 2021. iz perspektive poduzetnika</w:t>
      </w:r>
      <w:r w:rsidRPr="00950064">
        <w:rPr>
          <w:sz w:val="18"/>
          <w:szCs w:val="18"/>
          <w:lang w:val="hr-HR"/>
        </w:rPr>
        <w:t>, prosinac 2020</w:t>
      </w:r>
    </w:p>
  </w:footnote>
  <w:footnote w:id="34">
    <w:p w14:paraId="426B564A" w14:textId="77777777" w:rsidR="00710303" w:rsidRPr="00DD5DFB" w:rsidRDefault="00710303" w:rsidP="00E87AC6">
      <w:pPr>
        <w:pStyle w:val="Tekstfusnote"/>
        <w:spacing w:after="0"/>
        <w:rPr>
          <w:rFonts w:asciiTheme="minorHAnsi" w:hAnsiTheme="minorHAnsi"/>
          <w:sz w:val="18"/>
          <w:szCs w:val="18"/>
          <w:lang w:val="hr-HR"/>
        </w:rPr>
      </w:pPr>
      <w:r>
        <w:rPr>
          <w:rStyle w:val="Referencafusnote"/>
        </w:rPr>
        <w:footnoteRef/>
      </w:r>
      <w:r>
        <w:t xml:space="preserve"> </w:t>
      </w:r>
      <w:r w:rsidRPr="00DD5DFB">
        <w:rPr>
          <w:sz w:val="18"/>
          <w:szCs w:val="18"/>
        </w:rPr>
        <w:t>https://www.zagreb.hr/priopcenje-za-javnost-dodjela-potpora-za-razvoj-dr/153077</w:t>
      </w:r>
    </w:p>
  </w:footnote>
  <w:footnote w:id="35">
    <w:p w14:paraId="2ADA1BC4" w14:textId="77777777" w:rsidR="00710303" w:rsidRDefault="00710303" w:rsidP="00E87AC6">
      <w:pPr>
        <w:pStyle w:val="Tekstfusnote"/>
      </w:pPr>
      <w:r>
        <w:rPr>
          <w:rStyle w:val="Referencafusnote"/>
        </w:rPr>
        <w:footnoteRef/>
      </w:r>
      <w:r>
        <w:t xml:space="preserve"> </w:t>
      </w:r>
      <w:r w:rsidRPr="00E30154">
        <w:rPr>
          <w:rFonts w:cs="Calibri"/>
          <w:sz w:val="18"/>
          <w:szCs w:val="18"/>
        </w:rPr>
        <w:t>Ukupne isplate za investicije u dugotrajnu imovinu znatno su veće (u Zagrebu su 201</w:t>
      </w:r>
      <w:r w:rsidRPr="00E30154">
        <w:rPr>
          <w:rFonts w:cs="Calibri"/>
          <w:sz w:val="18"/>
          <w:szCs w:val="18"/>
          <w:lang w:val="hr-HR"/>
        </w:rPr>
        <w:t>9</w:t>
      </w:r>
      <w:r w:rsidRPr="00E30154">
        <w:rPr>
          <w:rFonts w:cs="Calibri"/>
          <w:sz w:val="18"/>
          <w:szCs w:val="18"/>
        </w:rPr>
        <w:t>. iznosile 31 404 262 tisuće kuna, budući</w:t>
      </w:r>
      <w:r w:rsidRPr="00E30154">
        <w:rPr>
          <w:rFonts w:cs="Calibri"/>
          <w:sz w:val="18"/>
          <w:szCs w:val="18"/>
          <w:lang w:val="hr-HR"/>
        </w:rPr>
        <w:t xml:space="preserve"> da</w:t>
      </w:r>
      <w:r w:rsidRPr="00E30154">
        <w:rPr>
          <w:rFonts w:cs="Calibri"/>
          <w:sz w:val="18"/>
          <w:szCs w:val="18"/>
        </w:rPr>
        <w:t xml:space="preserve"> se financiraju i iz drugih izvora sredstava (iz financijskih kredita, iz sredstava fondova i proračuna te iz udruženih sredstava).</w:t>
      </w:r>
      <w:r>
        <w:rPr>
          <w:rFonts w:ascii="Arial" w:hAnsi="Arial" w:cs="Arial"/>
          <w:sz w:val="18"/>
          <w:szCs w:val="18"/>
        </w:rPr>
        <w:t xml:space="preserve"> </w:t>
      </w:r>
    </w:p>
  </w:footnote>
  <w:footnote w:id="36">
    <w:p w14:paraId="0C3F47A0" w14:textId="1AED4724" w:rsidR="00710303" w:rsidRPr="00E93A23" w:rsidRDefault="00710303">
      <w:pPr>
        <w:pStyle w:val="Tekstfusnote"/>
        <w:rPr>
          <w:lang w:val="hr-HR"/>
        </w:rPr>
      </w:pPr>
      <w:r>
        <w:rPr>
          <w:rStyle w:val="Referencafusnote"/>
        </w:rPr>
        <w:footnoteRef/>
      </w:r>
      <w:r>
        <w:t xml:space="preserve"> </w:t>
      </w:r>
      <w:r>
        <w:rPr>
          <w:lang w:val="hr-HR"/>
        </w:rPr>
        <w:t>Statistički ljetopis Grada Zagreba 2021.</w:t>
      </w:r>
    </w:p>
  </w:footnote>
  <w:footnote w:id="37">
    <w:p w14:paraId="0C68019A" w14:textId="77777777" w:rsidR="00710303" w:rsidRPr="000278A6" w:rsidRDefault="00710303" w:rsidP="00E87AC6">
      <w:pPr>
        <w:pStyle w:val="Tekstfusnote"/>
        <w:spacing w:after="0"/>
        <w:rPr>
          <w:lang w:val="hr-HR"/>
        </w:rPr>
      </w:pPr>
      <w:r>
        <w:rPr>
          <w:rStyle w:val="Referencafusnote"/>
        </w:rPr>
        <w:footnoteRef/>
      </w:r>
      <w:r>
        <w:t xml:space="preserve"> </w:t>
      </w:r>
      <w:r w:rsidRPr="00DD5DFB">
        <w:rPr>
          <w:sz w:val="18"/>
          <w:szCs w:val="18"/>
        </w:rPr>
        <w:t xml:space="preserve">Nacionalno vijeće za konkurentnost, Regionalni indeks konkurentnosti 2013., </w:t>
      </w:r>
      <w:hyperlink r:id="rId4" w:history="1">
        <w:r w:rsidRPr="00DD5DFB">
          <w:rPr>
            <w:rStyle w:val="Hiperveza"/>
            <w:sz w:val="18"/>
            <w:szCs w:val="18"/>
          </w:rPr>
          <w:t>http://www.konkurentnost.hr/</w:t>
        </w:r>
      </w:hyperlink>
    </w:p>
  </w:footnote>
  <w:footnote w:id="38">
    <w:p w14:paraId="0D122ACB" w14:textId="77777777" w:rsidR="00710303" w:rsidRPr="00773F24" w:rsidRDefault="00710303" w:rsidP="00E87AC6">
      <w:pPr>
        <w:pStyle w:val="Tekstfusnote"/>
        <w:spacing w:after="0" w:line="240" w:lineRule="auto"/>
        <w:rPr>
          <w:lang w:val="hr-HR"/>
        </w:rPr>
      </w:pPr>
      <w:r>
        <w:rPr>
          <w:rStyle w:val="Referencafusnote"/>
        </w:rPr>
        <w:footnoteRef/>
      </w:r>
      <w:r>
        <w:t xml:space="preserve"> </w:t>
      </w:r>
      <w:r w:rsidRPr="00773F24">
        <w:rPr>
          <w:sz w:val="18"/>
          <w:szCs w:val="18"/>
        </w:rPr>
        <w:t>Hrvatska gospodarska komor</w:t>
      </w:r>
      <w:r w:rsidRPr="00773F24">
        <w:rPr>
          <w:sz w:val="18"/>
          <w:szCs w:val="18"/>
          <w:lang w:val="hr-HR"/>
        </w:rPr>
        <w:t xml:space="preserve">a, </w:t>
      </w:r>
      <w:r w:rsidRPr="00773F24">
        <w:rPr>
          <w:sz w:val="18"/>
          <w:szCs w:val="18"/>
        </w:rPr>
        <w:t>Robna razmjena županija RH s inozemstvom</w:t>
      </w:r>
      <w:r w:rsidRPr="00773F24">
        <w:rPr>
          <w:sz w:val="18"/>
          <w:szCs w:val="18"/>
          <w:lang w:val="hr-HR"/>
        </w:rPr>
        <w:t xml:space="preserve"> u 2019. godini</w:t>
      </w:r>
    </w:p>
  </w:footnote>
  <w:footnote w:id="39">
    <w:p w14:paraId="0D0069EB" w14:textId="77777777" w:rsidR="00710303" w:rsidRPr="00F97132" w:rsidRDefault="00710303" w:rsidP="00E87AC6">
      <w:pPr>
        <w:pStyle w:val="Tekstfusnote"/>
        <w:spacing w:after="0" w:line="240" w:lineRule="auto"/>
        <w:rPr>
          <w:sz w:val="18"/>
          <w:szCs w:val="18"/>
          <w:lang w:val="hr-HR"/>
        </w:rPr>
      </w:pPr>
      <w:r>
        <w:rPr>
          <w:rStyle w:val="Referencafusnote"/>
        </w:rPr>
        <w:footnoteRef/>
      </w:r>
      <w:r>
        <w:t xml:space="preserve"> </w:t>
      </w:r>
      <w:r w:rsidRPr="00F97132">
        <w:rPr>
          <w:sz w:val="18"/>
          <w:szCs w:val="18"/>
        </w:rPr>
        <w:t>Izvor: MRMSOP; HZZ; HZMO</w:t>
      </w:r>
    </w:p>
  </w:footnote>
  <w:footnote w:id="40">
    <w:p w14:paraId="63EC0A60" w14:textId="77777777" w:rsidR="00710303" w:rsidRPr="00F97132" w:rsidRDefault="00710303" w:rsidP="00E87AC6">
      <w:pPr>
        <w:pStyle w:val="Tekstfusnote"/>
        <w:spacing w:after="0" w:line="240" w:lineRule="auto"/>
        <w:rPr>
          <w:sz w:val="18"/>
          <w:szCs w:val="18"/>
          <w:lang w:val="hr-HR"/>
        </w:rPr>
      </w:pPr>
      <w:r w:rsidRPr="00F97132">
        <w:rPr>
          <w:rStyle w:val="Referencafusnote"/>
          <w:sz w:val="18"/>
          <w:szCs w:val="18"/>
        </w:rPr>
        <w:footnoteRef/>
      </w:r>
      <w:r w:rsidRPr="00F97132">
        <w:rPr>
          <w:sz w:val="18"/>
          <w:szCs w:val="18"/>
        </w:rPr>
        <w:t xml:space="preserve"> </w:t>
      </w:r>
      <w:r w:rsidRPr="00F97132">
        <w:rPr>
          <w:sz w:val="18"/>
          <w:szCs w:val="18"/>
          <w:lang w:val="hr-HR"/>
        </w:rPr>
        <w:t xml:space="preserve">Izvor: </w:t>
      </w:r>
      <w:r w:rsidRPr="00F97132">
        <w:rPr>
          <w:sz w:val="18"/>
          <w:szCs w:val="18"/>
        </w:rPr>
        <w:t>Priopćenje</w:t>
      </w:r>
      <w:r w:rsidRPr="00F97132">
        <w:rPr>
          <w:sz w:val="18"/>
          <w:szCs w:val="18"/>
          <w:lang w:val="hr-HR"/>
        </w:rPr>
        <w:t xml:space="preserve"> </w:t>
      </w:r>
      <w:r w:rsidRPr="00F97132">
        <w:rPr>
          <w:sz w:val="18"/>
          <w:szCs w:val="18"/>
        </w:rPr>
        <w:t>Gradsk</w:t>
      </w:r>
      <w:r w:rsidRPr="00F97132">
        <w:rPr>
          <w:sz w:val="18"/>
          <w:szCs w:val="18"/>
          <w:lang w:val="hr-HR"/>
        </w:rPr>
        <w:t xml:space="preserve">og </w:t>
      </w:r>
      <w:r w:rsidRPr="00F97132">
        <w:rPr>
          <w:sz w:val="18"/>
          <w:szCs w:val="18"/>
        </w:rPr>
        <w:t>ured</w:t>
      </w:r>
      <w:r w:rsidRPr="00F97132">
        <w:rPr>
          <w:sz w:val="18"/>
          <w:szCs w:val="18"/>
          <w:lang w:val="hr-HR"/>
        </w:rPr>
        <w:t>a</w:t>
      </w:r>
      <w:r w:rsidRPr="00F97132">
        <w:rPr>
          <w:sz w:val="18"/>
          <w:szCs w:val="18"/>
        </w:rPr>
        <w:t xml:space="preserve"> za strategijsko planiranje i razvoj Grada, 10. ožujka 2021.</w:t>
      </w:r>
    </w:p>
  </w:footnote>
  <w:footnote w:id="41">
    <w:p w14:paraId="7156F2F1" w14:textId="77777777" w:rsidR="00710303" w:rsidRPr="00A20A87" w:rsidRDefault="00710303" w:rsidP="00E87AC6">
      <w:pPr>
        <w:pStyle w:val="Tekstfusnote"/>
        <w:spacing w:after="0" w:line="240" w:lineRule="auto"/>
        <w:rPr>
          <w:sz w:val="18"/>
          <w:szCs w:val="18"/>
          <w:lang w:val="hr-HR"/>
        </w:rPr>
      </w:pPr>
      <w:r>
        <w:rPr>
          <w:rStyle w:val="Referencafusnote"/>
        </w:rPr>
        <w:footnoteRef/>
      </w:r>
      <w:r>
        <w:t xml:space="preserve"> </w:t>
      </w:r>
      <w:r w:rsidRPr="00A20A87">
        <w:rPr>
          <w:sz w:val="18"/>
          <w:szCs w:val="18"/>
          <w:lang w:val="hr-HR"/>
        </w:rPr>
        <w:t xml:space="preserve">Izvor: </w:t>
      </w:r>
      <w:bookmarkStart w:id="90" w:name="_Hlk69979910"/>
      <w:r w:rsidRPr="00A20A87">
        <w:rPr>
          <w:sz w:val="18"/>
          <w:szCs w:val="18"/>
          <w:lang w:val="hr-HR"/>
        </w:rPr>
        <w:t xml:space="preserve">Grad Zagreb, Gradski ured za strategijsko planiranje i razvoj </w:t>
      </w:r>
      <w:r>
        <w:rPr>
          <w:sz w:val="18"/>
          <w:szCs w:val="18"/>
          <w:lang w:val="hr-HR"/>
        </w:rPr>
        <w:t>G</w:t>
      </w:r>
      <w:r w:rsidRPr="00A20A87">
        <w:rPr>
          <w:sz w:val="18"/>
          <w:szCs w:val="18"/>
          <w:lang w:val="hr-HR"/>
        </w:rPr>
        <w:t>rada</w:t>
      </w:r>
      <w:bookmarkEnd w:id="90"/>
    </w:p>
  </w:footnote>
  <w:footnote w:id="42">
    <w:p w14:paraId="2FB3013C" w14:textId="77777777" w:rsidR="00710303" w:rsidRPr="00A20A87" w:rsidRDefault="00710303" w:rsidP="00E87AC6">
      <w:pPr>
        <w:pStyle w:val="Tekstfusnote"/>
        <w:spacing w:after="0" w:line="240" w:lineRule="auto"/>
        <w:rPr>
          <w:sz w:val="18"/>
          <w:szCs w:val="18"/>
          <w:lang w:val="hr-HR"/>
        </w:rPr>
      </w:pPr>
      <w:r w:rsidRPr="00A20A87">
        <w:rPr>
          <w:rStyle w:val="Referencafusnote"/>
          <w:sz w:val="18"/>
          <w:szCs w:val="18"/>
        </w:rPr>
        <w:footnoteRef/>
      </w:r>
      <w:r w:rsidRPr="00A20A87">
        <w:rPr>
          <w:sz w:val="18"/>
          <w:szCs w:val="18"/>
        </w:rPr>
        <w:t xml:space="preserve"> </w:t>
      </w:r>
      <w:r w:rsidRPr="00A20A87">
        <w:rPr>
          <w:sz w:val="18"/>
          <w:szCs w:val="18"/>
          <w:lang w:val="hr-HR"/>
        </w:rPr>
        <w:t xml:space="preserve">Izvor: </w:t>
      </w:r>
      <w:bookmarkStart w:id="91" w:name="_Hlk69980131"/>
      <w:r w:rsidRPr="00A20A87">
        <w:rPr>
          <w:sz w:val="18"/>
          <w:szCs w:val="18"/>
          <w:lang w:val="hr-HR"/>
        </w:rPr>
        <w:t xml:space="preserve">Grad Zagreb, Gradski ured za strategijsko planiranje i razvoj </w:t>
      </w:r>
      <w:r>
        <w:rPr>
          <w:sz w:val="18"/>
          <w:szCs w:val="18"/>
          <w:lang w:val="hr-HR"/>
        </w:rPr>
        <w:t>G</w:t>
      </w:r>
      <w:r w:rsidRPr="00A20A87">
        <w:rPr>
          <w:sz w:val="18"/>
          <w:szCs w:val="18"/>
          <w:lang w:val="hr-HR"/>
        </w:rPr>
        <w:t>rada</w:t>
      </w:r>
      <w:bookmarkEnd w:id="91"/>
    </w:p>
  </w:footnote>
  <w:footnote w:id="43">
    <w:p w14:paraId="0143340A" w14:textId="77777777" w:rsidR="00710303" w:rsidRPr="00A20A87" w:rsidRDefault="00710303" w:rsidP="00E87AC6">
      <w:pPr>
        <w:pStyle w:val="Tekstfusnote"/>
        <w:spacing w:after="0" w:line="240" w:lineRule="auto"/>
        <w:rPr>
          <w:sz w:val="18"/>
          <w:szCs w:val="18"/>
          <w:lang w:val="hr-HR"/>
        </w:rPr>
      </w:pPr>
      <w:r>
        <w:rPr>
          <w:rStyle w:val="Referencafusnote"/>
        </w:rPr>
        <w:footnoteRef/>
      </w:r>
      <w:r>
        <w:t xml:space="preserve"> </w:t>
      </w:r>
      <w:bookmarkStart w:id="92" w:name="_Hlk96681432"/>
      <w:r w:rsidRPr="00A20A87">
        <w:rPr>
          <w:sz w:val="18"/>
          <w:szCs w:val="18"/>
          <w:lang w:val="hr-HR"/>
        </w:rPr>
        <w:t>Izvor: Grad Zagreb, Gradski ured za strategijsko planiranje i razvoj Grada</w:t>
      </w:r>
      <w:bookmarkEnd w:id="92"/>
    </w:p>
  </w:footnote>
  <w:footnote w:id="44">
    <w:p w14:paraId="0A3023ED" w14:textId="77777777" w:rsidR="00710303" w:rsidRPr="00A20A87" w:rsidRDefault="00710303" w:rsidP="00E87AC6">
      <w:pPr>
        <w:pStyle w:val="Tekstfusnote"/>
        <w:spacing w:after="0" w:line="240" w:lineRule="auto"/>
        <w:rPr>
          <w:sz w:val="18"/>
          <w:szCs w:val="18"/>
          <w:lang w:val="hr-HR"/>
        </w:rPr>
      </w:pPr>
      <w:r w:rsidRPr="00A20A87">
        <w:rPr>
          <w:rStyle w:val="Referencafusnote"/>
          <w:sz w:val="18"/>
          <w:szCs w:val="18"/>
        </w:rPr>
        <w:footnoteRef/>
      </w:r>
      <w:r w:rsidRPr="00A20A87">
        <w:rPr>
          <w:sz w:val="18"/>
          <w:szCs w:val="18"/>
        </w:rPr>
        <w:t xml:space="preserve"> </w:t>
      </w:r>
      <w:r w:rsidRPr="00A20A87">
        <w:rPr>
          <w:sz w:val="18"/>
          <w:szCs w:val="18"/>
          <w:lang w:val="hr-HR"/>
        </w:rPr>
        <w:t>Izvor: Zagreb Visitor Survey 2017/18 - Infographic Report, STR</w:t>
      </w:r>
    </w:p>
  </w:footnote>
  <w:footnote w:id="45">
    <w:p w14:paraId="73DEE8BA" w14:textId="77777777" w:rsidR="00710303" w:rsidRPr="00A20A87" w:rsidRDefault="00710303" w:rsidP="00E87AC6">
      <w:pPr>
        <w:pStyle w:val="Tekstfusnote"/>
        <w:spacing w:after="0" w:line="240" w:lineRule="auto"/>
        <w:rPr>
          <w:sz w:val="18"/>
          <w:szCs w:val="18"/>
          <w:lang w:val="hr-HR"/>
        </w:rPr>
      </w:pPr>
      <w:r w:rsidRPr="00A20A87">
        <w:rPr>
          <w:rStyle w:val="Referencafusnote"/>
          <w:sz w:val="18"/>
          <w:szCs w:val="18"/>
        </w:rPr>
        <w:footnoteRef/>
      </w:r>
      <w:r w:rsidRPr="00A20A87">
        <w:rPr>
          <w:sz w:val="18"/>
          <w:szCs w:val="18"/>
        </w:rPr>
        <w:t xml:space="preserve"> </w:t>
      </w:r>
      <w:r w:rsidRPr="00A20A87">
        <w:rPr>
          <w:sz w:val="18"/>
          <w:szCs w:val="18"/>
          <w:lang w:val="hr-HR"/>
        </w:rPr>
        <w:t>Izvor: Zagreb Visitor Survey 2017/18 - Infographic Report, STR</w:t>
      </w:r>
    </w:p>
  </w:footnote>
  <w:footnote w:id="46">
    <w:p w14:paraId="499324AA" w14:textId="77777777" w:rsidR="00710303" w:rsidRPr="00A20A87" w:rsidRDefault="00710303" w:rsidP="00E87AC6">
      <w:pPr>
        <w:pStyle w:val="Tekstfusnote"/>
        <w:spacing w:after="0"/>
        <w:rPr>
          <w:sz w:val="18"/>
          <w:szCs w:val="18"/>
          <w:lang w:val="hr-HR"/>
        </w:rPr>
      </w:pPr>
      <w:r w:rsidRPr="00A20A87">
        <w:rPr>
          <w:rStyle w:val="Referencafusnote"/>
          <w:sz w:val="18"/>
          <w:szCs w:val="18"/>
        </w:rPr>
        <w:footnoteRef/>
      </w:r>
      <w:r w:rsidRPr="00A20A87">
        <w:rPr>
          <w:sz w:val="18"/>
          <w:szCs w:val="18"/>
        </w:rPr>
        <w:t xml:space="preserve"> </w:t>
      </w:r>
      <w:r w:rsidRPr="00A20A87">
        <w:rPr>
          <w:sz w:val="18"/>
          <w:szCs w:val="18"/>
          <w:lang w:val="hr-HR"/>
        </w:rPr>
        <w:t>Izvor: Stavovi i potrošnja turista u Hrvatskoj 2019, Institut za turizam</w:t>
      </w:r>
    </w:p>
  </w:footnote>
  <w:footnote w:id="47">
    <w:p w14:paraId="2CF25E02" w14:textId="77777777" w:rsidR="00710303" w:rsidRPr="00B56617" w:rsidRDefault="00710303" w:rsidP="00E87AC6">
      <w:pPr>
        <w:pStyle w:val="Tekstfusnote"/>
        <w:spacing w:after="0" w:line="240" w:lineRule="auto"/>
        <w:rPr>
          <w:sz w:val="18"/>
          <w:szCs w:val="18"/>
          <w:lang w:val="hr-HR"/>
        </w:rPr>
      </w:pPr>
      <w:r>
        <w:rPr>
          <w:rStyle w:val="Referencafusnote"/>
        </w:rPr>
        <w:footnoteRef/>
      </w:r>
      <w:r>
        <w:t xml:space="preserve"> </w:t>
      </w:r>
      <w:r w:rsidRPr="00B56617">
        <w:rPr>
          <w:sz w:val="18"/>
          <w:szCs w:val="18"/>
          <w:lang w:val="hr-HR"/>
        </w:rPr>
        <w:t xml:space="preserve">Izvor: Interna obrada, </w:t>
      </w:r>
      <w:bookmarkStart w:id="93" w:name="_Hlk63160584"/>
      <w:r w:rsidRPr="00B56617">
        <w:rPr>
          <w:sz w:val="18"/>
          <w:szCs w:val="18"/>
          <w:lang w:val="hr-HR"/>
        </w:rPr>
        <w:t>Gradski ured za gospodarstvo, energetiku i zaštitu okoliša</w:t>
      </w:r>
      <w:bookmarkEnd w:id="93"/>
    </w:p>
  </w:footnote>
  <w:footnote w:id="48">
    <w:p w14:paraId="690D3ACE" w14:textId="77777777" w:rsidR="00710303" w:rsidRPr="00B56617" w:rsidRDefault="00710303" w:rsidP="00E87AC6">
      <w:pPr>
        <w:pStyle w:val="Tekstfusnote"/>
        <w:spacing w:after="0" w:line="240" w:lineRule="auto"/>
        <w:rPr>
          <w:sz w:val="18"/>
          <w:szCs w:val="18"/>
          <w:lang w:val="hr-HR"/>
        </w:rPr>
      </w:pPr>
      <w:r w:rsidRPr="00B56617">
        <w:rPr>
          <w:rStyle w:val="Referencafusnote"/>
          <w:sz w:val="18"/>
          <w:szCs w:val="18"/>
        </w:rPr>
        <w:footnoteRef/>
      </w:r>
      <w:r w:rsidRPr="00B56617">
        <w:rPr>
          <w:sz w:val="18"/>
          <w:szCs w:val="18"/>
        </w:rPr>
        <w:t xml:space="preserve"> </w:t>
      </w:r>
      <w:r w:rsidRPr="00B56617">
        <w:rPr>
          <w:sz w:val="18"/>
          <w:szCs w:val="18"/>
          <w:lang w:val="hr-HR"/>
        </w:rPr>
        <w:t>Izvor: Interna obrada, Gradski ured za gospodarstvo, energetiku i zaštitu okoliša</w:t>
      </w:r>
    </w:p>
  </w:footnote>
  <w:footnote w:id="49">
    <w:p w14:paraId="3B95E700" w14:textId="77777777" w:rsidR="00710303" w:rsidRPr="00B56617" w:rsidRDefault="00710303" w:rsidP="00E87AC6">
      <w:pPr>
        <w:pStyle w:val="Tekstfusnote"/>
        <w:spacing w:after="0" w:line="240" w:lineRule="auto"/>
        <w:rPr>
          <w:sz w:val="18"/>
          <w:szCs w:val="18"/>
          <w:lang w:val="hr-HR"/>
        </w:rPr>
      </w:pPr>
      <w:r w:rsidRPr="00B56617">
        <w:rPr>
          <w:rStyle w:val="Referencafusnote"/>
          <w:sz w:val="18"/>
          <w:szCs w:val="18"/>
        </w:rPr>
        <w:footnoteRef/>
      </w:r>
      <w:r w:rsidRPr="00B56617">
        <w:rPr>
          <w:sz w:val="18"/>
          <w:szCs w:val="18"/>
        </w:rPr>
        <w:t xml:space="preserve"> </w:t>
      </w:r>
      <w:r w:rsidRPr="00B56617">
        <w:rPr>
          <w:sz w:val="18"/>
          <w:szCs w:val="18"/>
          <w:lang w:val="hr-HR"/>
        </w:rPr>
        <w:t>Izvor: Anketa, Gradski ured za gospodarstvo, energetiku i zaštitu okoliša</w:t>
      </w:r>
    </w:p>
    <w:p w14:paraId="00CBAFA3" w14:textId="77777777" w:rsidR="00710303" w:rsidRPr="00B56617" w:rsidRDefault="00710303" w:rsidP="00E87AC6">
      <w:pPr>
        <w:pStyle w:val="Tekstfusnote"/>
        <w:spacing w:after="0" w:line="240" w:lineRule="auto"/>
        <w:rPr>
          <w:sz w:val="18"/>
          <w:szCs w:val="18"/>
          <w:lang w:val="hr-HR"/>
        </w:rPr>
      </w:pPr>
    </w:p>
  </w:footnote>
  <w:footnote w:id="50">
    <w:p w14:paraId="1B941F24" w14:textId="77777777" w:rsidR="00710303" w:rsidRDefault="00710303" w:rsidP="00C5315F">
      <w:pPr>
        <w:pStyle w:val="Tekstfusnote"/>
      </w:pPr>
      <w:r>
        <w:rPr>
          <w:rStyle w:val="Referencafusnote"/>
        </w:rPr>
        <w:footnoteRef/>
      </w:r>
      <w:r>
        <w:t xml:space="preserve"> </w:t>
      </w:r>
      <w:r w:rsidRPr="00601F14">
        <w:rPr>
          <w:rFonts w:cs="Calibri"/>
          <w:bCs/>
          <w:iCs/>
        </w:rPr>
        <w:t xml:space="preserve">Zakon o prostornom uređenju </w:t>
      </w:r>
      <w:r>
        <w:rPr>
          <w:lang w:val="hr-HR"/>
        </w:rPr>
        <w:t>(</w:t>
      </w:r>
      <w:r w:rsidRPr="004509CB">
        <w:rPr>
          <w:lang w:val="hr-HR"/>
        </w:rPr>
        <w:t>NN 153/13, 65/17, 114/18, 39/19, 98/19</w:t>
      </w:r>
      <w:r>
        <w:rPr>
          <w:lang w:val="hr-HR"/>
        </w:rPr>
        <w:t>)</w:t>
      </w:r>
    </w:p>
  </w:footnote>
  <w:footnote w:id="51">
    <w:p w14:paraId="1C7B5E8E" w14:textId="77777777" w:rsidR="00710303" w:rsidRDefault="00710303" w:rsidP="00C5315F">
      <w:pPr>
        <w:pStyle w:val="Tekstfusnote"/>
      </w:pPr>
      <w:r>
        <w:rPr>
          <w:rStyle w:val="Referencafusnote"/>
        </w:rPr>
        <w:footnoteRef/>
      </w:r>
      <w:r>
        <w:t xml:space="preserve"> Odluka o donošenju Višegodišnjeg programa gradnje komunalnih vodnih građevina, NN117/15</w:t>
      </w:r>
    </w:p>
  </w:footnote>
  <w:footnote w:id="52">
    <w:p w14:paraId="43E72316" w14:textId="77777777" w:rsidR="00710303" w:rsidRPr="00B11B86" w:rsidRDefault="00710303" w:rsidP="00C5315F">
      <w:pPr>
        <w:pStyle w:val="Tekstfusnote"/>
        <w:rPr>
          <w:lang w:val="hr-HR"/>
        </w:rPr>
      </w:pPr>
      <w:r>
        <w:rPr>
          <w:rStyle w:val="Referencafusnote"/>
        </w:rPr>
        <w:footnoteRef/>
      </w:r>
      <w:r>
        <w:t xml:space="preserve"> </w:t>
      </w:r>
      <w:r>
        <w:rPr>
          <w:lang w:val="hr-HR"/>
        </w:rPr>
        <w:t>Izvor: Statistički ljetopis Grada Zagreba 2020.</w:t>
      </w:r>
    </w:p>
  </w:footnote>
  <w:footnote w:id="53">
    <w:p w14:paraId="1539D0FF" w14:textId="77777777" w:rsidR="00710303" w:rsidRPr="00F25DBB" w:rsidRDefault="00710303" w:rsidP="00C5315F">
      <w:pPr>
        <w:pStyle w:val="Tekstfusnote"/>
        <w:rPr>
          <w:lang w:val="hr-HR"/>
        </w:rPr>
      </w:pPr>
      <w:r>
        <w:rPr>
          <w:rStyle w:val="Referencafusnote"/>
        </w:rPr>
        <w:footnoteRef/>
      </w:r>
      <w:r>
        <w:t xml:space="preserve"> </w:t>
      </w:r>
      <w:r w:rsidRPr="00F25DBB">
        <w:t>Izvor: Statistički ljetopis Grada Zagreba 20</w:t>
      </w:r>
      <w:r>
        <w:rPr>
          <w:lang w:val="hr-HR"/>
        </w:rPr>
        <w:t>20</w:t>
      </w:r>
      <w:r w:rsidRPr="00F25DBB">
        <w:t>.</w:t>
      </w:r>
    </w:p>
  </w:footnote>
  <w:footnote w:id="54">
    <w:p w14:paraId="66137D7B" w14:textId="77777777" w:rsidR="00710303" w:rsidRPr="00D771AD" w:rsidRDefault="00710303" w:rsidP="00C259BD">
      <w:pPr>
        <w:pStyle w:val="Tekstfusnote"/>
        <w:spacing w:line="240" w:lineRule="auto"/>
        <w:rPr>
          <w:lang w:val="hr-HR"/>
        </w:rPr>
      </w:pPr>
      <w:r>
        <w:rPr>
          <w:rStyle w:val="Referencafusnote"/>
        </w:rPr>
        <w:footnoteRef/>
      </w:r>
      <w:r>
        <w:t xml:space="preserve"> </w:t>
      </w:r>
      <w:r w:rsidRPr="00F25DBB">
        <w:t>Izvor: Statistički ljetopis Grada Zagreba 20</w:t>
      </w:r>
      <w:r>
        <w:rPr>
          <w:lang w:val="hr-HR"/>
        </w:rPr>
        <w:t>20</w:t>
      </w:r>
      <w:r w:rsidRPr="00F25DBB">
        <w:t>.</w:t>
      </w:r>
    </w:p>
  </w:footnote>
  <w:footnote w:id="55">
    <w:p w14:paraId="14C1D664" w14:textId="77777777" w:rsidR="00710303" w:rsidRPr="00D733A2" w:rsidRDefault="00710303" w:rsidP="00C259BD">
      <w:pPr>
        <w:pStyle w:val="Tekstfusnote"/>
        <w:spacing w:line="240" w:lineRule="auto"/>
        <w:rPr>
          <w:lang w:val="hr-HR"/>
        </w:rPr>
      </w:pPr>
      <w:r>
        <w:rPr>
          <w:rStyle w:val="Referencafusnote"/>
        </w:rPr>
        <w:footnoteRef/>
      </w:r>
      <w:r>
        <w:t xml:space="preserve"> </w:t>
      </w:r>
      <w:r w:rsidRPr="00D733A2">
        <w:t>Izvor: Statistički ljetopis Grada Zagreba 20</w:t>
      </w:r>
      <w:r>
        <w:rPr>
          <w:lang w:val="hr-HR"/>
        </w:rPr>
        <w:t>20</w:t>
      </w:r>
      <w:r w:rsidRPr="00D733A2">
        <w:t>.</w:t>
      </w:r>
    </w:p>
  </w:footnote>
  <w:footnote w:id="56">
    <w:p w14:paraId="6B4A73B9" w14:textId="77777777" w:rsidR="00710303" w:rsidRPr="00D771AD" w:rsidRDefault="00710303" w:rsidP="00C259BD">
      <w:pPr>
        <w:pStyle w:val="Tekstfusnote"/>
        <w:spacing w:line="240" w:lineRule="auto"/>
        <w:rPr>
          <w:lang w:val="hr-HR"/>
        </w:rPr>
      </w:pPr>
      <w:r>
        <w:rPr>
          <w:rStyle w:val="Referencafusnote"/>
        </w:rPr>
        <w:footnoteRef/>
      </w:r>
      <w:r>
        <w:t xml:space="preserve"> </w:t>
      </w:r>
      <w:r w:rsidRPr="0050190E">
        <w:t>Izvor: Statistički ljetopis Grada Zagreba 20</w:t>
      </w:r>
      <w:r>
        <w:rPr>
          <w:lang w:val="hr-HR"/>
        </w:rPr>
        <w:t>20</w:t>
      </w:r>
      <w:r w:rsidRPr="0050190E">
        <w:t>.</w:t>
      </w:r>
    </w:p>
  </w:footnote>
  <w:footnote w:id="57">
    <w:p w14:paraId="22465F4B" w14:textId="77777777" w:rsidR="00710303" w:rsidRPr="00A21875" w:rsidRDefault="00710303" w:rsidP="00ED321D">
      <w:pPr>
        <w:pStyle w:val="Tekstfusnote"/>
        <w:spacing w:line="240" w:lineRule="auto"/>
        <w:rPr>
          <w:lang w:val="hr-HR"/>
        </w:rPr>
      </w:pPr>
      <w:r>
        <w:rPr>
          <w:rStyle w:val="Referencafusnote"/>
        </w:rPr>
        <w:footnoteRef/>
      </w:r>
      <w:r>
        <w:t xml:space="preserve"> </w:t>
      </w:r>
      <w:r>
        <w:rPr>
          <w:lang w:val="hr-HR"/>
        </w:rPr>
        <w:t>Izvor: Statistički ljetopis Grada Zagreba 2020.</w:t>
      </w:r>
    </w:p>
  </w:footnote>
  <w:footnote w:id="58">
    <w:p w14:paraId="00C2870F" w14:textId="77777777" w:rsidR="00710303" w:rsidRPr="00A21875" w:rsidRDefault="00710303" w:rsidP="00ED321D">
      <w:pPr>
        <w:pStyle w:val="Tekstfusnote"/>
        <w:spacing w:line="240" w:lineRule="auto"/>
        <w:rPr>
          <w:lang w:val="hr-HR"/>
        </w:rPr>
      </w:pPr>
      <w:r>
        <w:rPr>
          <w:rStyle w:val="Referencafusnote"/>
        </w:rPr>
        <w:footnoteRef/>
      </w:r>
      <w:r>
        <w:rPr>
          <w:lang w:val="hr-HR"/>
        </w:rPr>
        <w:t>Izvor:</w:t>
      </w:r>
      <w:r>
        <w:t xml:space="preserve"> </w:t>
      </w:r>
      <w:r w:rsidRPr="00A21875">
        <w:t>Masterplan prometnog sustava Grada Zagreba, Zagrebačke županije i Krapinsko-zagorske županije</w:t>
      </w:r>
      <w:r>
        <w:rPr>
          <w:lang w:val="hr-HR"/>
        </w:rPr>
        <w:t>, 2020.</w:t>
      </w:r>
    </w:p>
  </w:footnote>
  <w:footnote w:id="59">
    <w:p w14:paraId="41C3F083" w14:textId="77777777" w:rsidR="00710303" w:rsidRPr="00A21875" w:rsidRDefault="00710303" w:rsidP="00ED321D">
      <w:pPr>
        <w:pStyle w:val="Tekstfusnote"/>
        <w:spacing w:line="240" w:lineRule="auto"/>
        <w:rPr>
          <w:lang w:val="hr-HR"/>
        </w:rPr>
      </w:pPr>
      <w:r>
        <w:rPr>
          <w:rStyle w:val="Referencafusnote"/>
        </w:rPr>
        <w:footnoteRef/>
      </w:r>
      <w:r>
        <w:t xml:space="preserve"> </w:t>
      </w:r>
      <w:r w:rsidRPr="00A21875">
        <w:t>Izvor: Statistički ljetopis Grada Zagreba 20</w:t>
      </w:r>
      <w:r>
        <w:rPr>
          <w:lang w:val="hr-HR"/>
        </w:rPr>
        <w:t>20</w:t>
      </w:r>
      <w:r w:rsidRPr="00A21875">
        <w:t>.</w:t>
      </w:r>
    </w:p>
  </w:footnote>
  <w:footnote w:id="60">
    <w:p w14:paraId="7F872493" w14:textId="77777777" w:rsidR="00710303" w:rsidRPr="00C346B2" w:rsidRDefault="00710303" w:rsidP="006507AC">
      <w:pPr>
        <w:pStyle w:val="Tekstfusnote"/>
        <w:rPr>
          <w:lang w:val="hr-HR"/>
        </w:rPr>
      </w:pPr>
      <w:r>
        <w:rPr>
          <w:rStyle w:val="Referencafusnote"/>
        </w:rPr>
        <w:footnoteRef/>
      </w:r>
      <w:r>
        <w:t xml:space="preserve"> </w:t>
      </w:r>
      <w:r>
        <w:rPr>
          <w:lang w:val="hr-HR"/>
        </w:rPr>
        <w:t>Izvor: Energetski institut Hrvoje Požar, „Energetska bilanca Grada Zagreba za 2020. s projekcijama s procjenama potrošnje za 2021. i 2022.“, srpanj 2021.</w:t>
      </w:r>
    </w:p>
  </w:footnote>
  <w:footnote w:id="61">
    <w:p w14:paraId="25B0F214" w14:textId="77777777" w:rsidR="00710303" w:rsidRPr="00C346B2" w:rsidRDefault="00710303" w:rsidP="006507AC">
      <w:pPr>
        <w:pStyle w:val="Tekstfusnote"/>
        <w:rPr>
          <w:lang w:val="hr-HR"/>
        </w:rPr>
      </w:pPr>
      <w:r>
        <w:rPr>
          <w:rStyle w:val="Referencafusnote"/>
        </w:rPr>
        <w:footnoteRef/>
      </w:r>
      <w:r>
        <w:t xml:space="preserve"> </w:t>
      </w:r>
      <w:r>
        <w:rPr>
          <w:lang w:val="hr-HR"/>
        </w:rPr>
        <w:t>Izvor: Energetski institut Hrvoje Požar, „Energetsko-klimatski razvojni okvir Grada Zagreba do 2030. s pogledom na 2050. godinu“, prosinac 2021.</w:t>
      </w:r>
    </w:p>
  </w:footnote>
  <w:footnote w:id="62">
    <w:p w14:paraId="77177B9F" w14:textId="77777777" w:rsidR="00710303" w:rsidRPr="00B31159" w:rsidRDefault="00710303" w:rsidP="00034784">
      <w:pPr>
        <w:pStyle w:val="Tekstfusnote"/>
        <w:rPr>
          <w:lang w:val="hr-HR"/>
        </w:rPr>
      </w:pPr>
      <w:r>
        <w:rPr>
          <w:rStyle w:val="Referencafusnote"/>
        </w:rPr>
        <w:footnoteRef/>
      </w:r>
      <w:r>
        <w:t xml:space="preserve"> </w:t>
      </w:r>
      <w:r>
        <w:rPr>
          <w:lang w:val="hr-HR"/>
        </w:rPr>
        <w:t>Izvor: HEP Toplinarstvo d.o.o.</w:t>
      </w:r>
    </w:p>
  </w:footnote>
  <w:footnote w:id="63">
    <w:p w14:paraId="5AEE6CDC" w14:textId="77777777" w:rsidR="00710303" w:rsidRPr="007A2C44" w:rsidRDefault="00710303" w:rsidP="00034784">
      <w:pPr>
        <w:pStyle w:val="Tekstfusnote"/>
        <w:rPr>
          <w:lang w:val="hr-HR"/>
        </w:rPr>
      </w:pPr>
      <w:r>
        <w:rPr>
          <w:rStyle w:val="Referencafusnote"/>
        </w:rPr>
        <w:footnoteRef/>
      </w:r>
      <w:r>
        <w:t xml:space="preserve"> </w:t>
      </w:r>
      <w:r>
        <w:rPr>
          <w:lang w:val="hr-HR"/>
        </w:rPr>
        <w:t>Izvor: DHMZ</w:t>
      </w:r>
    </w:p>
  </w:footnote>
  <w:footnote w:id="64">
    <w:p w14:paraId="67B5D05C" w14:textId="3FB526BB" w:rsidR="00710303" w:rsidRDefault="00710303" w:rsidP="00072476">
      <w:pPr>
        <w:pStyle w:val="Tekstfusnote"/>
      </w:pPr>
      <w:r>
        <w:rPr>
          <w:rStyle w:val="Referencafusnote"/>
        </w:rPr>
        <w:footnoteRef/>
      </w:r>
      <w:r>
        <w:t xml:space="preserve"> </w:t>
      </w:r>
      <w:r w:rsidRPr="007F013C">
        <w:rPr>
          <w:sz w:val="18"/>
          <w:szCs w:val="18"/>
        </w:rPr>
        <w:t xml:space="preserve">Izvor: </w:t>
      </w:r>
      <w:r>
        <w:rPr>
          <w:sz w:val="18"/>
          <w:szCs w:val="18"/>
          <w:lang w:val="hr-HR"/>
        </w:rPr>
        <w:t xml:space="preserve"> Usvojeni</w:t>
      </w:r>
      <w:r w:rsidRPr="007F013C">
        <w:rPr>
          <w:sz w:val="18"/>
          <w:szCs w:val="18"/>
        </w:rPr>
        <w:t xml:space="preserve"> </w:t>
      </w:r>
      <w:r>
        <w:rPr>
          <w:sz w:val="18"/>
          <w:szCs w:val="18"/>
          <w:lang w:val="hr-HR"/>
        </w:rPr>
        <w:t>P</w:t>
      </w:r>
      <w:r w:rsidRPr="007F013C">
        <w:rPr>
          <w:sz w:val="18"/>
          <w:szCs w:val="18"/>
        </w:rPr>
        <w:t>roračun Grada Zagreba za</w:t>
      </w:r>
      <w:r>
        <w:rPr>
          <w:sz w:val="18"/>
          <w:szCs w:val="18"/>
          <w:lang w:val="hr-HR"/>
        </w:rPr>
        <w:t xml:space="preserve">  2022</w:t>
      </w:r>
      <w:r w:rsidRPr="003F6982">
        <w:t xml:space="preserve"> </w:t>
      </w:r>
      <w:r w:rsidRPr="003F6982">
        <w:rPr>
          <w:sz w:val="18"/>
          <w:szCs w:val="18"/>
          <w:lang w:val="hr-HR"/>
        </w:rPr>
        <w:t>i projekcije za 2023. i 2024. godinu</w:t>
      </w:r>
      <w:r w:rsidRPr="007F013C">
        <w:rPr>
          <w:sz w:val="18"/>
          <w:szCs w:val="18"/>
        </w:rPr>
        <w:t>, kratki vodič; u proračunu su iskazani vlastiti i namjenski prihodi svih gradskih proračunskih korisnika</w:t>
      </w:r>
      <w:r>
        <w:rPr>
          <w:sz w:val="18"/>
          <w:szCs w:val="18"/>
        </w:rPr>
        <w:t>, kao i rashodi koji se financiraju iz tih prihoda</w:t>
      </w:r>
    </w:p>
  </w:footnote>
  <w:footnote w:id="65">
    <w:p w14:paraId="45075594" w14:textId="239BB6EA" w:rsidR="00710303" w:rsidRDefault="00710303" w:rsidP="00072476">
      <w:pPr>
        <w:pStyle w:val="Tekstfusnote"/>
        <w:spacing w:line="240" w:lineRule="auto"/>
      </w:pPr>
      <w:r>
        <w:rPr>
          <w:rStyle w:val="Referencafusnote"/>
        </w:rPr>
        <w:footnoteRef/>
      </w:r>
      <w:r>
        <w:t xml:space="preserve"> </w:t>
      </w:r>
      <w:r w:rsidRPr="001D2A74">
        <w:t>Zakon o proračunu (NN 87/2008.</w:t>
      </w:r>
      <w:r w:rsidRPr="008E377E">
        <w:t xml:space="preserve"> </w:t>
      </w:r>
      <w:r>
        <w:t>– 15/2015</w:t>
      </w:r>
      <w:r w:rsidRPr="001D2A74">
        <w:t>.)</w:t>
      </w:r>
      <w:r>
        <w:t xml:space="preserve"> </w:t>
      </w:r>
      <w:r w:rsidRPr="001D2A74">
        <w:t>definira</w:t>
      </w:r>
      <w:r>
        <w:rPr>
          <w:lang w:val="hr-HR"/>
        </w:rPr>
        <w:t>o je</w:t>
      </w:r>
      <w:r w:rsidRPr="001D2A74">
        <w:t xml:space="preserve"> plan razvojnih programa kao prikaz planiranih rashoda vezanih uz provođenje investicija i davanje kapitalnih pomoći i donacija, te </w:t>
      </w:r>
      <w:r>
        <w:rPr>
          <w:lang w:val="hr-HR"/>
        </w:rPr>
        <w:t xml:space="preserve">je </w:t>
      </w:r>
      <w:r w:rsidRPr="001D2A74">
        <w:t xml:space="preserve"> u tom smislu trebalo definirati kriterije koji bi omogućili ujednačeno definiranje razvojnih projekata u planovima razvojnih programa</w:t>
      </w:r>
      <w:r>
        <w:t xml:space="preserve"> </w:t>
      </w:r>
      <w:r w:rsidRPr="001D2A74">
        <w:t>proračunskih korisnika Grada.</w:t>
      </w:r>
    </w:p>
  </w:footnote>
  <w:footnote w:id="66">
    <w:p w14:paraId="456AE7C8" w14:textId="77777777" w:rsidR="00710303" w:rsidRPr="00152745" w:rsidRDefault="00710303" w:rsidP="00072476">
      <w:pPr>
        <w:pStyle w:val="Tekstfusnote"/>
        <w:rPr>
          <w:sz w:val="18"/>
          <w:szCs w:val="18"/>
          <w:lang w:val="hr-HR"/>
        </w:rPr>
      </w:pPr>
      <w:r>
        <w:rPr>
          <w:rStyle w:val="Referencafusnote"/>
        </w:rPr>
        <w:footnoteRef/>
      </w:r>
      <w:r>
        <w:t xml:space="preserve"> </w:t>
      </w:r>
      <w:r w:rsidRPr="00152745">
        <w:rPr>
          <w:sz w:val="18"/>
          <w:szCs w:val="18"/>
          <w:lang w:val="hr-HR"/>
        </w:rPr>
        <w:t>Izvor: Ministarstvo regionalnog razvoja i fondova EU</w:t>
      </w:r>
    </w:p>
  </w:footnote>
  <w:footnote w:id="67">
    <w:p w14:paraId="314AB567" w14:textId="77777777" w:rsidR="00710303" w:rsidRPr="00152745" w:rsidRDefault="00710303" w:rsidP="00072476">
      <w:pPr>
        <w:pStyle w:val="Tekstfusnote"/>
        <w:rPr>
          <w:sz w:val="18"/>
          <w:szCs w:val="18"/>
          <w:lang w:val="hr-HR"/>
        </w:rPr>
      </w:pPr>
      <w:r>
        <w:rPr>
          <w:rStyle w:val="Referencafusnote"/>
        </w:rPr>
        <w:footnoteRef/>
      </w:r>
      <w:r>
        <w:t xml:space="preserve"> </w:t>
      </w:r>
      <w:r w:rsidRPr="00152745">
        <w:rPr>
          <w:sz w:val="18"/>
          <w:szCs w:val="18"/>
          <w:lang w:val="hr-HR"/>
        </w:rPr>
        <w:t>Izvor: Ured za programe i projekte Europske unije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9583" w14:textId="77777777" w:rsidR="00710303" w:rsidRDefault="0071030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F985" w14:textId="77777777" w:rsidR="00710303" w:rsidRDefault="00710303">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7730E" w14:textId="77777777" w:rsidR="00710303" w:rsidRDefault="00710303">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56AF"/>
    <w:multiLevelType w:val="multilevel"/>
    <w:tmpl w:val="80FCD88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A834E7"/>
    <w:multiLevelType w:val="hybridMultilevel"/>
    <w:tmpl w:val="DB1A022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9924CF"/>
    <w:multiLevelType w:val="hybridMultilevel"/>
    <w:tmpl w:val="A51A5C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9155CB"/>
    <w:multiLevelType w:val="hybridMultilevel"/>
    <w:tmpl w:val="160E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22BE8"/>
    <w:multiLevelType w:val="hybridMultilevel"/>
    <w:tmpl w:val="17B02550"/>
    <w:lvl w:ilvl="0" w:tplc="16F8A574">
      <w:start w:val="2"/>
      <w:numFmt w:val="bullet"/>
      <w:lvlText w:val="-"/>
      <w:lvlJc w:val="left"/>
      <w:pPr>
        <w:ind w:left="405"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AD7C76"/>
    <w:multiLevelType w:val="hybridMultilevel"/>
    <w:tmpl w:val="543AC43E"/>
    <w:lvl w:ilvl="0" w:tplc="470AA966">
      <w:start w:val="2"/>
      <w:numFmt w:val="bullet"/>
      <w:lvlText w:val="-"/>
      <w:lvlJc w:val="left"/>
      <w:pPr>
        <w:ind w:left="405" w:hanging="360"/>
      </w:pPr>
      <w:rPr>
        <w:rFonts w:ascii="Calibri" w:eastAsia="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2C31AA"/>
    <w:multiLevelType w:val="hybridMultilevel"/>
    <w:tmpl w:val="28EC31F4"/>
    <w:lvl w:ilvl="0" w:tplc="18106BC4">
      <w:start w:val="1"/>
      <w:numFmt w:val="bullet"/>
      <w:lvlText w:val="-"/>
      <w:lvlJc w:val="left"/>
      <w:pPr>
        <w:ind w:left="720" w:hanging="360"/>
      </w:pPr>
      <w:rPr>
        <w:rFonts w:ascii="Calibri" w:eastAsia="Calibri"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14280960"/>
    <w:multiLevelType w:val="hybridMultilevel"/>
    <w:tmpl w:val="E5D23D84"/>
    <w:lvl w:ilvl="0" w:tplc="16F8A574">
      <w:start w:val="2"/>
      <w:numFmt w:val="bullet"/>
      <w:lvlText w:val="-"/>
      <w:lvlJc w:val="left"/>
      <w:pPr>
        <w:ind w:left="405" w:hanging="360"/>
      </w:pPr>
      <w:rPr>
        <w:rFonts w:ascii="Calibri" w:eastAsia="Calibri"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8" w15:restartNumberingAfterBreak="0">
    <w:nsid w:val="1577247A"/>
    <w:multiLevelType w:val="multilevel"/>
    <w:tmpl w:val="36AE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A2738"/>
    <w:multiLevelType w:val="hybridMultilevel"/>
    <w:tmpl w:val="851CFEC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F635E2"/>
    <w:multiLevelType w:val="hybridMultilevel"/>
    <w:tmpl w:val="A9D49F46"/>
    <w:lvl w:ilvl="0" w:tplc="6BBC71BC">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1ABB39CF"/>
    <w:multiLevelType w:val="hybridMultilevel"/>
    <w:tmpl w:val="86B69E5A"/>
    <w:lvl w:ilvl="0" w:tplc="041A0005">
      <w:start w:val="1"/>
      <w:numFmt w:val="bullet"/>
      <w:lvlText w:val=""/>
      <w:lvlJc w:val="left"/>
      <w:pPr>
        <w:ind w:left="501" w:hanging="360"/>
      </w:pPr>
      <w:rPr>
        <w:rFonts w:ascii="Wingdings" w:hAnsi="Wingdings" w:hint="default"/>
      </w:rPr>
    </w:lvl>
    <w:lvl w:ilvl="1" w:tplc="041A0003">
      <w:start w:val="1"/>
      <w:numFmt w:val="bullet"/>
      <w:lvlText w:val="o"/>
      <w:lvlJc w:val="left"/>
      <w:pPr>
        <w:ind w:left="1221" w:hanging="360"/>
      </w:pPr>
      <w:rPr>
        <w:rFonts w:ascii="Courier New" w:hAnsi="Courier New" w:cs="Courier New" w:hint="default"/>
      </w:rPr>
    </w:lvl>
    <w:lvl w:ilvl="2" w:tplc="041A0005">
      <w:start w:val="1"/>
      <w:numFmt w:val="bullet"/>
      <w:lvlText w:val=""/>
      <w:lvlJc w:val="left"/>
      <w:pPr>
        <w:ind w:left="1941" w:hanging="360"/>
      </w:pPr>
      <w:rPr>
        <w:rFonts w:ascii="Wingdings" w:hAnsi="Wingdings" w:hint="default"/>
      </w:rPr>
    </w:lvl>
    <w:lvl w:ilvl="3" w:tplc="041A0001">
      <w:start w:val="1"/>
      <w:numFmt w:val="bullet"/>
      <w:lvlText w:val=""/>
      <w:lvlJc w:val="left"/>
      <w:pPr>
        <w:ind w:left="2661" w:hanging="360"/>
      </w:pPr>
      <w:rPr>
        <w:rFonts w:ascii="Symbol" w:hAnsi="Symbol" w:hint="default"/>
      </w:rPr>
    </w:lvl>
    <w:lvl w:ilvl="4" w:tplc="041A0003">
      <w:start w:val="1"/>
      <w:numFmt w:val="bullet"/>
      <w:lvlText w:val="o"/>
      <w:lvlJc w:val="left"/>
      <w:pPr>
        <w:ind w:left="3381" w:hanging="360"/>
      </w:pPr>
      <w:rPr>
        <w:rFonts w:ascii="Courier New" w:hAnsi="Courier New" w:cs="Courier New" w:hint="default"/>
      </w:rPr>
    </w:lvl>
    <w:lvl w:ilvl="5" w:tplc="041A0005">
      <w:start w:val="1"/>
      <w:numFmt w:val="bullet"/>
      <w:lvlText w:val=""/>
      <w:lvlJc w:val="left"/>
      <w:pPr>
        <w:ind w:left="4101" w:hanging="360"/>
      </w:pPr>
      <w:rPr>
        <w:rFonts w:ascii="Wingdings" w:hAnsi="Wingdings" w:hint="default"/>
      </w:rPr>
    </w:lvl>
    <w:lvl w:ilvl="6" w:tplc="041A0001">
      <w:start w:val="1"/>
      <w:numFmt w:val="bullet"/>
      <w:lvlText w:val=""/>
      <w:lvlJc w:val="left"/>
      <w:pPr>
        <w:ind w:left="4821" w:hanging="360"/>
      </w:pPr>
      <w:rPr>
        <w:rFonts w:ascii="Symbol" w:hAnsi="Symbol" w:hint="default"/>
      </w:rPr>
    </w:lvl>
    <w:lvl w:ilvl="7" w:tplc="041A0003">
      <w:start w:val="1"/>
      <w:numFmt w:val="bullet"/>
      <w:lvlText w:val="o"/>
      <w:lvlJc w:val="left"/>
      <w:pPr>
        <w:ind w:left="5541" w:hanging="360"/>
      </w:pPr>
      <w:rPr>
        <w:rFonts w:ascii="Courier New" w:hAnsi="Courier New" w:cs="Courier New" w:hint="default"/>
      </w:rPr>
    </w:lvl>
    <w:lvl w:ilvl="8" w:tplc="041A0005">
      <w:start w:val="1"/>
      <w:numFmt w:val="bullet"/>
      <w:lvlText w:val=""/>
      <w:lvlJc w:val="left"/>
      <w:pPr>
        <w:ind w:left="6261" w:hanging="360"/>
      </w:pPr>
      <w:rPr>
        <w:rFonts w:ascii="Wingdings" w:hAnsi="Wingdings" w:hint="default"/>
      </w:rPr>
    </w:lvl>
  </w:abstractNum>
  <w:abstractNum w:abstractNumId="12" w15:restartNumberingAfterBreak="0">
    <w:nsid w:val="1B4D14B2"/>
    <w:multiLevelType w:val="multilevel"/>
    <w:tmpl w:val="5FD00BC4"/>
    <w:lvl w:ilvl="0">
      <w:start w:val="2"/>
      <w:numFmt w:val="decimal"/>
      <w:lvlText w:val="%1."/>
      <w:lvlJc w:val="left"/>
      <w:pPr>
        <w:ind w:left="495" w:hanging="495"/>
      </w:pPr>
    </w:lvl>
    <w:lvl w:ilvl="1">
      <w:start w:val="2"/>
      <w:numFmt w:val="decimal"/>
      <w:lvlText w:val="%1.%2."/>
      <w:lvlJc w:val="left"/>
      <w:pPr>
        <w:ind w:left="847" w:hanging="495"/>
      </w:pPr>
    </w:lvl>
    <w:lvl w:ilvl="2">
      <w:start w:val="6"/>
      <w:numFmt w:val="decimal"/>
      <w:lvlText w:val="%1.%2.%3."/>
      <w:lvlJc w:val="left"/>
      <w:pPr>
        <w:ind w:left="720" w:hanging="720"/>
      </w:pPr>
    </w:lvl>
    <w:lvl w:ilvl="3">
      <w:start w:val="1"/>
      <w:numFmt w:val="decimal"/>
      <w:lvlText w:val="%1.%2.%3.%4."/>
      <w:lvlJc w:val="left"/>
      <w:pPr>
        <w:ind w:left="1776" w:hanging="720"/>
      </w:pPr>
    </w:lvl>
    <w:lvl w:ilvl="4">
      <w:start w:val="1"/>
      <w:numFmt w:val="decimal"/>
      <w:lvlText w:val="%1.%2.%3.%4.%5."/>
      <w:lvlJc w:val="left"/>
      <w:pPr>
        <w:ind w:left="2488" w:hanging="1080"/>
      </w:pPr>
    </w:lvl>
    <w:lvl w:ilvl="5">
      <w:start w:val="1"/>
      <w:numFmt w:val="decimal"/>
      <w:lvlText w:val="%1.%2.%3.%4.%5.%6."/>
      <w:lvlJc w:val="left"/>
      <w:pPr>
        <w:ind w:left="2840" w:hanging="1080"/>
      </w:pPr>
    </w:lvl>
    <w:lvl w:ilvl="6">
      <w:start w:val="1"/>
      <w:numFmt w:val="decimal"/>
      <w:lvlText w:val="%1.%2.%3.%4.%5.%6.%7."/>
      <w:lvlJc w:val="left"/>
      <w:pPr>
        <w:ind w:left="3552" w:hanging="1440"/>
      </w:pPr>
    </w:lvl>
    <w:lvl w:ilvl="7">
      <w:start w:val="1"/>
      <w:numFmt w:val="decimal"/>
      <w:lvlText w:val="%1.%2.%3.%4.%5.%6.%7.%8."/>
      <w:lvlJc w:val="left"/>
      <w:pPr>
        <w:ind w:left="3904" w:hanging="1440"/>
      </w:pPr>
    </w:lvl>
    <w:lvl w:ilvl="8">
      <w:start w:val="1"/>
      <w:numFmt w:val="decimal"/>
      <w:lvlText w:val="%1.%2.%3.%4.%5.%6.%7.%8.%9."/>
      <w:lvlJc w:val="left"/>
      <w:pPr>
        <w:ind w:left="4616" w:hanging="1800"/>
      </w:pPr>
    </w:lvl>
  </w:abstractNum>
  <w:abstractNum w:abstractNumId="13" w15:restartNumberingAfterBreak="0">
    <w:nsid w:val="1D8E0B14"/>
    <w:multiLevelType w:val="hybridMultilevel"/>
    <w:tmpl w:val="9AC4F0A4"/>
    <w:lvl w:ilvl="0" w:tplc="041A0005">
      <w:start w:val="1"/>
      <w:numFmt w:val="bullet"/>
      <w:lvlText w:val=""/>
      <w:lvlJc w:val="left"/>
      <w:pPr>
        <w:ind w:left="502"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5A2A52"/>
    <w:multiLevelType w:val="hybridMultilevel"/>
    <w:tmpl w:val="9B524558"/>
    <w:lvl w:ilvl="0" w:tplc="041A0005">
      <w:numFmt w:val="decimal"/>
      <w:lvlText w:val=""/>
      <w:lvlJc w:val="left"/>
      <w:pPr>
        <w:tabs>
          <w:tab w:val="num" w:pos="720"/>
        </w:tabs>
        <w:ind w:left="720" w:hanging="360"/>
      </w:pPr>
      <w:rPr>
        <w:rFonts w:ascii="Wingdings" w:hAnsi="Wingdings" w:hint="default"/>
      </w:rPr>
    </w:lvl>
    <w:lvl w:ilvl="1" w:tplc="7974F640">
      <w:numFmt w:val="decimal"/>
      <w:lvlText w:val="-"/>
      <w:lvlJc w:val="left"/>
      <w:pPr>
        <w:tabs>
          <w:tab w:val="num" w:pos="1440"/>
        </w:tabs>
        <w:ind w:left="1440" w:hanging="360"/>
      </w:pPr>
      <w:rPr>
        <w:rFonts w:ascii="Times New Roman" w:hAnsi="Times New Roman" w:cs="Times New Roman" w:hint="default"/>
        <w:b w:val="0"/>
        <w:i w:val="0"/>
        <w:sz w:val="16"/>
        <w:szCs w:val="16"/>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7B6B6E"/>
    <w:multiLevelType w:val="multilevel"/>
    <w:tmpl w:val="37786632"/>
    <w:lvl w:ilvl="0">
      <w:start w:val="1"/>
      <w:numFmt w:val="decimal"/>
      <w:pStyle w:val="Pa0"/>
      <w:isLgl/>
      <w:lvlText w:val="%1.1."/>
      <w:lvlJc w:val="left"/>
      <w:pPr>
        <w:tabs>
          <w:tab w:val="num" w:pos="720"/>
        </w:tabs>
        <w:ind w:left="0" w:firstLine="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32905B7"/>
    <w:multiLevelType w:val="hybridMultilevel"/>
    <w:tmpl w:val="A73C5772"/>
    <w:lvl w:ilvl="0" w:tplc="041A0005">
      <w:start w:val="1"/>
      <w:numFmt w:val="bullet"/>
      <w:lvlText w:val=""/>
      <w:lvlJc w:val="left"/>
      <w:pPr>
        <w:tabs>
          <w:tab w:val="num" w:pos="720"/>
        </w:tabs>
        <w:ind w:left="720" w:hanging="360"/>
      </w:pPr>
      <w:rPr>
        <w:rFonts w:ascii="Wingdings" w:hAnsi="Wingdings" w:hint="default"/>
      </w:rPr>
    </w:lvl>
    <w:lvl w:ilvl="1" w:tplc="7974F640">
      <w:start w:val="1"/>
      <w:numFmt w:val="bullet"/>
      <w:lvlText w:val="-"/>
      <w:lvlJc w:val="left"/>
      <w:pPr>
        <w:tabs>
          <w:tab w:val="num" w:pos="1440"/>
        </w:tabs>
        <w:ind w:left="1440" w:hanging="360"/>
      </w:pPr>
      <w:rPr>
        <w:rFonts w:ascii="Times New Roman" w:hAnsi="Times New Roman" w:cs="Times New Roman" w:hint="default"/>
        <w:b w:val="0"/>
        <w:i w:val="0"/>
        <w:sz w:val="16"/>
        <w:szCs w:val="16"/>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271658"/>
    <w:multiLevelType w:val="hybridMultilevel"/>
    <w:tmpl w:val="ABB832A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9AA2999"/>
    <w:multiLevelType w:val="multilevel"/>
    <w:tmpl w:val="0B808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b w:val="0"/>
        <w:i w:val="0"/>
        <w:sz w:val="16"/>
        <w:szCs w:val="16"/>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C36A93"/>
    <w:multiLevelType w:val="hybridMultilevel"/>
    <w:tmpl w:val="A964F7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AFF4346"/>
    <w:multiLevelType w:val="hybridMultilevel"/>
    <w:tmpl w:val="49688F4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2CDB0503"/>
    <w:multiLevelType w:val="multilevel"/>
    <w:tmpl w:val="C8B43A90"/>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9B6DB7"/>
    <w:multiLevelType w:val="hybridMultilevel"/>
    <w:tmpl w:val="CEB8FB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3B3182A"/>
    <w:multiLevelType w:val="hybridMultilevel"/>
    <w:tmpl w:val="5F780FE6"/>
    <w:lvl w:ilvl="0" w:tplc="16F8A574">
      <w:start w:val="2"/>
      <w:numFmt w:val="bullet"/>
      <w:lvlText w:val="-"/>
      <w:lvlJc w:val="left"/>
      <w:pPr>
        <w:ind w:left="405"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62024F7"/>
    <w:multiLevelType w:val="hybridMultilevel"/>
    <w:tmpl w:val="AD4258B6"/>
    <w:lvl w:ilvl="0" w:tplc="041A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7BC6957"/>
    <w:multiLevelType w:val="hybridMultilevel"/>
    <w:tmpl w:val="135624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AB16AA1"/>
    <w:multiLevelType w:val="hybridMultilevel"/>
    <w:tmpl w:val="0610FDD0"/>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B5037C7"/>
    <w:multiLevelType w:val="hybridMultilevel"/>
    <w:tmpl w:val="22989646"/>
    <w:lvl w:ilvl="0" w:tplc="041A0001">
      <w:start w:val="1"/>
      <w:numFmt w:val="bullet"/>
      <w:pStyle w:val="PodnaslovDNZ"/>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17C726D"/>
    <w:multiLevelType w:val="hybridMultilevel"/>
    <w:tmpl w:val="1026DB06"/>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15:restartNumberingAfterBreak="0">
    <w:nsid w:val="43DC0723"/>
    <w:multiLevelType w:val="hybridMultilevel"/>
    <w:tmpl w:val="CE506BCC"/>
    <w:lvl w:ilvl="0" w:tplc="041A0005">
      <w:start w:val="1"/>
      <w:numFmt w:val="bullet"/>
      <w:lvlText w:val=""/>
      <w:lvlJc w:val="left"/>
      <w:pPr>
        <w:ind w:left="502"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7250B1F"/>
    <w:multiLevelType w:val="hybridMultilevel"/>
    <w:tmpl w:val="9EDC0EA4"/>
    <w:lvl w:ilvl="0" w:tplc="7374C06C">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B77585C"/>
    <w:multiLevelType w:val="hybridMultilevel"/>
    <w:tmpl w:val="262843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3261CF7"/>
    <w:multiLevelType w:val="hybridMultilevel"/>
    <w:tmpl w:val="E3FCE1B8"/>
    <w:lvl w:ilvl="0" w:tplc="16F8A574">
      <w:start w:val="2"/>
      <w:numFmt w:val="bullet"/>
      <w:lvlText w:val="-"/>
      <w:lvlJc w:val="left"/>
      <w:pPr>
        <w:ind w:left="405"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7192422"/>
    <w:multiLevelType w:val="hybridMultilevel"/>
    <w:tmpl w:val="E020D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9ED3532"/>
    <w:multiLevelType w:val="hybridMultilevel"/>
    <w:tmpl w:val="DC507358"/>
    <w:lvl w:ilvl="0" w:tplc="55260178">
      <w:start w:val="1"/>
      <w:numFmt w:val="bullet"/>
      <w:lvlText w:val=""/>
      <w:lvlJc w:val="left"/>
      <w:pPr>
        <w:tabs>
          <w:tab w:val="num" w:pos="360"/>
        </w:tabs>
        <w:ind w:left="360" w:hanging="360"/>
      </w:pPr>
      <w:rPr>
        <w:rFonts w:ascii="Wingdings" w:hAnsi="Wingdings" w:hint="default"/>
        <w:color w:val="000000" w:themeColor="text1"/>
      </w:rPr>
    </w:lvl>
    <w:lvl w:ilvl="1" w:tplc="7974F640">
      <w:start w:val="1"/>
      <w:numFmt w:val="bullet"/>
      <w:lvlText w:val="-"/>
      <w:lvlJc w:val="left"/>
      <w:pPr>
        <w:tabs>
          <w:tab w:val="num" w:pos="1440"/>
        </w:tabs>
        <w:ind w:left="1440" w:hanging="360"/>
      </w:pPr>
      <w:rPr>
        <w:rFonts w:ascii="Times New Roman" w:hAnsi="Times New Roman" w:cs="Times New Roman" w:hint="default"/>
        <w:b w:val="0"/>
        <w:i w:val="0"/>
        <w:sz w:val="16"/>
        <w:szCs w:val="16"/>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13F37"/>
    <w:multiLevelType w:val="multilevel"/>
    <w:tmpl w:val="E934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DE1598"/>
    <w:multiLevelType w:val="hybridMultilevel"/>
    <w:tmpl w:val="969C66CA"/>
    <w:lvl w:ilvl="0" w:tplc="34DC3DC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D6C4E3A"/>
    <w:multiLevelType w:val="hybridMultilevel"/>
    <w:tmpl w:val="4AA039FC"/>
    <w:lvl w:ilvl="0" w:tplc="ACCEF4F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0782839"/>
    <w:multiLevelType w:val="hybridMultilevel"/>
    <w:tmpl w:val="E64EC86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07D6F20"/>
    <w:multiLevelType w:val="hybridMultilevel"/>
    <w:tmpl w:val="F4FC134C"/>
    <w:lvl w:ilvl="0" w:tplc="7374C06C">
      <w:numFmt w:val="bullet"/>
      <w:lvlText w:val="-"/>
      <w:lvlJc w:val="left"/>
      <w:pPr>
        <w:ind w:left="360" w:hanging="360"/>
      </w:pPr>
      <w:rPr>
        <w:rFonts w:ascii="ArialMT" w:eastAsia="Times New Roman" w:hAnsi="ArialMT"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0" w15:restartNumberingAfterBreak="0">
    <w:nsid w:val="64584CEF"/>
    <w:multiLevelType w:val="hybridMultilevel"/>
    <w:tmpl w:val="5A6A2760"/>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693D115D"/>
    <w:multiLevelType w:val="hybridMultilevel"/>
    <w:tmpl w:val="D562B4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96F22DF"/>
    <w:multiLevelType w:val="hybridMultilevel"/>
    <w:tmpl w:val="F0DA8CA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A7435B2"/>
    <w:multiLevelType w:val="multilevel"/>
    <w:tmpl w:val="5630DF56"/>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9C32E0"/>
    <w:multiLevelType w:val="hybridMultilevel"/>
    <w:tmpl w:val="E95AB7C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16C7A04"/>
    <w:multiLevelType w:val="hybridMultilevel"/>
    <w:tmpl w:val="92BEEFA2"/>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185527D"/>
    <w:multiLevelType w:val="hybridMultilevel"/>
    <w:tmpl w:val="DC507358"/>
    <w:lvl w:ilvl="0" w:tplc="55260178">
      <w:start w:val="1"/>
      <w:numFmt w:val="bullet"/>
      <w:lvlText w:val=""/>
      <w:lvlJc w:val="left"/>
      <w:pPr>
        <w:tabs>
          <w:tab w:val="num" w:pos="360"/>
        </w:tabs>
        <w:ind w:left="360" w:hanging="360"/>
      </w:pPr>
      <w:rPr>
        <w:rFonts w:ascii="Wingdings" w:hAnsi="Wingdings" w:hint="default"/>
        <w:color w:val="000000" w:themeColor="text1"/>
      </w:rPr>
    </w:lvl>
    <w:lvl w:ilvl="1" w:tplc="7974F640">
      <w:start w:val="1"/>
      <w:numFmt w:val="bullet"/>
      <w:lvlText w:val="-"/>
      <w:lvlJc w:val="left"/>
      <w:pPr>
        <w:tabs>
          <w:tab w:val="num" w:pos="1440"/>
        </w:tabs>
        <w:ind w:left="1440" w:hanging="360"/>
      </w:pPr>
      <w:rPr>
        <w:rFonts w:ascii="Times New Roman" w:hAnsi="Times New Roman" w:cs="Times New Roman" w:hint="default"/>
        <w:b w:val="0"/>
        <w:i w:val="0"/>
        <w:sz w:val="16"/>
        <w:szCs w:val="16"/>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364B20"/>
    <w:multiLevelType w:val="hybridMultilevel"/>
    <w:tmpl w:val="A6A214AA"/>
    <w:lvl w:ilvl="0" w:tplc="BC8A9D6C">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8" w15:restartNumberingAfterBreak="0">
    <w:nsid w:val="76AA30A0"/>
    <w:multiLevelType w:val="hybridMultilevel"/>
    <w:tmpl w:val="2E64391E"/>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77DF099F"/>
    <w:multiLevelType w:val="hybridMultilevel"/>
    <w:tmpl w:val="8B2C9600"/>
    <w:lvl w:ilvl="0" w:tplc="2AC66F6E">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8E07BC4"/>
    <w:multiLevelType w:val="multilevel"/>
    <w:tmpl w:val="0FF23A98"/>
    <w:styleLink w:val="Headings"/>
    <w:lvl w:ilvl="0">
      <w:start w:val="1"/>
      <w:numFmt w:val="decimal"/>
      <w:lvlText w:val="%1."/>
      <w:lvlJc w:val="left"/>
      <w:pPr>
        <w:ind w:left="9291" w:hanging="360"/>
      </w:pPr>
      <w:rPr>
        <w:rFonts w:ascii="Tahoma Bold" w:hAnsi="Tahoma Bold" w:hint="default"/>
        <w:b/>
        <w:i w:val="0"/>
        <w:color w:val="9AB9AD"/>
        <w:sz w:val="22"/>
      </w:rPr>
    </w:lvl>
    <w:lvl w:ilvl="1">
      <w:start w:val="1"/>
      <w:numFmt w:val="decimal"/>
      <w:lvlText w:val="%1.%2."/>
      <w:lvlJc w:val="left"/>
      <w:pPr>
        <w:ind w:left="720" w:hanging="720"/>
      </w:pPr>
      <w:rPr>
        <w:rFonts w:ascii="Tahoma" w:hAnsi="Tahoma" w:hint="default"/>
        <w:b/>
        <w:i w:val="0"/>
        <w:color w:val="9AB9AD"/>
        <w:sz w:val="30"/>
      </w:rPr>
    </w:lvl>
    <w:lvl w:ilvl="2">
      <w:start w:val="1"/>
      <w:numFmt w:val="decimal"/>
      <w:lvlText w:val="%1.%2.%3."/>
      <w:lvlJc w:val="left"/>
      <w:pPr>
        <w:ind w:left="1080" w:hanging="1080"/>
      </w:pPr>
      <w:rPr>
        <w:rFonts w:ascii="Tahoma" w:hAnsi="Tahoma" w:hint="default"/>
        <w:b/>
        <w:i w:val="0"/>
        <w:color w:val="9AB9AD"/>
        <w:sz w:val="26"/>
      </w:rPr>
    </w:lvl>
    <w:lvl w:ilvl="3">
      <w:start w:val="1"/>
      <w:numFmt w:val="decimal"/>
      <w:lvlText w:val="%1.%2.%3.%4."/>
      <w:lvlJc w:val="left"/>
      <w:pPr>
        <w:ind w:left="1440" w:hanging="1440"/>
      </w:pPr>
      <w:rPr>
        <w:rFonts w:ascii="Tahoma" w:hAnsi="Tahoma" w:hint="default"/>
        <w:b/>
        <w:i/>
        <w:color w:val="9AB9AD"/>
        <w:sz w:val="21"/>
      </w:rPr>
    </w:lvl>
    <w:lvl w:ilvl="4">
      <w:start w:val="1"/>
      <w:numFmt w:val="decimal"/>
      <w:lvlText w:val="%1.%2.%3.%4.%5."/>
      <w:lvlJc w:val="left"/>
      <w:pPr>
        <w:ind w:left="1800" w:hanging="1800"/>
      </w:pPr>
      <w:rPr>
        <w:rFonts w:ascii="Tahoma" w:hAnsi="Tahoma" w:hint="default"/>
        <w:b/>
        <w:i/>
        <w:color w:val="9AB9AD"/>
        <w:sz w:val="18"/>
      </w:rPr>
    </w:lvl>
    <w:lvl w:ilvl="5">
      <w:start w:val="1"/>
      <w:numFmt w:val="decimal"/>
      <w:lvlText w:val="%1.%2.%3.%4.%5.%6."/>
      <w:lvlJc w:val="left"/>
      <w:pPr>
        <w:ind w:left="2160" w:hanging="2160"/>
      </w:pPr>
      <w:rPr>
        <w:rFonts w:ascii="Tahoma" w:hAnsi="Tahoma" w:hint="default"/>
        <w:b/>
        <w:i w:val="0"/>
        <w:color w:val="9AB9AD"/>
        <w:sz w:val="18"/>
      </w:rPr>
    </w:lvl>
    <w:lvl w:ilvl="6">
      <w:start w:val="1"/>
      <w:numFmt w:val="decimal"/>
      <w:lvlText w:val="%1.%2.%3.%4.%5.%6.%7."/>
      <w:lvlJc w:val="left"/>
      <w:pPr>
        <w:ind w:left="2520" w:hanging="2520"/>
      </w:pPr>
      <w:rPr>
        <w:rFonts w:ascii="Tahoma" w:hAnsi="Tahoma" w:hint="default"/>
        <w:b w:val="0"/>
        <w:i/>
        <w:color w:val="9AB9AD"/>
        <w:sz w:val="18"/>
      </w:rPr>
    </w:lvl>
    <w:lvl w:ilvl="7">
      <w:start w:val="1"/>
      <w:numFmt w:val="decimal"/>
      <w:lvlText w:val="%1.%2.%3.%4.%5.%6.%7.%8."/>
      <w:lvlJc w:val="left"/>
      <w:pPr>
        <w:ind w:left="2880" w:hanging="2880"/>
      </w:pPr>
      <w:rPr>
        <w:rFonts w:ascii="Tahoma" w:hAnsi="Tahoma" w:hint="default"/>
        <w:b w:val="0"/>
        <w:i w:val="0"/>
        <w:color w:val="9AB9AD"/>
        <w:sz w:val="18"/>
      </w:rPr>
    </w:lvl>
    <w:lvl w:ilvl="8">
      <w:start w:val="1"/>
      <w:numFmt w:val="decimal"/>
      <w:lvlText w:val="%1.%2.%3.%4.%5.%6.%7.%8.%9."/>
      <w:lvlJc w:val="left"/>
      <w:pPr>
        <w:ind w:left="3238" w:hanging="3238"/>
      </w:pPr>
      <w:rPr>
        <w:rFonts w:ascii="Tahoma" w:hAnsi="Tahoma" w:hint="default"/>
        <w:b w:val="0"/>
        <w:i w:val="0"/>
        <w:color w:val="9AB9AD"/>
        <w:sz w:val="18"/>
      </w:rPr>
    </w:lvl>
  </w:abstractNum>
  <w:abstractNum w:abstractNumId="51" w15:restartNumberingAfterBreak="0">
    <w:nsid w:val="7A31776A"/>
    <w:multiLevelType w:val="hybridMultilevel"/>
    <w:tmpl w:val="96B082F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B9847EE"/>
    <w:multiLevelType w:val="hybridMultilevel"/>
    <w:tmpl w:val="BBD688D4"/>
    <w:lvl w:ilvl="0" w:tplc="03705120">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3" w15:restartNumberingAfterBreak="0">
    <w:nsid w:val="7DB8465D"/>
    <w:multiLevelType w:val="hybridMultilevel"/>
    <w:tmpl w:val="6386AB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E7D4B98"/>
    <w:multiLevelType w:val="hybridMultilevel"/>
    <w:tmpl w:val="81C4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D034EA"/>
    <w:multiLevelType w:val="hybridMultilevel"/>
    <w:tmpl w:val="75EA053A"/>
    <w:lvl w:ilvl="0" w:tplc="041A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num>
  <w:num w:numId="4">
    <w:abstractNumId w:val="33"/>
  </w:num>
  <w:num w:numId="5">
    <w:abstractNumId w:val="24"/>
  </w:num>
  <w:num w:numId="6">
    <w:abstractNumId w:val="12"/>
    <w:lvlOverride w:ilvl="0">
      <w:startOverride w:val="2"/>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7"/>
  </w:num>
  <w:num w:numId="9">
    <w:abstractNumId w:val="9"/>
  </w:num>
  <w:num w:numId="10">
    <w:abstractNumId w:val="13"/>
  </w:num>
  <w:num w:numId="11">
    <w:abstractNumId w:val="29"/>
  </w:num>
  <w:num w:numId="12">
    <w:abstractNumId w:val="7"/>
  </w:num>
  <w:num w:numId="13">
    <w:abstractNumId w:val="0"/>
  </w:num>
  <w:num w:numId="14">
    <w:abstractNumId w:val="26"/>
  </w:num>
  <w:num w:numId="15">
    <w:abstractNumId w:val="32"/>
  </w:num>
  <w:num w:numId="16">
    <w:abstractNumId w:val="4"/>
  </w:num>
  <w:num w:numId="17">
    <w:abstractNumId w:val="5"/>
  </w:num>
  <w:num w:numId="18">
    <w:abstractNumId w:val="23"/>
  </w:num>
  <w:num w:numId="19">
    <w:abstractNumId w:val="34"/>
  </w:num>
  <w:num w:numId="20">
    <w:abstractNumId w:val="46"/>
  </w:num>
  <w:num w:numId="21">
    <w:abstractNumId w:val="55"/>
  </w:num>
  <w:num w:numId="22">
    <w:abstractNumId w:val="45"/>
  </w:num>
  <w:num w:numId="23">
    <w:abstractNumId w:val="54"/>
  </w:num>
  <w:num w:numId="24">
    <w:abstractNumId w:val="39"/>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50"/>
  </w:num>
  <w:num w:numId="30">
    <w:abstractNumId w:val="30"/>
  </w:num>
  <w:num w:numId="31">
    <w:abstractNumId w:val="6"/>
  </w:num>
  <w:num w:numId="32">
    <w:abstractNumId w:val="10"/>
  </w:num>
  <w:num w:numId="33">
    <w:abstractNumId w:val="22"/>
  </w:num>
  <w:num w:numId="34">
    <w:abstractNumId w:val="53"/>
  </w:num>
  <w:num w:numId="35">
    <w:abstractNumId w:val="35"/>
  </w:num>
  <w:num w:numId="36">
    <w:abstractNumId w:val="8"/>
  </w:num>
  <w:num w:numId="37">
    <w:abstractNumId w:val="41"/>
  </w:num>
  <w:num w:numId="38">
    <w:abstractNumId w:val="47"/>
  </w:num>
  <w:num w:numId="39">
    <w:abstractNumId w:val="14"/>
  </w:num>
  <w:num w:numId="40">
    <w:abstractNumId w:val="17"/>
  </w:num>
  <w:num w:numId="41">
    <w:abstractNumId w:val="44"/>
  </w:num>
  <w:num w:numId="42">
    <w:abstractNumId w:val="51"/>
  </w:num>
  <w:num w:numId="43">
    <w:abstractNumId w:val="1"/>
  </w:num>
  <w:num w:numId="44">
    <w:abstractNumId w:val="38"/>
  </w:num>
  <w:num w:numId="45">
    <w:abstractNumId w:val="36"/>
  </w:num>
  <w:num w:numId="46">
    <w:abstractNumId w:val="52"/>
  </w:num>
  <w:num w:numId="47">
    <w:abstractNumId w:val="37"/>
  </w:num>
  <w:num w:numId="48">
    <w:abstractNumId w:val="18"/>
  </w:num>
  <w:num w:numId="49">
    <w:abstractNumId w:val="43"/>
  </w:num>
  <w:num w:numId="50">
    <w:abstractNumId w:val="21"/>
  </w:num>
  <w:num w:numId="51">
    <w:abstractNumId w:val="2"/>
  </w:num>
  <w:num w:numId="52">
    <w:abstractNumId w:val="25"/>
  </w:num>
  <w:num w:numId="53">
    <w:abstractNumId w:val="19"/>
  </w:num>
  <w:num w:numId="54">
    <w:abstractNumId w:val="20"/>
  </w:num>
  <w:num w:numId="55">
    <w:abstractNumId w:val="28"/>
  </w:num>
  <w:num w:numId="56">
    <w:abstractNumId w:val="31"/>
  </w:num>
  <w:num w:numId="57">
    <w:abstractNumId w:val="40"/>
  </w:num>
  <w:num w:numId="58">
    <w:abstractNumId w:val="42"/>
  </w:num>
  <w:num w:numId="59">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2E"/>
    <w:rsid w:val="000011DE"/>
    <w:rsid w:val="00003507"/>
    <w:rsid w:val="00003B2D"/>
    <w:rsid w:val="00004DF9"/>
    <w:rsid w:val="0000743F"/>
    <w:rsid w:val="00017722"/>
    <w:rsid w:val="00023ADC"/>
    <w:rsid w:val="00023BA4"/>
    <w:rsid w:val="00026130"/>
    <w:rsid w:val="0002711E"/>
    <w:rsid w:val="000278A6"/>
    <w:rsid w:val="00030316"/>
    <w:rsid w:val="00034784"/>
    <w:rsid w:val="000356CA"/>
    <w:rsid w:val="00037EF0"/>
    <w:rsid w:val="000432E1"/>
    <w:rsid w:val="000438CA"/>
    <w:rsid w:val="000448F0"/>
    <w:rsid w:val="000471AC"/>
    <w:rsid w:val="000471EE"/>
    <w:rsid w:val="00050A9A"/>
    <w:rsid w:val="0005151C"/>
    <w:rsid w:val="00051B1B"/>
    <w:rsid w:val="00051D4C"/>
    <w:rsid w:val="00053CF5"/>
    <w:rsid w:val="0006210F"/>
    <w:rsid w:val="0006273B"/>
    <w:rsid w:val="00065EAA"/>
    <w:rsid w:val="00072476"/>
    <w:rsid w:val="00072B2D"/>
    <w:rsid w:val="00073881"/>
    <w:rsid w:val="00073B22"/>
    <w:rsid w:val="00080066"/>
    <w:rsid w:val="000805BA"/>
    <w:rsid w:val="000868B8"/>
    <w:rsid w:val="000963C0"/>
    <w:rsid w:val="00096C1E"/>
    <w:rsid w:val="000A13E6"/>
    <w:rsid w:val="000A457D"/>
    <w:rsid w:val="000A7030"/>
    <w:rsid w:val="000A7DCF"/>
    <w:rsid w:val="000B54BC"/>
    <w:rsid w:val="000B64AD"/>
    <w:rsid w:val="000C02E1"/>
    <w:rsid w:val="000C1EF4"/>
    <w:rsid w:val="000C1FBC"/>
    <w:rsid w:val="000C3002"/>
    <w:rsid w:val="000C5801"/>
    <w:rsid w:val="000C6186"/>
    <w:rsid w:val="000C7794"/>
    <w:rsid w:val="000D1946"/>
    <w:rsid w:val="000D1CA2"/>
    <w:rsid w:val="000D38BD"/>
    <w:rsid w:val="000D686F"/>
    <w:rsid w:val="000D6905"/>
    <w:rsid w:val="000D7C23"/>
    <w:rsid w:val="000E03FD"/>
    <w:rsid w:val="000E1FB1"/>
    <w:rsid w:val="000E3947"/>
    <w:rsid w:val="000E7548"/>
    <w:rsid w:val="000F685C"/>
    <w:rsid w:val="000F7EDD"/>
    <w:rsid w:val="00105B7A"/>
    <w:rsid w:val="001060BA"/>
    <w:rsid w:val="00106C64"/>
    <w:rsid w:val="00107AE8"/>
    <w:rsid w:val="00113F33"/>
    <w:rsid w:val="0012385B"/>
    <w:rsid w:val="00123EA0"/>
    <w:rsid w:val="00124CC4"/>
    <w:rsid w:val="001262E2"/>
    <w:rsid w:val="00126FE9"/>
    <w:rsid w:val="0013072E"/>
    <w:rsid w:val="00132E8A"/>
    <w:rsid w:val="001378AF"/>
    <w:rsid w:val="001437BD"/>
    <w:rsid w:val="00144FA7"/>
    <w:rsid w:val="0014602E"/>
    <w:rsid w:val="0014608E"/>
    <w:rsid w:val="001470DC"/>
    <w:rsid w:val="001475E0"/>
    <w:rsid w:val="001509AE"/>
    <w:rsid w:val="00152C96"/>
    <w:rsid w:val="0016427A"/>
    <w:rsid w:val="00165C16"/>
    <w:rsid w:val="001678E4"/>
    <w:rsid w:val="0017151F"/>
    <w:rsid w:val="00171E97"/>
    <w:rsid w:val="00171FD7"/>
    <w:rsid w:val="00172F00"/>
    <w:rsid w:val="00175814"/>
    <w:rsid w:val="001762D3"/>
    <w:rsid w:val="00177AC6"/>
    <w:rsid w:val="0018125F"/>
    <w:rsid w:val="0018150A"/>
    <w:rsid w:val="00185334"/>
    <w:rsid w:val="00186FB1"/>
    <w:rsid w:val="0018795A"/>
    <w:rsid w:val="001879BA"/>
    <w:rsid w:val="00190A5B"/>
    <w:rsid w:val="0019215D"/>
    <w:rsid w:val="001921F0"/>
    <w:rsid w:val="0019262D"/>
    <w:rsid w:val="00194D67"/>
    <w:rsid w:val="00195597"/>
    <w:rsid w:val="0019667D"/>
    <w:rsid w:val="001978C6"/>
    <w:rsid w:val="001A20F3"/>
    <w:rsid w:val="001A2AF4"/>
    <w:rsid w:val="001B28E6"/>
    <w:rsid w:val="001C2C69"/>
    <w:rsid w:val="001C4B5B"/>
    <w:rsid w:val="001C5232"/>
    <w:rsid w:val="001C5741"/>
    <w:rsid w:val="001D0CF5"/>
    <w:rsid w:val="001E1738"/>
    <w:rsid w:val="001E1CAC"/>
    <w:rsid w:val="001E253A"/>
    <w:rsid w:val="001E335B"/>
    <w:rsid w:val="001E4876"/>
    <w:rsid w:val="001F14C0"/>
    <w:rsid w:val="001F208C"/>
    <w:rsid w:val="001F48A5"/>
    <w:rsid w:val="001F5FDA"/>
    <w:rsid w:val="00204302"/>
    <w:rsid w:val="00205F96"/>
    <w:rsid w:val="0020715C"/>
    <w:rsid w:val="00210253"/>
    <w:rsid w:val="00212FE2"/>
    <w:rsid w:val="002137CD"/>
    <w:rsid w:val="0022046E"/>
    <w:rsid w:val="0022091D"/>
    <w:rsid w:val="002228D3"/>
    <w:rsid w:val="002239FA"/>
    <w:rsid w:val="00227BB1"/>
    <w:rsid w:val="00232168"/>
    <w:rsid w:val="0023272C"/>
    <w:rsid w:val="002332FD"/>
    <w:rsid w:val="00234E6B"/>
    <w:rsid w:val="002405A2"/>
    <w:rsid w:val="002415A0"/>
    <w:rsid w:val="0024445D"/>
    <w:rsid w:val="00247AD7"/>
    <w:rsid w:val="00251594"/>
    <w:rsid w:val="002523E6"/>
    <w:rsid w:val="0025342F"/>
    <w:rsid w:val="00255755"/>
    <w:rsid w:val="00264445"/>
    <w:rsid w:val="002666D6"/>
    <w:rsid w:val="00266E63"/>
    <w:rsid w:val="002711E2"/>
    <w:rsid w:val="002744E0"/>
    <w:rsid w:val="002749B0"/>
    <w:rsid w:val="00274B93"/>
    <w:rsid w:val="00275379"/>
    <w:rsid w:val="00276BFF"/>
    <w:rsid w:val="00276DA7"/>
    <w:rsid w:val="002805C3"/>
    <w:rsid w:val="002817DA"/>
    <w:rsid w:val="002825EC"/>
    <w:rsid w:val="00282794"/>
    <w:rsid w:val="00282AFE"/>
    <w:rsid w:val="002837BA"/>
    <w:rsid w:val="0028421A"/>
    <w:rsid w:val="002842BD"/>
    <w:rsid w:val="002901D3"/>
    <w:rsid w:val="002934D2"/>
    <w:rsid w:val="002950C1"/>
    <w:rsid w:val="002951D9"/>
    <w:rsid w:val="0029535B"/>
    <w:rsid w:val="002A0767"/>
    <w:rsid w:val="002A0D7E"/>
    <w:rsid w:val="002A3ABD"/>
    <w:rsid w:val="002B0E09"/>
    <w:rsid w:val="002B226B"/>
    <w:rsid w:val="002B3C0D"/>
    <w:rsid w:val="002B57A0"/>
    <w:rsid w:val="002B7EB5"/>
    <w:rsid w:val="002C1608"/>
    <w:rsid w:val="002C469A"/>
    <w:rsid w:val="002D27ED"/>
    <w:rsid w:val="002D5144"/>
    <w:rsid w:val="002E0171"/>
    <w:rsid w:val="002E215D"/>
    <w:rsid w:val="002E27F1"/>
    <w:rsid w:val="002E3895"/>
    <w:rsid w:val="002E3A58"/>
    <w:rsid w:val="002E7EEB"/>
    <w:rsid w:val="002F20A6"/>
    <w:rsid w:val="002F20A9"/>
    <w:rsid w:val="002F2F96"/>
    <w:rsid w:val="002F30CC"/>
    <w:rsid w:val="002F46FB"/>
    <w:rsid w:val="002F58A7"/>
    <w:rsid w:val="002F6DBA"/>
    <w:rsid w:val="002F76F6"/>
    <w:rsid w:val="002F7A79"/>
    <w:rsid w:val="00303744"/>
    <w:rsid w:val="003048A4"/>
    <w:rsid w:val="00312100"/>
    <w:rsid w:val="00313DF8"/>
    <w:rsid w:val="00320130"/>
    <w:rsid w:val="003201C6"/>
    <w:rsid w:val="0032090C"/>
    <w:rsid w:val="00320F38"/>
    <w:rsid w:val="00324B20"/>
    <w:rsid w:val="0032618E"/>
    <w:rsid w:val="0033023C"/>
    <w:rsid w:val="00335496"/>
    <w:rsid w:val="003367C9"/>
    <w:rsid w:val="0034230B"/>
    <w:rsid w:val="00343240"/>
    <w:rsid w:val="00346D21"/>
    <w:rsid w:val="003504B6"/>
    <w:rsid w:val="00350CB8"/>
    <w:rsid w:val="00356960"/>
    <w:rsid w:val="00356B56"/>
    <w:rsid w:val="003622DF"/>
    <w:rsid w:val="00365E92"/>
    <w:rsid w:val="00367049"/>
    <w:rsid w:val="003678C0"/>
    <w:rsid w:val="00371513"/>
    <w:rsid w:val="0037500B"/>
    <w:rsid w:val="00375EE2"/>
    <w:rsid w:val="00376901"/>
    <w:rsid w:val="00376F86"/>
    <w:rsid w:val="00377947"/>
    <w:rsid w:val="00380100"/>
    <w:rsid w:val="00383136"/>
    <w:rsid w:val="00383FBF"/>
    <w:rsid w:val="00391DA1"/>
    <w:rsid w:val="00391F1B"/>
    <w:rsid w:val="00392F62"/>
    <w:rsid w:val="00396759"/>
    <w:rsid w:val="003A0E03"/>
    <w:rsid w:val="003A17F1"/>
    <w:rsid w:val="003A25BB"/>
    <w:rsid w:val="003A3E4E"/>
    <w:rsid w:val="003A50AF"/>
    <w:rsid w:val="003A60FC"/>
    <w:rsid w:val="003B227E"/>
    <w:rsid w:val="003B25DB"/>
    <w:rsid w:val="003B26BA"/>
    <w:rsid w:val="003B63D2"/>
    <w:rsid w:val="003C08FB"/>
    <w:rsid w:val="003C0E0B"/>
    <w:rsid w:val="003C3D70"/>
    <w:rsid w:val="003C5EAD"/>
    <w:rsid w:val="003D1773"/>
    <w:rsid w:val="003D30A4"/>
    <w:rsid w:val="003D4B58"/>
    <w:rsid w:val="003E53A6"/>
    <w:rsid w:val="003E6FFD"/>
    <w:rsid w:val="003E7BB1"/>
    <w:rsid w:val="003F2896"/>
    <w:rsid w:val="003F3A7E"/>
    <w:rsid w:val="003F4007"/>
    <w:rsid w:val="003F4265"/>
    <w:rsid w:val="003F42F3"/>
    <w:rsid w:val="003F6982"/>
    <w:rsid w:val="004033D3"/>
    <w:rsid w:val="00403CD4"/>
    <w:rsid w:val="00405162"/>
    <w:rsid w:val="00407239"/>
    <w:rsid w:val="0041010D"/>
    <w:rsid w:val="004112EA"/>
    <w:rsid w:val="004119B7"/>
    <w:rsid w:val="00414B62"/>
    <w:rsid w:val="004155A8"/>
    <w:rsid w:val="00415B20"/>
    <w:rsid w:val="00415EDE"/>
    <w:rsid w:val="0042107B"/>
    <w:rsid w:val="00421D79"/>
    <w:rsid w:val="004224B0"/>
    <w:rsid w:val="004247E7"/>
    <w:rsid w:val="004262E9"/>
    <w:rsid w:val="004266F5"/>
    <w:rsid w:val="004271E2"/>
    <w:rsid w:val="004300E1"/>
    <w:rsid w:val="0043062E"/>
    <w:rsid w:val="004306F4"/>
    <w:rsid w:val="00431F4D"/>
    <w:rsid w:val="004326EC"/>
    <w:rsid w:val="004329A1"/>
    <w:rsid w:val="0043481D"/>
    <w:rsid w:val="004349E3"/>
    <w:rsid w:val="00434CF8"/>
    <w:rsid w:val="00440F78"/>
    <w:rsid w:val="00442D87"/>
    <w:rsid w:val="00450164"/>
    <w:rsid w:val="00450BAB"/>
    <w:rsid w:val="0045120C"/>
    <w:rsid w:val="00452769"/>
    <w:rsid w:val="0045282D"/>
    <w:rsid w:val="00457C86"/>
    <w:rsid w:val="004647A1"/>
    <w:rsid w:val="00465B26"/>
    <w:rsid w:val="0047182E"/>
    <w:rsid w:val="004762F7"/>
    <w:rsid w:val="0047793E"/>
    <w:rsid w:val="004807AF"/>
    <w:rsid w:val="00480E6C"/>
    <w:rsid w:val="00481A48"/>
    <w:rsid w:val="00482C81"/>
    <w:rsid w:val="004832FC"/>
    <w:rsid w:val="004838D7"/>
    <w:rsid w:val="0048446F"/>
    <w:rsid w:val="0048467C"/>
    <w:rsid w:val="00485FD4"/>
    <w:rsid w:val="00487D97"/>
    <w:rsid w:val="00487F13"/>
    <w:rsid w:val="0049122A"/>
    <w:rsid w:val="00491B52"/>
    <w:rsid w:val="00495453"/>
    <w:rsid w:val="004957FD"/>
    <w:rsid w:val="004976E4"/>
    <w:rsid w:val="00497F21"/>
    <w:rsid w:val="004A06DD"/>
    <w:rsid w:val="004A0C0C"/>
    <w:rsid w:val="004A10F8"/>
    <w:rsid w:val="004A2FA5"/>
    <w:rsid w:val="004A2FE2"/>
    <w:rsid w:val="004A307A"/>
    <w:rsid w:val="004A50A9"/>
    <w:rsid w:val="004A6445"/>
    <w:rsid w:val="004B3382"/>
    <w:rsid w:val="004B565B"/>
    <w:rsid w:val="004B6027"/>
    <w:rsid w:val="004B73DB"/>
    <w:rsid w:val="004C10D7"/>
    <w:rsid w:val="004C1C6E"/>
    <w:rsid w:val="004C26FD"/>
    <w:rsid w:val="004C2997"/>
    <w:rsid w:val="004C3313"/>
    <w:rsid w:val="004C5767"/>
    <w:rsid w:val="004C6C4F"/>
    <w:rsid w:val="004C7804"/>
    <w:rsid w:val="004D1960"/>
    <w:rsid w:val="004D3A07"/>
    <w:rsid w:val="004D782A"/>
    <w:rsid w:val="004D78F3"/>
    <w:rsid w:val="004E232D"/>
    <w:rsid w:val="004E3A77"/>
    <w:rsid w:val="004F0C50"/>
    <w:rsid w:val="004F25F2"/>
    <w:rsid w:val="004F5325"/>
    <w:rsid w:val="004F637D"/>
    <w:rsid w:val="005010E6"/>
    <w:rsid w:val="00501306"/>
    <w:rsid w:val="0050470E"/>
    <w:rsid w:val="005071D6"/>
    <w:rsid w:val="00510889"/>
    <w:rsid w:val="00511F9D"/>
    <w:rsid w:val="005164AA"/>
    <w:rsid w:val="00523C74"/>
    <w:rsid w:val="005247A5"/>
    <w:rsid w:val="00525102"/>
    <w:rsid w:val="00525EBD"/>
    <w:rsid w:val="00527356"/>
    <w:rsid w:val="005317DA"/>
    <w:rsid w:val="00532387"/>
    <w:rsid w:val="00535C50"/>
    <w:rsid w:val="00540014"/>
    <w:rsid w:val="0054047D"/>
    <w:rsid w:val="00540EB5"/>
    <w:rsid w:val="0054200A"/>
    <w:rsid w:val="005427EC"/>
    <w:rsid w:val="005546A0"/>
    <w:rsid w:val="00555675"/>
    <w:rsid w:val="00556B09"/>
    <w:rsid w:val="00557BB7"/>
    <w:rsid w:val="005618CB"/>
    <w:rsid w:val="00563F5C"/>
    <w:rsid w:val="00564F60"/>
    <w:rsid w:val="0056578F"/>
    <w:rsid w:val="00566D98"/>
    <w:rsid w:val="0056701D"/>
    <w:rsid w:val="00567FE8"/>
    <w:rsid w:val="00572BBA"/>
    <w:rsid w:val="00572D8A"/>
    <w:rsid w:val="0057633F"/>
    <w:rsid w:val="00577A8E"/>
    <w:rsid w:val="00577BBF"/>
    <w:rsid w:val="00580B28"/>
    <w:rsid w:val="00583D21"/>
    <w:rsid w:val="0058538B"/>
    <w:rsid w:val="005907A3"/>
    <w:rsid w:val="00592A9A"/>
    <w:rsid w:val="00594830"/>
    <w:rsid w:val="005A0E1D"/>
    <w:rsid w:val="005A25A2"/>
    <w:rsid w:val="005A313E"/>
    <w:rsid w:val="005A59D9"/>
    <w:rsid w:val="005A7101"/>
    <w:rsid w:val="005B1D15"/>
    <w:rsid w:val="005B414B"/>
    <w:rsid w:val="005B41BF"/>
    <w:rsid w:val="005B42A4"/>
    <w:rsid w:val="005C03E3"/>
    <w:rsid w:val="005C52D2"/>
    <w:rsid w:val="005C5465"/>
    <w:rsid w:val="005C6CC4"/>
    <w:rsid w:val="005C7ED1"/>
    <w:rsid w:val="005D2AC3"/>
    <w:rsid w:val="005D2CF2"/>
    <w:rsid w:val="005D3FCA"/>
    <w:rsid w:val="005D49B9"/>
    <w:rsid w:val="005D6B36"/>
    <w:rsid w:val="005D6CEC"/>
    <w:rsid w:val="005E305B"/>
    <w:rsid w:val="005E53A6"/>
    <w:rsid w:val="005E6B55"/>
    <w:rsid w:val="005F4014"/>
    <w:rsid w:val="005F54D4"/>
    <w:rsid w:val="005F6147"/>
    <w:rsid w:val="005F75ED"/>
    <w:rsid w:val="005F7633"/>
    <w:rsid w:val="00601430"/>
    <w:rsid w:val="00604027"/>
    <w:rsid w:val="0060683E"/>
    <w:rsid w:val="00610EAD"/>
    <w:rsid w:val="0061125B"/>
    <w:rsid w:val="00611FBE"/>
    <w:rsid w:val="00615536"/>
    <w:rsid w:val="00621276"/>
    <w:rsid w:val="00624E7F"/>
    <w:rsid w:val="00625439"/>
    <w:rsid w:val="006264B1"/>
    <w:rsid w:val="00627CE9"/>
    <w:rsid w:val="00627DC0"/>
    <w:rsid w:val="00627E2B"/>
    <w:rsid w:val="00631E2B"/>
    <w:rsid w:val="00634A26"/>
    <w:rsid w:val="006368E5"/>
    <w:rsid w:val="00636D00"/>
    <w:rsid w:val="00637F7C"/>
    <w:rsid w:val="006408A2"/>
    <w:rsid w:val="00640C99"/>
    <w:rsid w:val="00641196"/>
    <w:rsid w:val="00645132"/>
    <w:rsid w:val="00645196"/>
    <w:rsid w:val="00650471"/>
    <w:rsid w:val="006507AC"/>
    <w:rsid w:val="00651EE8"/>
    <w:rsid w:val="006535CB"/>
    <w:rsid w:val="00654518"/>
    <w:rsid w:val="00655706"/>
    <w:rsid w:val="00657E95"/>
    <w:rsid w:val="00657FC2"/>
    <w:rsid w:val="00666D0E"/>
    <w:rsid w:val="0066711A"/>
    <w:rsid w:val="006674A6"/>
    <w:rsid w:val="00670DC0"/>
    <w:rsid w:val="00670DDE"/>
    <w:rsid w:val="0067241E"/>
    <w:rsid w:val="0067609D"/>
    <w:rsid w:val="00676249"/>
    <w:rsid w:val="006818BD"/>
    <w:rsid w:val="00681AC7"/>
    <w:rsid w:val="006820AA"/>
    <w:rsid w:val="00682389"/>
    <w:rsid w:val="00684653"/>
    <w:rsid w:val="00690269"/>
    <w:rsid w:val="00692282"/>
    <w:rsid w:val="00692DC3"/>
    <w:rsid w:val="00696143"/>
    <w:rsid w:val="0069769A"/>
    <w:rsid w:val="006A0206"/>
    <w:rsid w:val="006A0B69"/>
    <w:rsid w:val="006A2470"/>
    <w:rsid w:val="006A267E"/>
    <w:rsid w:val="006A5709"/>
    <w:rsid w:val="006A7B53"/>
    <w:rsid w:val="006B0A4C"/>
    <w:rsid w:val="006B2841"/>
    <w:rsid w:val="006B7A0B"/>
    <w:rsid w:val="006D4A33"/>
    <w:rsid w:val="006D7831"/>
    <w:rsid w:val="006E04EF"/>
    <w:rsid w:val="006E223E"/>
    <w:rsid w:val="006E3C93"/>
    <w:rsid w:val="006E4120"/>
    <w:rsid w:val="006E7179"/>
    <w:rsid w:val="006E7ADE"/>
    <w:rsid w:val="006F5884"/>
    <w:rsid w:val="006F79A9"/>
    <w:rsid w:val="006F7B24"/>
    <w:rsid w:val="006F7F41"/>
    <w:rsid w:val="00710303"/>
    <w:rsid w:val="007121E5"/>
    <w:rsid w:val="00714235"/>
    <w:rsid w:val="00721944"/>
    <w:rsid w:val="00725049"/>
    <w:rsid w:val="00725B05"/>
    <w:rsid w:val="007273CB"/>
    <w:rsid w:val="00730B54"/>
    <w:rsid w:val="00743874"/>
    <w:rsid w:val="00744DCD"/>
    <w:rsid w:val="00745211"/>
    <w:rsid w:val="00747EC9"/>
    <w:rsid w:val="00750A66"/>
    <w:rsid w:val="00751C19"/>
    <w:rsid w:val="007526A7"/>
    <w:rsid w:val="00752C38"/>
    <w:rsid w:val="00752FE1"/>
    <w:rsid w:val="00755FF6"/>
    <w:rsid w:val="007563BE"/>
    <w:rsid w:val="00756914"/>
    <w:rsid w:val="007625F6"/>
    <w:rsid w:val="00763BD5"/>
    <w:rsid w:val="00771230"/>
    <w:rsid w:val="00772F96"/>
    <w:rsid w:val="007749FF"/>
    <w:rsid w:val="00774D6E"/>
    <w:rsid w:val="00774FE4"/>
    <w:rsid w:val="00776048"/>
    <w:rsid w:val="0077628C"/>
    <w:rsid w:val="007773DF"/>
    <w:rsid w:val="00777BE5"/>
    <w:rsid w:val="00777E19"/>
    <w:rsid w:val="007805FE"/>
    <w:rsid w:val="00782E62"/>
    <w:rsid w:val="00784641"/>
    <w:rsid w:val="0079082E"/>
    <w:rsid w:val="00794700"/>
    <w:rsid w:val="00794ADC"/>
    <w:rsid w:val="007960D5"/>
    <w:rsid w:val="00796F64"/>
    <w:rsid w:val="00797CC0"/>
    <w:rsid w:val="007A0CDB"/>
    <w:rsid w:val="007A150C"/>
    <w:rsid w:val="007A1D71"/>
    <w:rsid w:val="007A2522"/>
    <w:rsid w:val="007A3203"/>
    <w:rsid w:val="007A615E"/>
    <w:rsid w:val="007B21B9"/>
    <w:rsid w:val="007B22DB"/>
    <w:rsid w:val="007B2B69"/>
    <w:rsid w:val="007B410B"/>
    <w:rsid w:val="007B62A6"/>
    <w:rsid w:val="007B7591"/>
    <w:rsid w:val="007D4EF1"/>
    <w:rsid w:val="007E0AA2"/>
    <w:rsid w:val="007E1BC8"/>
    <w:rsid w:val="007E3489"/>
    <w:rsid w:val="007E5101"/>
    <w:rsid w:val="007F6668"/>
    <w:rsid w:val="00801244"/>
    <w:rsid w:val="00803E25"/>
    <w:rsid w:val="00807AAD"/>
    <w:rsid w:val="00812406"/>
    <w:rsid w:val="00813C9F"/>
    <w:rsid w:val="0081670F"/>
    <w:rsid w:val="00816C7F"/>
    <w:rsid w:val="00820F97"/>
    <w:rsid w:val="0082134B"/>
    <w:rsid w:val="00824918"/>
    <w:rsid w:val="008262ED"/>
    <w:rsid w:val="00826F47"/>
    <w:rsid w:val="00831392"/>
    <w:rsid w:val="00831B53"/>
    <w:rsid w:val="008355B6"/>
    <w:rsid w:val="00841B5F"/>
    <w:rsid w:val="008425F5"/>
    <w:rsid w:val="00846372"/>
    <w:rsid w:val="00851AEF"/>
    <w:rsid w:val="00851EF3"/>
    <w:rsid w:val="00853F7E"/>
    <w:rsid w:val="00855CE7"/>
    <w:rsid w:val="00856BC8"/>
    <w:rsid w:val="00856F36"/>
    <w:rsid w:val="0086036F"/>
    <w:rsid w:val="00860550"/>
    <w:rsid w:val="00861272"/>
    <w:rsid w:val="00862236"/>
    <w:rsid w:val="00866EFB"/>
    <w:rsid w:val="008711A0"/>
    <w:rsid w:val="008713C1"/>
    <w:rsid w:val="0087336B"/>
    <w:rsid w:val="00875C09"/>
    <w:rsid w:val="0087616C"/>
    <w:rsid w:val="0088377D"/>
    <w:rsid w:val="00883F3B"/>
    <w:rsid w:val="0089312F"/>
    <w:rsid w:val="00893B53"/>
    <w:rsid w:val="008969F8"/>
    <w:rsid w:val="008972EF"/>
    <w:rsid w:val="00897470"/>
    <w:rsid w:val="008A09E2"/>
    <w:rsid w:val="008A44FD"/>
    <w:rsid w:val="008A6057"/>
    <w:rsid w:val="008A6494"/>
    <w:rsid w:val="008B2BD0"/>
    <w:rsid w:val="008B2CAD"/>
    <w:rsid w:val="008B3398"/>
    <w:rsid w:val="008B401B"/>
    <w:rsid w:val="008B5E73"/>
    <w:rsid w:val="008C03CC"/>
    <w:rsid w:val="008C1DD4"/>
    <w:rsid w:val="008C209F"/>
    <w:rsid w:val="008C26BE"/>
    <w:rsid w:val="008C2CF2"/>
    <w:rsid w:val="008C2EEB"/>
    <w:rsid w:val="008C5036"/>
    <w:rsid w:val="008D0FCF"/>
    <w:rsid w:val="008D1445"/>
    <w:rsid w:val="008D255F"/>
    <w:rsid w:val="008D3C2F"/>
    <w:rsid w:val="008D5A95"/>
    <w:rsid w:val="008D7D1F"/>
    <w:rsid w:val="008E136E"/>
    <w:rsid w:val="008E2425"/>
    <w:rsid w:val="008E327E"/>
    <w:rsid w:val="008E43A5"/>
    <w:rsid w:val="008E5F42"/>
    <w:rsid w:val="008F001B"/>
    <w:rsid w:val="008F091B"/>
    <w:rsid w:val="008F2040"/>
    <w:rsid w:val="008F2421"/>
    <w:rsid w:val="008F3848"/>
    <w:rsid w:val="008F5563"/>
    <w:rsid w:val="00906563"/>
    <w:rsid w:val="009069A7"/>
    <w:rsid w:val="009106B0"/>
    <w:rsid w:val="009121D4"/>
    <w:rsid w:val="0091231D"/>
    <w:rsid w:val="00915A75"/>
    <w:rsid w:val="00916548"/>
    <w:rsid w:val="00921D6B"/>
    <w:rsid w:val="00921D92"/>
    <w:rsid w:val="009234C8"/>
    <w:rsid w:val="009248BE"/>
    <w:rsid w:val="009303F7"/>
    <w:rsid w:val="0093048F"/>
    <w:rsid w:val="00933DEB"/>
    <w:rsid w:val="00935008"/>
    <w:rsid w:val="009365C1"/>
    <w:rsid w:val="00940DFF"/>
    <w:rsid w:val="0094159C"/>
    <w:rsid w:val="00941C3E"/>
    <w:rsid w:val="00942C96"/>
    <w:rsid w:val="00942F0B"/>
    <w:rsid w:val="0094477C"/>
    <w:rsid w:val="00947186"/>
    <w:rsid w:val="00950064"/>
    <w:rsid w:val="00950F01"/>
    <w:rsid w:val="009529E5"/>
    <w:rsid w:val="009549F5"/>
    <w:rsid w:val="0096443F"/>
    <w:rsid w:val="00966C29"/>
    <w:rsid w:val="00972234"/>
    <w:rsid w:val="00973B68"/>
    <w:rsid w:val="00973F3E"/>
    <w:rsid w:val="00976BB3"/>
    <w:rsid w:val="0098090A"/>
    <w:rsid w:val="00980E1F"/>
    <w:rsid w:val="00981C4A"/>
    <w:rsid w:val="00982336"/>
    <w:rsid w:val="009840CE"/>
    <w:rsid w:val="00984668"/>
    <w:rsid w:val="0098470B"/>
    <w:rsid w:val="00987801"/>
    <w:rsid w:val="00987F9D"/>
    <w:rsid w:val="009A0BD8"/>
    <w:rsid w:val="009A1069"/>
    <w:rsid w:val="009A7448"/>
    <w:rsid w:val="009B418F"/>
    <w:rsid w:val="009C31F1"/>
    <w:rsid w:val="009C6F51"/>
    <w:rsid w:val="009E0196"/>
    <w:rsid w:val="009E1149"/>
    <w:rsid w:val="009E1B34"/>
    <w:rsid w:val="009E4B68"/>
    <w:rsid w:val="009E562C"/>
    <w:rsid w:val="009E75EF"/>
    <w:rsid w:val="009E7DDF"/>
    <w:rsid w:val="009F0E40"/>
    <w:rsid w:val="009F1516"/>
    <w:rsid w:val="009F4A68"/>
    <w:rsid w:val="009F4FB4"/>
    <w:rsid w:val="009F6330"/>
    <w:rsid w:val="009F6FDB"/>
    <w:rsid w:val="00A00DA8"/>
    <w:rsid w:val="00A020DA"/>
    <w:rsid w:val="00A060D5"/>
    <w:rsid w:val="00A105D8"/>
    <w:rsid w:val="00A11E1C"/>
    <w:rsid w:val="00A13410"/>
    <w:rsid w:val="00A20A87"/>
    <w:rsid w:val="00A218EB"/>
    <w:rsid w:val="00A22E67"/>
    <w:rsid w:val="00A22EC7"/>
    <w:rsid w:val="00A247FE"/>
    <w:rsid w:val="00A24E48"/>
    <w:rsid w:val="00A26474"/>
    <w:rsid w:val="00A309E9"/>
    <w:rsid w:val="00A31476"/>
    <w:rsid w:val="00A35A5B"/>
    <w:rsid w:val="00A35A7E"/>
    <w:rsid w:val="00A37D08"/>
    <w:rsid w:val="00A425C9"/>
    <w:rsid w:val="00A42E0F"/>
    <w:rsid w:val="00A45A76"/>
    <w:rsid w:val="00A45EB7"/>
    <w:rsid w:val="00A469F6"/>
    <w:rsid w:val="00A4770F"/>
    <w:rsid w:val="00A5003B"/>
    <w:rsid w:val="00A530D5"/>
    <w:rsid w:val="00A53FD1"/>
    <w:rsid w:val="00A54305"/>
    <w:rsid w:val="00A546B5"/>
    <w:rsid w:val="00A55A7B"/>
    <w:rsid w:val="00A61F01"/>
    <w:rsid w:val="00A63343"/>
    <w:rsid w:val="00A66135"/>
    <w:rsid w:val="00A66A7E"/>
    <w:rsid w:val="00A70417"/>
    <w:rsid w:val="00A72905"/>
    <w:rsid w:val="00A72F2D"/>
    <w:rsid w:val="00A828D3"/>
    <w:rsid w:val="00A82C41"/>
    <w:rsid w:val="00A85133"/>
    <w:rsid w:val="00A9055F"/>
    <w:rsid w:val="00A92FCF"/>
    <w:rsid w:val="00A934EE"/>
    <w:rsid w:val="00A93EA6"/>
    <w:rsid w:val="00A9447E"/>
    <w:rsid w:val="00A9498A"/>
    <w:rsid w:val="00A9518F"/>
    <w:rsid w:val="00A97C0A"/>
    <w:rsid w:val="00A97F16"/>
    <w:rsid w:val="00AA03AA"/>
    <w:rsid w:val="00AA3FF1"/>
    <w:rsid w:val="00AA47D6"/>
    <w:rsid w:val="00AA49F1"/>
    <w:rsid w:val="00AA71EE"/>
    <w:rsid w:val="00AB19AD"/>
    <w:rsid w:val="00AB7B5F"/>
    <w:rsid w:val="00AC166B"/>
    <w:rsid w:val="00AC1C7C"/>
    <w:rsid w:val="00AC3C64"/>
    <w:rsid w:val="00AC7A40"/>
    <w:rsid w:val="00AD37F8"/>
    <w:rsid w:val="00AD7A2D"/>
    <w:rsid w:val="00AE02F8"/>
    <w:rsid w:val="00AE222B"/>
    <w:rsid w:val="00AE43E4"/>
    <w:rsid w:val="00AF0445"/>
    <w:rsid w:val="00AF0728"/>
    <w:rsid w:val="00AF0864"/>
    <w:rsid w:val="00AF3854"/>
    <w:rsid w:val="00AF3FF6"/>
    <w:rsid w:val="00AF4F45"/>
    <w:rsid w:val="00AF57CF"/>
    <w:rsid w:val="00AF66F9"/>
    <w:rsid w:val="00B00BBC"/>
    <w:rsid w:val="00B00D97"/>
    <w:rsid w:val="00B020F3"/>
    <w:rsid w:val="00B025AF"/>
    <w:rsid w:val="00B041C0"/>
    <w:rsid w:val="00B04D86"/>
    <w:rsid w:val="00B05794"/>
    <w:rsid w:val="00B06B87"/>
    <w:rsid w:val="00B12ECB"/>
    <w:rsid w:val="00B13252"/>
    <w:rsid w:val="00B14149"/>
    <w:rsid w:val="00B15A4F"/>
    <w:rsid w:val="00B24871"/>
    <w:rsid w:val="00B2540D"/>
    <w:rsid w:val="00B319A7"/>
    <w:rsid w:val="00B32F5C"/>
    <w:rsid w:val="00B359A1"/>
    <w:rsid w:val="00B36478"/>
    <w:rsid w:val="00B46A6C"/>
    <w:rsid w:val="00B505F2"/>
    <w:rsid w:val="00B54EF4"/>
    <w:rsid w:val="00B56574"/>
    <w:rsid w:val="00B578BA"/>
    <w:rsid w:val="00B6114F"/>
    <w:rsid w:val="00B62A20"/>
    <w:rsid w:val="00B63A49"/>
    <w:rsid w:val="00B64BF5"/>
    <w:rsid w:val="00B64E93"/>
    <w:rsid w:val="00B65C4E"/>
    <w:rsid w:val="00B66BE0"/>
    <w:rsid w:val="00B67ED3"/>
    <w:rsid w:val="00B72DDB"/>
    <w:rsid w:val="00B75EE4"/>
    <w:rsid w:val="00B8319D"/>
    <w:rsid w:val="00B95980"/>
    <w:rsid w:val="00B95F94"/>
    <w:rsid w:val="00BA283B"/>
    <w:rsid w:val="00BA33B5"/>
    <w:rsid w:val="00BA4CA0"/>
    <w:rsid w:val="00BA606E"/>
    <w:rsid w:val="00BA6332"/>
    <w:rsid w:val="00BA797C"/>
    <w:rsid w:val="00BB0A14"/>
    <w:rsid w:val="00BB389F"/>
    <w:rsid w:val="00BB3CD8"/>
    <w:rsid w:val="00BB43D1"/>
    <w:rsid w:val="00BB4675"/>
    <w:rsid w:val="00BB6444"/>
    <w:rsid w:val="00BB6DAC"/>
    <w:rsid w:val="00BB6FC7"/>
    <w:rsid w:val="00BC280C"/>
    <w:rsid w:val="00BC61BD"/>
    <w:rsid w:val="00BC6726"/>
    <w:rsid w:val="00BC6A94"/>
    <w:rsid w:val="00BD1B13"/>
    <w:rsid w:val="00BD34B2"/>
    <w:rsid w:val="00BD5055"/>
    <w:rsid w:val="00BE0A2E"/>
    <w:rsid w:val="00BE2872"/>
    <w:rsid w:val="00BE3C3B"/>
    <w:rsid w:val="00BE74CF"/>
    <w:rsid w:val="00BF04C4"/>
    <w:rsid w:val="00BF1A58"/>
    <w:rsid w:val="00BF1A98"/>
    <w:rsid w:val="00BF2AA6"/>
    <w:rsid w:val="00BF30BB"/>
    <w:rsid w:val="00BF3101"/>
    <w:rsid w:val="00C00AC8"/>
    <w:rsid w:val="00C05CE2"/>
    <w:rsid w:val="00C12768"/>
    <w:rsid w:val="00C12DC9"/>
    <w:rsid w:val="00C13F8E"/>
    <w:rsid w:val="00C152A1"/>
    <w:rsid w:val="00C16253"/>
    <w:rsid w:val="00C16E43"/>
    <w:rsid w:val="00C17261"/>
    <w:rsid w:val="00C2406E"/>
    <w:rsid w:val="00C259BD"/>
    <w:rsid w:val="00C34688"/>
    <w:rsid w:val="00C34D79"/>
    <w:rsid w:val="00C34E64"/>
    <w:rsid w:val="00C37580"/>
    <w:rsid w:val="00C428B7"/>
    <w:rsid w:val="00C42AE7"/>
    <w:rsid w:val="00C45449"/>
    <w:rsid w:val="00C45A8C"/>
    <w:rsid w:val="00C4606D"/>
    <w:rsid w:val="00C46EED"/>
    <w:rsid w:val="00C5014E"/>
    <w:rsid w:val="00C522CB"/>
    <w:rsid w:val="00C5315F"/>
    <w:rsid w:val="00C606F6"/>
    <w:rsid w:val="00C620B3"/>
    <w:rsid w:val="00C62AA8"/>
    <w:rsid w:val="00C62E3E"/>
    <w:rsid w:val="00C70FBE"/>
    <w:rsid w:val="00C71A33"/>
    <w:rsid w:val="00C77124"/>
    <w:rsid w:val="00C8153D"/>
    <w:rsid w:val="00C817B3"/>
    <w:rsid w:val="00C819C5"/>
    <w:rsid w:val="00C82309"/>
    <w:rsid w:val="00C82CD6"/>
    <w:rsid w:val="00C84107"/>
    <w:rsid w:val="00C84837"/>
    <w:rsid w:val="00C8518E"/>
    <w:rsid w:val="00C86906"/>
    <w:rsid w:val="00C9001A"/>
    <w:rsid w:val="00C90F4D"/>
    <w:rsid w:val="00C93942"/>
    <w:rsid w:val="00C974F1"/>
    <w:rsid w:val="00CA0729"/>
    <w:rsid w:val="00CA0FDA"/>
    <w:rsid w:val="00CA4695"/>
    <w:rsid w:val="00CA6E9D"/>
    <w:rsid w:val="00CB382C"/>
    <w:rsid w:val="00CB47AC"/>
    <w:rsid w:val="00CB4A61"/>
    <w:rsid w:val="00CC1BE3"/>
    <w:rsid w:val="00CC2018"/>
    <w:rsid w:val="00CC3E16"/>
    <w:rsid w:val="00CC4DD4"/>
    <w:rsid w:val="00CC50B6"/>
    <w:rsid w:val="00CC61AF"/>
    <w:rsid w:val="00CC69FE"/>
    <w:rsid w:val="00CC73D5"/>
    <w:rsid w:val="00CD14A3"/>
    <w:rsid w:val="00CD3EA2"/>
    <w:rsid w:val="00CD473E"/>
    <w:rsid w:val="00CD5473"/>
    <w:rsid w:val="00CD61EF"/>
    <w:rsid w:val="00CE234C"/>
    <w:rsid w:val="00CE2B88"/>
    <w:rsid w:val="00CE6BD1"/>
    <w:rsid w:val="00CE6EF4"/>
    <w:rsid w:val="00CE73F0"/>
    <w:rsid w:val="00CF0B4D"/>
    <w:rsid w:val="00CF0EF8"/>
    <w:rsid w:val="00CF35CC"/>
    <w:rsid w:val="00CF401A"/>
    <w:rsid w:val="00CF4102"/>
    <w:rsid w:val="00CF4474"/>
    <w:rsid w:val="00CF7A69"/>
    <w:rsid w:val="00D05431"/>
    <w:rsid w:val="00D07EF6"/>
    <w:rsid w:val="00D13C1D"/>
    <w:rsid w:val="00D145E5"/>
    <w:rsid w:val="00D1578D"/>
    <w:rsid w:val="00D16985"/>
    <w:rsid w:val="00D211DB"/>
    <w:rsid w:val="00D22B0F"/>
    <w:rsid w:val="00D23D10"/>
    <w:rsid w:val="00D241DF"/>
    <w:rsid w:val="00D25D42"/>
    <w:rsid w:val="00D30B46"/>
    <w:rsid w:val="00D32926"/>
    <w:rsid w:val="00D3341C"/>
    <w:rsid w:val="00D33BA2"/>
    <w:rsid w:val="00D4184F"/>
    <w:rsid w:val="00D41ABE"/>
    <w:rsid w:val="00D436C0"/>
    <w:rsid w:val="00D45114"/>
    <w:rsid w:val="00D56B89"/>
    <w:rsid w:val="00D63978"/>
    <w:rsid w:val="00D658A7"/>
    <w:rsid w:val="00D6594B"/>
    <w:rsid w:val="00D66415"/>
    <w:rsid w:val="00D66A6E"/>
    <w:rsid w:val="00D67234"/>
    <w:rsid w:val="00D67AEA"/>
    <w:rsid w:val="00D70367"/>
    <w:rsid w:val="00D74154"/>
    <w:rsid w:val="00D7580C"/>
    <w:rsid w:val="00D775F8"/>
    <w:rsid w:val="00D800A3"/>
    <w:rsid w:val="00D8059F"/>
    <w:rsid w:val="00D8088C"/>
    <w:rsid w:val="00D80939"/>
    <w:rsid w:val="00D819F6"/>
    <w:rsid w:val="00D90AD5"/>
    <w:rsid w:val="00D90AED"/>
    <w:rsid w:val="00D92682"/>
    <w:rsid w:val="00D92D45"/>
    <w:rsid w:val="00D96537"/>
    <w:rsid w:val="00DA029E"/>
    <w:rsid w:val="00DA24DC"/>
    <w:rsid w:val="00DA480C"/>
    <w:rsid w:val="00DA5330"/>
    <w:rsid w:val="00DA5D03"/>
    <w:rsid w:val="00DA61E0"/>
    <w:rsid w:val="00DB4AAE"/>
    <w:rsid w:val="00DB4CEA"/>
    <w:rsid w:val="00DB4FFC"/>
    <w:rsid w:val="00DB5328"/>
    <w:rsid w:val="00DB6CAA"/>
    <w:rsid w:val="00DB7BF2"/>
    <w:rsid w:val="00DC1C38"/>
    <w:rsid w:val="00DC3AB8"/>
    <w:rsid w:val="00DC7063"/>
    <w:rsid w:val="00DD13EC"/>
    <w:rsid w:val="00DD4FB0"/>
    <w:rsid w:val="00DD5276"/>
    <w:rsid w:val="00DD5DFB"/>
    <w:rsid w:val="00DD7139"/>
    <w:rsid w:val="00DE02D4"/>
    <w:rsid w:val="00DE17C9"/>
    <w:rsid w:val="00DE2FBF"/>
    <w:rsid w:val="00DE4C0F"/>
    <w:rsid w:val="00DE4CDB"/>
    <w:rsid w:val="00DE64A0"/>
    <w:rsid w:val="00DF421F"/>
    <w:rsid w:val="00DF5984"/>
    <w:rsid w:val="00DF5F68"/>
    <w:rsid w:val="00DF621F"/>
    <w:rsid w:val="00DF64BF"/>
    <w:rsid w:val="00DF7ECF"/>
    <w:rsid w:val="00E00A14"/>
    <w:rsid w:val="00E0183C"/>
    <w:rsid w:val="00E029D0"/>
    <w:rsid w:val="00E043D6"/>
    <w:rsid w:val="00E070D3"/>
    <w:rsid w:val="00E1136D"/>
    <w:rsid w:val="00E131AD"/>
    <w:rsid w:val="00E13FE8"/>
    <w:rsid w:val="00E142FF"/>
    <w:rsid w:val="00E1504C"/>
    <w:rsid w:val="00E17448"/>
    <w:rsid w:val="00E17578"/>
    <w:rsid w:val="00E17A07"/>
    <w:rsid w:val="00E2109D"/>
    <w:rsid w:val="00E21C91"/>
    <w:rsid w:val="00E221B2"/>
    <w:rsid w:val="00E2286C"/>
    <w:rsid w:val="00E26914"/>
    <w:rsid w:val="00E30B69"/>
    <w:rsid w:val="00E32997"/>
    <w:rsid w:val="00E40242"/>
    <w:rsid w:val="00E41205"/>
    <w:rsid w:val="00E41D5F"/>
    <w:rsid w:val="00E43801"/>
    <w:rsid w:val="00E457A3"/>
    <w:rsid w:val="00E46748"/>
    <w:rsid w:val="00E471C6"/>
    <w:rsid w:val="00E47CF4"/>
    <w:rsid w:val="00E503AD"/>
    <w:rsid w:val="00E51506"/>
    <w:rsid w:val="00E55BCB"/>
    <w:rsid w:val="00E5656A"/>
    <w:rsid w:val="00E60905"/>
    <w:rsid w:val="00E60B33"/>
    <w:rsid w:val="00E6491F"/>
    <w:rsid w:val="00E73386"/>
    <w:rsid w:val="00E81D2E"/>
    <w:rsid w:val="00E83458"/>
    <w:rsid w:val="00E84A58"/>
    <w:rsid w:val="00E84D50"/>
    <w:rsid w:val="00E8563B"/>
    <w:rsid w:val="00E86015"/>
    <w:rsid w:val="00E87AC6"/>
    <w:rsid w:val="00E90CC0"/>
    <w:rsid w:val="00E9287E"/>
    <w:rsid w:val="00E92D1B"/>
    <w:rsid w:val="00E93721"/>
    <w:rsid w:val="00E93A23"/>
    <w:rsid w:val="00E95BC1"/>
    <w:rsid w:val="00E95C10"/>
    <w:rsid w:val="00E97F0C"/>
    <w:rsid w:val="00EA4986"/>
    <w:rsid w:val="00EB1787"/>
    <w:rsid w:val="00EB4FCC"/>
    <w:rsid w:val="00EB59FD"/>
    <w:rsid w:val="00EC2A39"/>
    <w:rsid w:val="00EC797C"/>
    <w:rsid w:val="00ED1637"/>
    <w:rsid w:val="00ED1B03"/>
    <w:rsid w:val="00ED1BCF"/>
    <w:rsid w:val="00ED2AAC"/>
    <w:rsid w:val="00ED321D"/>
    <w:rsid w:val="00ED5EC2"/>
    <w:rsid w:val="00ED655A"/>
    <w:rsid w:val="00ED75AB"/>
    <w:rsid w:val="00EE2F1C"/>
    <w:rsid w:val="00EE5C87"/>
    <w:rsid w:val="00EE62C7"/>
    <w:rsid w:val="00EE69EA"/>
    <w:rsid w:val="00EE7230"/>
    <w:rsid w:val="00EE7C9E"/>
    <w:rsid w:val="00EF2063"/>
    <w:rsid w:val="00EF6B71"/>
    <w:rsid w:val="00EF6E7C"/>
    <w:rsid w:val="00F001C8"/>
    <w:rsid w:val="00F00685"/>
    <w:rsid w:val="00F01006"/>
    <w:rsid w:val="00F02451"/>
    <w:rsid w:val="00F05D75"/>
    <w:rsid w:val="00F05E66"/>
    <w:rsid w:val="00F06869"/>
    <w:rsid w:val="00F06B6A"/>
    <w:rsid w:val="00F07A44"/>
    <w:rsid w:val="00F11A27"/>
    <w:rsid w:val="00F13A3A"/>
    <w:rsid w:val="00F13AE9"/>
    <w:rsid w:val="00F15C98"/>
    <w:rsid w:val="00F15E70"/>
    <w:rsid w:val="00F16BF5"/>
    <w:rsid w:val="00F17965"/>
    <w:rsid w:val="00F22E15"/>
    <w:rsid w:val="00F27B03"/>
    <w:rsid w:val="00F32031"/>
    <w:rsid w:val="00F33AA9"/>
    <w:rsid w:val="00F33EB1"/>
    <w:rsid w:val="00F345D6"/>
    <w:rsid w:val="00F351DD"/>
    <w:rsid w:val="00F3643C"/>
    <w:rsid w:val="00F36F10"/>
    <w:rsid w:val="00F403CD"/>
    <w:rsid w:val="00F437F3"/>
    <w:rsid w:val="00F4458B"/>
    <w:rsid w:val="00F447CE"/>
    <w:rsid w:val="00F45BBC"/>
    <w:rsid w:val="00F469D8"/>
    <w:rsid w:val="00F50578"/>
    <w:rsid w:val="00F50B42"/>
    <w:rsid w:val="00F538C1"/>
    <w:rsid w:val="00F56009"/>
    <w:rsid w:val="00F623AB"/>
    <w:rsid w:val="00F62635"/>
    <w:rsid w:val="00F644CF"/>
    <w:rsid w:val="00F71469"/>
    <w:rsid w:val="00F72738"/>
    <w:rsid w:val="00F7553E"/>
    <w:rsid w:val="00F771D1"/>
    <w:rsid w:val="00F81346"/>
    <w:rsid w:val="00F824D7"/>
    <w:rsid w:val="00F83ABF"/>
    <w:rsid w:val="00F85FE9"/>
    <w:rsid w:val="00F875F8"/>
    <w:rsid w:val="00F90827"/>
    <w:rsid w:val="00F930B7"/>
    <w:rsid w:val="00F93BED"/>
    <w:rsid w:val="00F93E6A"/>
    <w:rsid w:val="00F95280"/>
    <w:rsid w:val="00F96DA8"/>
    <w:rsid w:val="00F97132"/>
    <w:rsid w:val="00FA089D"/>
    <w:rsid w:val="00FA2BAF"/>
    <w:rsid w:val="00FA34B0"/>
    <w:rsid w:val="00FA4CE7"/>
    <w:rsid w:val="00FA5963"/>
    <w:rsid w:val="00FA5C59"/>
    <w:rsid w:val="00FB1398"/>
    <w:rsid w:val="00FB3927"/>
    <w:rsid w:val="00FB6114"/>
    <w:rsid w:val="00FC01D4"/>
    <w:rsid w:val="00FC2D5C"/>
    <w:rsid w:val="00FC53CC"/>
    <w:rsid w:val="00FC5FBB"/>
    <w:rsid w:val="00FD1869"/>
    <w:rsid w:val="00FD1CFC"/>
    <w:rsid w:val="00FD411A"/>
    <w:rsid w:val="00FD446E"/>
    <w:rsid w:val="00FD549F"/>
    <w:rsid w:val="00FD578D"/>
    <w:rsid w:val="00FD7209"/>
    <w:rsid w:val="00FE11BF"/>
    <w:rsid w:val="00FE149C"/>
    <w:rsid w:val="00FE3248"/>
    <w:rsid w:val="00FE3705"/>
    <w:rsid w:val="00FE3F4A"/>
    <w:rsid w:val="00FE40C9"/>
    <w:rsid w:val="00FF587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E1D7535"/>
  <w15:chartTrackingRefBased/>
  <w15:docId w15:val="{419BE010-7DFE-476C-93B2-E074CCE93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C5315F"/>
    <w:pPr>
      <w:keepNext/>
      <w:spacing w:before="240" w:after="60" w:line="240" w:lineRule="auto"/>
      <w:outlineLvl w:val="0"/>
    </w:pPr>
    <w:rPr>
      <w:rFonts w:ascii="Arial" w:eastAsia="Times New Roman" w:hAnsi="Arial" w:cs="Times New Roman"/>
      <w:b/>
      <w:bCs/>
      <w:kern w:val="32"/>
      <w:sz w:val="32"/>
      <w:szCs w:val="32"/>
      <w:lang w:eastAsia="hr-HR"/>
    </w:rPr>
  </w:style>
  <w:style w:type="paragraph" w:styleId="Naslov2">
    <w:name w:val="heading 2"/>
    <w:basedOn w:val="Normal"/>
    <w:next w:val="Normal"/>
    <w:link w:val="Naslov2Char"/>
    <w:uiPriority w:val="9"/>
    <w:qFormat/>
    <w:rsid w:val="004976E4"/>
    <w:pPr>
      <w:keepNext/>
      <w:spacing w:before="240" w:after="60" w:line="240" w:lineRule="auto"/>
      <w:outlineLvl w:val="1"/>
    </w:pPr>
    <w:rPr>
      <w:rFonts w:ascii="Arial" w:eastAsia="Times New Roman" w:hAnsi="Arial" w:cs="Times New Roman"/>
      <w:b/>
      <w:bCs/>
      <w:i/>
      <w:iCs/>
      <w:sz w:val="28"/>
      <w:szCs w:val="28"/>
      <w:lang w:eastAsia="hr-HR"/>
    </w:rPr>
  </w:style>
  <w:style w:type="paragraph" w:styleId="Naslov3">
    <w:name w:val="heading 3"/>
    <w:basedOn w:val="Normal"/>
    <w:next w:val="Normal"/>
    <w:link w:val="Naslov3Char"/>
    <w:uiPriority w:val="9"/>
    <w:qFormat/>
    <w:rsid w:val="00C5315F"/>
    <w:pPr>
      <w:keepNext/>
      <w:spacing w:before="240" w:after="60" w:line="240" w:lineRule="auto"/>
      <w:outlineLvl w:val="2"/>
    </w:pPr>
    <w:rPr>
      <w:rFonts w:ascii="Cambria" w:eastAsia="Times New Roman" w:hAnsi="Cambria" w:cs="Times New Roman"/>
      <w:b/>
      <w:bCs/>
      <w:sz w:val="26"/>
      <w:szCs w:val="26"/>
      <w:lang w:eastAsia="hr-HR"/>
    </w:rPr>
  </w:style>
  <w:style w:type="paragraph" w:styleId="Naslov4">
    <w:name w:val="heading 4"/>
    <w:basedOn w:val="Normal"/>
    <w:next w:val="Normal"/>
    <w:link w:val="Naslov4Char"/>
    <w:uiPriority w:val="9"/>
    <w:qFormat/>
    <w:rsid w:val="00C5315F"/>
    <w:pPr>
      <w:keepNext/>
      <w:spacing w:before="240" w:after="60" w:line="240" w:lineRule="auto"/>
      <w:outlineLvl w:val="3"/>
    </w:pPr>
    <w:rPr>
      <w:rFonts w:ascii="Calibri" w:eastAsia="Times New Roman" w:hAnsi="Calibri" w:cs="Times New Roman"/>
      <w:b/>
      <w:bCs/>
      <w:sz w:val="28"/>
      <w:szCs w:val="28"/>
      <w:lang w:eastAsia="hr-HR"/>
    </w:rPr>
  </w:style>
  <w:style w:type="paragraph" w:styleId="Naslov5">
    <w:name w:val="heading 5"/>
    <w:basedOn w:val="Normal"/>
    <w:next w:val="Normal"/>
    <w:link w:val="Naslov5Char"/>
    <w:uiPriority w:val="9"/>
    <w:qFormat/>
    <w:rsid w:val="00C5315F"/>
    <w:pPr>
      <w:spacing w:before="240" w:after="60" w:line="240" w:lineRule="auto"/>
      <w:outlineLvl w:val="4"/>
    </w:pPr>
    <w:rPr>
      <w:rFonts w:ascii="Calibri" w:eastAsia="Times New Roman" w:hAnsi="Calibri" w:cs="Times New Roman"/>
      <w:b/>
      <w:bCs/>
      <w:i/>
      <w:iCs/>
      <w:sz w:val="26"/>
      <w:szCs w:val="26"/>
      <w:lang w:eastAsia="hr-HR"/>
    </w:rPr>
  </w:style>
  <w:style w:type="paragraph" w:styleId="Naslov6">
    <w:name w:val="heading 6"/>
    <w:basedOn w:val="Naslov5"/>
    <w:next w:val="Normal"/>
    <w:link w:val="Naslov6Char"/>
    <w:uiPriority w:val="9"/>
    <w:semiHidden/>
    <w:qFormat/>
    <w:rsid w:val="00C5315F"/>
    <w:pPr>
      <w:keepNext/>
      <w:keepLines/>
      <w:spacing w:before="200" w:after="120" w:line="276" w:lineRule="auto"/>
      <w:ind w:left="2160" w:hanging="2160"/>
      <w:jc w:val="both"/>
      <w:outlineLvl w:val="5"/>
    </w:pPr>
    <w:rPr>
      <w:rFonts w:ascii="Tahoma" w:hAnsi="Tahoma"/>
      <w:bCs w:val="0"/>
      <w:i w:val="0"/>
      <w:iCs w:val="0"/>
      <w:color w:val="39617A"/>
      <w:sz w:val="18"/>
    </w:rPr>
  </w:style>
  <w:style w:type="paragraph" w:styleId="Naslov7">
    <w:name w:val="heading 7"/>
    <w:basedOn w:val="Naslov6"/>
    <w:next w:val="Normal"/>
    <w:link w:val="Naslov7Char"/>
    <w:uiPriority w:val="9"/>
    <w:semiHidden/>
    <w:qFormat/>
    <w:rsid w:val="00C5315F"/>
    <w:pPr>
      <w:ind w:left="2520" w:hanging="2520"/>
      <w:outlineLvl w:val="6"/>
    </w:pPr>
    <w:rPr>
      <w:b w:val="0"/>
      <w:i/>
      <w:iCs/>
    </w:rPr>
  </w:style>
  <w:style w:type="paragraph" w:styleId="Naslov8">
    <w:name w:val="heading 8"/>
    <w:basedOn w:val="Naslov7"/>
    <w:next w:val="Normal"/>
    <w:link w:val="Naslov8Char"/>
    <w:uiPriority w:val="9"/>
    <w:semiHidden/>
    <w:qFormat/>
    <w:rsid w:val="00C5315F"/>
    <w:pPr>
      <w:ind w:left="2880" w:hanging="2880"/>
      <w:outlineLvl w:val="7"/>
    </w:pPr>
    <w:rPr>
      <w:i w:val="0"/>
      <w:szCs w:val="20"/>
    </w:rPr>
  </w:style>
  <w:style w:type="paragraph" w:styleId="Naslov9">
    <w:name w:val="heading 9"/>
    <w:basedOn w:val="Naslov8"/>
    <w:next w:val="Normal"/>
    <w:link w:val="Naslov9Char"/>
    <w:uiPriority w:val="9"/>
    <w:semiHidden/>
    <w:qFormat/>
    <w:rsid w:val="00C5315F"/>
    <w:pPr>
      <w:ind w:left="3238" w:hanging="3238"/>
      <w:outlineLvl w:val="8"/>
    </w:pPr>
    <w:rPr>
      <w:iCs w:val="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4976E4"/>
    <w:rPr>
      <w:rFonts w:ascii="Arial" w:eastAsia="Times New Roman" w:hAnsi="Arial" w:cs="Times New Roman"/>
      <w:b/>
      <w:bCs/>
      <w:i/>
      <w:iCs/>
      <w:sz w:val="28"/>
      <w:szCs w:val="28"/>
      <w:lang w:eastAsia="hr-HR"/>
    </w:rPr>
  </w:style>
  <w:style w:type="paragraph" w:styleId="Tekstbalonia">
    <w:name w:val="Balloon Text"/>
    <w:basedOn w:val="Normal"/>
    <w:link w:val="TekstbaloniaChar"/>
    <w:uiPriority w:val="99"/>
    <w:unhideWhenUsed/>
    <w:rsid w:val="00E81D2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rsid w:val="00E81D2E"/>
    <w:rPr>
      <w:rFonts w:ascii="Segoe UI" w:hAnsi="Segoe UI" w:cs="Segoe UI"/>
      <w:sz w:val="18"/>
      <w:szCs w:val="18"/>
    </w:rPr>
  </w:style>
  <w:style w:type="paragraph" w:styleId="Tekstfusnote">
    <w:name w:val="footnote text"/>
    <w:aliases w:val="fn,- OP,Fußnote,Podrozdział,Fußnotentextf,Footnote Text Char Char,single space,footnote text,FOOTNOTES,stile 1,Footnote,Footnote1,Footnote2,Footnote3,Footnote4,Footnote5,Footnote6,Footnote7,Footnote8,Footnote9,Footnote10"/>
    <w:basedOn w:val="Normal"/>
    <w:link w:val="TekstfusnoteChar"/>
    <w:uiPriority w:val="99"/>
    <w:unhideWhenUsed/>
    <w:rsid w:val="00E81D2E"/>
    <w:pPr>
      <w:spacing w:after="200" w:line="276" w:lineRule="auto"/>
    </w:pPr>
    <w:rPr>
      <w:rFonts w:ascii="Calibri" w:eastAsia="Calibri" w:hAnsi="Calibri" w:cs="Times New Roman"/>
      <w:sz w:val="20"/>
      <w:szCs w:val="20"/>
      <w:lang w:val="x-none"/>
    </w:rPr>
  </w:style>
  <w:style w:type="character" w:customStyle="1" w:styleId="TekstfusnoteChar">
    <w:name w:val="Tekst fusnote Char"/>
    <w:aliases w:val="fn Char,- OP Char,Fußnote Char,Podrozdział Char,Fußnotentextf Char,Footnote Text Char Char Char,single space Char,footnote text Char,FOOTNOTES Char,stile 1 Char,Footnote Char,Footnote1 Char,Footnote2 Char,Footnote3 Char,Footnote4 Char"/>
    <w:basedOn w:val="Zadanifontodlomka"/>
    <w:link w:val="Tekstfusnote"/>
    <w:uiPriority w:val="99"/>
    <w:rsid w:val="00E81D2E"/>
    <w:rPr>
      <w:rFonts w:ascii="Calibri" w:eastAsia="Calibri" w:hAnsi="Calibri" w:cs="Times New Roman"/>
      <w:sz w:val="20"/>
      <w:szCs w:val="20"/>
      <w:lang w:val="x-none"/>
    </w:rPr>
  </w:style>
  <w:style w:type="character" w:styleId="Referencafusnote">
    <w:name w:val="footnote reference"/>
    <w:uiPriority w:val="99"/>
    <w:unhideWhenUsed/>
    <w:rsid w:val="00E81D2E"/>
    <w:rPr>
      <w:vertAlign w:val="superscript"/>
    </w:rPr>
  </w:style>
  <w:style w:type="character" w:styleId="Referencakomentara">
    <w:name w:val="annotation reference"/>
    <w:basedOn w:val="Zadanifontodlomka"/>
    <w:uiPriority w:val="99"/>
    <w:unhideWhenUsed/>
    <w:rsid w:val="00F93BED"/>
    <w:rPr>
      <w:sz w:val="16"/>
      <w:szCs w:val="16"/>
    </w:rPr>
  </w:style>
  <w:style w:type="paragraph" w:styleId="Tekstkomentara">
    <w:name w:val="annotation text"/>
    <w:basedOn w:val="Normal"/>
    <w:link w:val="TekstkomentaraChar"/>
    <w:uiPriority w:val="99"/>
    <w:unhideWhenUsed/>
    <w:rsid w:val="00F93BED"/>
    <w:pPr>
      <w:spacing w:line="240" w:lineRule="auto"/>
    </w:pPr>
    <w:rPr>
      <w:sz w:val="20"/>
      <w:szCs w:val="20"/>
    </w:rPr>
  </w:style>
  <w:style w:type="character" w:customStyle="1" w:styleId="TekstkomentaraChar">
    <w:name w:val="Tekst komentara Char"/>
    <w:basedOn w:val="Zadanifontodlomka"/>
    <w:link w:val="Tekstkomentara"/>
    <w:uiPriority w:val="99"/>
    <w:rsid w:val="00F93BED"/>
    <w:rPr>
      <w:sz w:val="20"/>
      <w:szCs w:val="20"/>
    </w:rPr>
  </w:style>
  <w:style w:type="paragraph" w:styleId="Predmetkomentara">
    <w:name w:val="annotation subject"/>
    <w:basedOn w:val="Tekstkomentara"/>
    <w:next w:val="Tekstkomentara"/>
    <w:link w:val="PredmetkomentaraChar"/>
    <w:uiPriority w:val="99"/>
    <w:unhideWhenUsed/>
    <w:rsid w:val="00F93BED"/>
    <w:rPr>
      <w:b/>
      <w:bCs/>
    </w:rPr>
  </w:style>
  <w:style w:type="character" w:customStyle="1" w:styleId="PredmetkomentaraChar">
    <w:name w:val="Predmet komentara Char"/>
    <w:basedOn w:val="TekstkomentaraChar"/>
    <w:link w:val="Predmetkomentara"/>
    <w:uiPriority w:val="99"/>
    <w:rsid w:val="00F93BED"/>
    <w:rPr>
      <w:b/>
      <w:bCs/>
      <w:sz w:val="20"/>
      <w:szCs w:val="20"/>
    </w:rPr>
  </w:style>
  <w:style w:type="character" w:customStyle="1" w:styleId="StandardWebChar">
    <w:name w:val="Standard (Web) Char"/>
    <w:link w:val="StandardWeb"/>
    <w:uiPriority w:val="99"/>
    <w:locked/>
    <w:rsid w:val="002415A0"/>
    <w:rPr>
      <w:rFonts w:ascii="Times New Roman" w:eastAsia="Times New Roman" w:hAnsi="Times New Roman" w:cs="Times New Roman"/>
      <w:sz w:val="24"/>
      <w:szCs w:val="24"/>
    </w:rPr>
  </w:style>
  <w:style w:type="paragraph" w:styleId="StandardWeb">
    <w:name w:val="Normal (Web)"/>
    <w:basedOn w:val="Normal"/>
    <w:link w:val="StandardWebChar"/>
    <w:uiPriority w:val="99"/>
    <w:unhideWhenUsed/>
    <w:rsid w:val="002415A0"/>
    <w:pPr>
      <w:spacing w:before="100" w:beforeAutospacing="1" w:after="100" w:afterAutospacing="1" w:line="240" w:lineRule="auto"/>
    </w:pPr>
    <w:rPr>
      <w:rFonts w:ascii="Times New Roman" w:eastAsia="Times New Roman" w:hAnsi="Times New Roman" w:cs="Times New Roman"/>
      <w:sz w:val="24"/>
      <w:szCs w:val="24"/>
    </w:rPr>
  </w:style>
  <w:style w:type="paragraph" w:styleId="Odlomakpopisa">
    <w:name w:val="List Paragraph"/>
    <w:aliases w:val="Graf,Odstavek seznama,Paragraph,List Paragraph Red"/>
    <w:basedOn w:val="Normal"/>
    <w:link w:val="OdlomakpopisaChar"/>
    <w:uiPriority w:val="34"/>
    <w:qFormat/>
    <w:rsid w:val="000F7EDD"/>
    <w:pPr>
      <w:ind w:left="720"/>
      <w:contextualSpacing/>
    </w:pPr>
  </w:style>
  <w:style w:type="character" w:customStyle="1" w:styleId="OdlomakpopisaChar">
    <w:name w:val="Odlomak popisa Char"/>
    <w:aliases w:val="Graf Char,Odstavek seznama Char,Paragraph Char,List Paragraph Red Char"/>
    <w:link w:val="Odlomakpopisa"/>
    <w:uiPriority w:val="34"/>
    <w:locked/>
    <w:rsid w:val="004976E4"/>
  </w:style>
  <w:style w:type="character" w:styleId="Hiperveza">
    <w:name w:val="Hyperlink"/>
    <w:basedOn w:val="Zadanifontodlomka"/>
    <w:uiPriority w:val="99"/>
    <w:unhideWhenUsed/>
    <w:rsid w:val="00DD5DFB"/>
    <w:rPr>
      <w:color w:val="0563C1" w:themeColor="hyperlink"/>
      <w:u w:val="single"/>
    </w:rPr>
  </w:style>
  <w:style w:type="character" w:styleId="Nerijeenospominjanje">
    <w:name w:val="Unresolved Mention"/>
    <w:basedOn w:val="Zadanifontodlomka"/>
    <w:uiPriority w:val="99"/>
    <w:semiHidden/>
    <w:unhideWhenUsed/>
    <w:rsid w:val="00DD5DFB"/>
    <w:rPr>
      <w:color w:val="605E5C"/>
      <w:shd w:val="clear" w:color="auto" w:fill="E1DFDD"/>
    </w:rPr>
  </w:style>
  <w:style w:type="character" w:customStyle="1" w:styleId="NormalWebChar1">
    <w:name w:val="Normal (Web) Char1"/>
    <w:uiPriority w:val="99"/>
    <w:rsid w:val="00C17261"/>
    <w:rPr>
      <w:rFonts w:ascii="Times New Roman" w:eastAsia="Times New Roman" w:hAnsi="Times New Roman" w:cs="Times New Roman"/>
      <w:sz w:val="24"/>
      <w:szCs w:val="24"/>
      <w:lang w:eastAsia="hr-HR"/>
    </w:rPr>
  </w:style>
  <w:style w:type="paragraph" w:styleId="Tijeloteksta2">
    <w:name w:val="Body Text 2"/>
    <w:basedOn w:val="Normal"/>
    <w:link w:val="Tijeloteksta2Char"/>
    <w:uiPriority w:val="99"/>
    <w:unhideWhenUsed/>
    <w:rsid w:val="004976E4"/>
    <w:pPr>
      <w:tabs>
        <w:tab w:val="left" w:pos="-720"/>
      </w:tabs>
      <w:suppressAutoHyphens/>
      <w:spacing w:after="0" w:line="240" w:lineRule="auto"/>
      <w:jc w:val="both"/>
    </w:pPr>
    <w:rPr>
      <w:rFonts w:ascii="Futura Hv AT" w:eastAsia="Times New Roman" w:hAnsi="Futura Hv AT" w:cs="Times New Roman"/>
      <w:b/>
      <w:bCs/>
      <w:sz w:val="28"/>
      <w:szCs w:val="28"/>
      <w:lang w:eastAsia="hr-HR"/>
    </w:rPr>
  </w:style>
  <w:style w:type="character" w:customStyle="1" w:styleId="Tijeloteksta2Char">
    <w:name w:val="Tijelo teksta 2 Char"/>
    <w:basedOn w:val="Zadanifontodlomka"/>
    <w:link w:val="Tijeloteksta2"/>
    <w:uiPriority w:val="99"/>
    <w:rsid w:val="004976E4"/>
    <w:rPr>
      <w:rFonts w:ascii="Futura Hv AT" w:eastAsia="Times New Roman" w:hAnsi="Futura Hv AT" w:cs="Times New Roman"/>
      <w:b/>
      <w:bCs/>
      <w:sz w:val="28"/>
      <w:szCs w:val="28"/>
      <w:lang w:eastAsia="hr-HR"/>
    </w:rPr>
  </w:style>
  <w:style w:type="character" w:customStyle="1" w:styleId="aatekstChar">
    <w:name w:val="aatekst Char"/>
    <w:link w:val="aatekst"/>
    <w:locked/>
    <w:rsid w:val="004976E4"/>
    <w:rPr>
      <w:rFonts w:ascii="Times New Roman" w:eastAsia="Times New Roman" w:hAnsi="Times New Roman" w:cs="Times New Roman"/>
      <w:sz w:val="24"/>
    </w:rPr>
  </w:style>
  <w:style w:type="paragraph" w:customStyle="1" w:styleId="aatekst">
    <w:name w:val="aatekst"/>
    <w:basedOn w:val="Normal"/>
    <w:link w:val="aatekstChar"/>
    <w:rsid w:val="004976E4"/>
    <w:pPr>
      <w:spacing w:before="200" w:after="0" w:line="300" w:lineRule="auto"/>
      <w:ind w:firstLine="539"/>
      <w:jc w:val="both"/>
    </w:pPr>
    <w:rPr>
      <w:rFonts w:ascii="Times New Roman" w:eastAsia="Times New Roman" w:hAnsi="Times New Roman" w:cs="Times New Roman"/>
      <w:sz w:val="24"/>
    </w:rPr>
  </w:style>
  <w:style w:type="character" w:customStyle="1" w:styleId="apple-converted-space">
    <w:name w:val="apple-converted-space"/>
    <w:rsid w:val="004976E4"/>
    <w:rPr>
      <w:rFonts w:cs="Times New Roman"/>
    </w:rPr>
  </w:style>
  <w:style w:type="character" w:customStyle="1" w:styleId="normal0020tablechar">
    <w:name w:val="normal_0020table__char"/>
    <w:rsid w:val="004976E4"/>
  </w:style>
  <w:style w:type="table" w:customStyle="1" w:styleId="TableGrid">
    <w:name w:val="TableGrid"/>
    <w:rsid w:val="004976E4"/>
    <w:pPr>
      <w:spacing w:after="0" w:line="240" w:lineRule="auto"/>
    </w:pPr>
    <w:rPr>
      <w:rFonts w:eastAsia="Times New Roman"/>
      <w:lang w:val="en-US"/>
    </w:rPr>
    <w:tblPr>
      <w:tblCellMar>
        <w:top w:w="0" w:type="dxa"/>
        <w:left w:w="0" w:type="dxa"/>
        <w:bottom w:w="0" w:type="dxa"/>
        <w:right w:w="0" w:type="dxa"/>
      </w:tblCellMar>
    </w:tblPr>
  </w:style>
  <w:style w:type="table" w:customStyle="1" w:styleId="TableGrid1">
    <w:name w:val="TableGrid1"/>
    <w:rsid w:val="004976E4"/>
    <w:pPr>
      <w:spacing w:after="0" w:line="240" w:lineRule="auto"/>
    </w:pPr>
    <w:rPr>
      <w:rFonts w:eastAsia="Times New Roman"/>
      <w:lang w:val="en-US"/>
    </w:rPr>
    <w:tblPr>
      <w:tblCellMar>
        <w:top w:w="0" w:type="dxa"/>
        <w:left w:w="0" w:type="dxa"/>
        <w:bottom w:w="0" w:type="dxa"/>
        <w:right w:w="0" w:type="dxa"/>
      </w:tblCellMar>
    </w:tblPr>
  </w:style>
  <w:style w:type="character" w:customStyle="1" w:styleId="TekstkrajnjebiljekeChar">
    <w:name w:val="Tekst krajnje bilješke Char"/>
    <w:basedOn w:val="Zadanifontodlomka"/>
    <w:link w:val="Tekstkrajnjebiljeke"/>
    <w:uiPriority w:val="99"/>
    <w:semiHidden/>
    <w:rsid w:val="004976E4"/>
    <w:rPr>
      <w:rFonts w:ascii="Calibri" w:eastAsia="Calibri" w:hAnsi="Calibri" w:cs="Times New Roman"/>
      <w:sz w:val="20"/>
      <w:szCs w:val="20"/>
    </w:rPr>
  </w:style>
  <w:style w:type="paragraph" w:styleId="Tekstkrajnjebiljeke">
    <w:name w:val="endnote text"/>
    <w:basedOn w:val="Normal"/>
    <w:link w:val="TekstkrajnjebiljekeChar"/>
    <w:uiPriority w:val="99"/>
    <w:semiHidden/>
    <w:unhideWhenUsed/>
    <w:rsid w:val="004976E4"/>
    <w:pPr>
      <w:spacing w:after="0" w:line="240" w:lineRule="auto"/>
    </w:pPr>
    <w:rPr>
      <w:rFonts w:ascii="Calibri" w:eastAsia="Calibri" w:hAnsi="Calibri" w:cs="Times New Roman"/>
      <w:sz w:val="20"/>
      <w:szCs w:val="20"/>
    </w:rPr>
  </w:style>
  <w:style w:type="character" w:styleId="Referencakrajnjebiljeke">
    <w:name w:val="endnote reference"/>
    <w:basedOn w:val="Zadanifontodlomka"/>
    <w:uiPriority w:val="99"/>
    <w:semiHidden/>
    <w:unhideWhenUsed/>
    <w:rsid w:val="004976E4"/>
    <w:rPr>
      <w:vertAlign w:val="superscript"/>
    </w:rPr>
  </w:style>
  <w:style w:type="character" w:styleId="Istaknuto">
    <w:name w:val="Emphasis"/>
    <w:basedOn w:val="Zadanifontodlomka"/>
    <w:uiPriority w:val="99"/>
    <w:qFormat/>
    <w:rsid w:val="004976E4"/>
    <w:rPr>
      <w:i/>
      <w:iCs/>
    </w:rPr>
  </w:style>
  <w:style w:type="character" w:styleId="Naglaeno">
    <w:name w:val="Strong"/>
    <w:basedOn w:val="Zadanifontodlomka"/>
    <w:uiPriority w:val="22"/>
    <w:qFormat/>
    <w:rsid w:val="004976E4"/>
    <w:rPr>
      <w:b/>
      <w:bCs/>
    </w:rPr>
  </w:style>
  <w:style w:type="paragraph" w:styleId="Zaglavlje">
    <w:name w:val="header"/>
    <w:basedOn w:val="Normal"/>
    <w:link w:val="ZaglavljeChar"/>
    <w:uiPriority w:val="99"/>
    <w:unhideWhenUsed/>
    <w:rsid w:val="004976E4"/>
    <w:pPr>
      <w:tabs>
        <w:tab w:val="center" w:pos="4536"/>
        <w:tab w:val="right" w:pos="9072"/>
      </w:tabs>
      <w:spacing w:after="0" w:line="240" w:lineRule="auto"/>
    </w:pPr>
    <w:rPr>
      <w:rFonts w:ascii="Calibri" w:eastAsia="Calibri" w:hAnsi="Calibri" w:cs="Times New Roman"/>
    </w:rPr>
  </w:style>
  <w:style w:type="character" w:customStyle="1" w:styleId="ZaglavljeChar">
    <w:name w:val="Zaglavlje Char"/>
    <w:basedOn w:val="Zadanifontodlomka"/>
    <w:link w:val="Zaglavlje"/>
    <w:uiPriority w:val="99"/>
    <w:rsid w:val="004976E4"/>
    <w:rPr>
      <w:rFonts w:ascii="Calibri" w:eastAsia="Calibri" w:hAnsi="Calibri" w:cs="Times New Roman"/>
    </w:rPr>
  </w:style>
  <w:style w:type="paragraph" w:styleId="Podnoje">
    <w:name w:val="footer"/>
    <w:basedOn w:val="Normal"/>
    <w:link w:val="PodnojeChar"/>
    <w:uiPriority w:val="99"/>
    <w:unhideWhenUsed/>
    <w:rsid w:val="004976E4"/>
    <w:pPr>
      <w:tabs>
        <w:tab w:val="center" w:pos="4536"/>
        <w:tab w:val="right" w:pos="9072"/>
      </w:tabs>
      <w:spacing w:after="0" w:line="240" w:lineRule="auto"/>
    </w:pPr>
    <w:rPr>
      <w:rFonts w:ascii="Calibri" w:eastAsia="Calibri" w:hAnsi="Calibri" w:cs="Times New Roman"/>
    </w:rPr>
  </w:style>
  <w:style w:type="character" w:customStyle="1" w:styleId="PodnojeChar">
    <w:name w:val="Podnožje Char"/>
    <w:basedOn w:val="Zadanifontodlomka"/>
    <w:link w:val="Podnoje"/>
    <w:uiPriority w:val="99"/>
    <w:rsid w:val="004976E4"/>
    <w:rPr>
      <w:rFonts w:ascii="Calibri" w:eastAsia="Calibri" w:hAnsi="Calibri" w:cs="Times New Roman"/>
    </w:rPr>
  </w:style>
  <w:style w:type="paragraph" w:styleId="Bezproreda">
    <w:name w:val="No Spacing"/>
    <w:link w:val="BezproredaChar"/>
    <w:uiPriority w:val="1"/>
    <w:qFormat/>
    <w:rsid w:val="004976E4"/>
    <w:pPr>
      <w:spacing w:after="0" w:line="240" w:lineRule="auto"/>
    </w:pPr>
    <w:rPr>
      <w:rFonts w:ascii="Calibri" w:eastAsia="Times New Roman" w:hAnsi="Calibri" w:cs="Times New Roman"/>
    </w:rPr>
  </w:style>
  <w:style w:type="paragraph" w:styleId="Tijeloteksta">
    <w:name w:val="Body Text"/>
    <w:aliases w:val="Body Text1,Tijelo teksta1,Tijelo teksta11,Tijelo teksta111,Tijelo teksta1111,Tijelo teksta11111,uvlaka 22,uvlaka 32,uvlaka 2,uvlaka 3,tab"/>
    <w:basedOn w:val="Normal"/>
    <w:link w:val="TijelotekstaChar"/>
    <w:unhideWhenUsed/>
    <w:rsid w:val="004976E4"/>
    <w:pPr>
      <w:spacing w:after="120" w:line="276" w:lineRule="auto"/>
    </w:pPr>
    <w:rPr>
      <w:rFonts w:ascii="Calibri" w:eastAsia="Calibri" w:hAnsi="Calibri" w:cs="Times New Roman"/>
    </w:rPr>
  </w:style>
  <w:style w:type="character" w:customStyle="1" w:styleId="TijelotekstaChar">
    <w:name w:val="Tijelo teksta Char"/>
    <w:aliases w:val="Body Text1 Char,Tijelo teksta1 Char1,Tijelo teksta11 Char1,Tijelo teksta111 Char1,Tijelo teksta1111 Char1,Tijelo teksta11111 Char1,uvlaka 22 Char1,uvlaka 32 Char1,uvlaka 2 Char1,uvlaka 3 Char1,tab Char"/>
    <w:basedOn w:val="Zadanifontodlomka"/>
    <w:link w:val="Tijeloteksta"/>
    <w:rsid w:val="004976E4"/>
    <w:rPr>
      <w:rFonts w:ascii="Calibri" w:eastAsia="Calibri" w:hAnsi="Calibri" w:cs="Times New Roman"/>
    </w:rPr>
  </w:style>
  <w:style w:type="paragraph" w:customStyle="1" w:styleId="TableParagraph">
    <w:name w:val="Table Paragraph"/>
    <w:basedOn w:val="Normal"/>
    <w:uiPriority w:val="1"/>
    <w:qFormat/>
    <w:rsid w:val="004976E4"/>
    <w:pPr>
      <w:widowControl w:val="0"/>
      <w:autoSpaceDE w:val="0"/>
      <w:autoSpaceDN w:val="0"/>
      <w:spacing w:before="35" w:after="0" w:line="240" w:lineRule="auto"/>
      <w:jc w:val="center"/>
    </w:pPr>
    <w:rPr>
      <w:rFonts w:ascii="Calibri" w:eastAsia="Calibri" w:hAnsi="Calibri" w:cs="Calibri"/>
      <w:lang w:eastAsia="hr-HR" w:bidi="hr-HR"/>
    </w:rPr>
  </w:style>
  <w:style w:type="paragraph" w:customStyle="1" w:styleId="Default">
    <w:name w:val="Default"/>
    <w:rsid w:val="004976E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0020table">
    <w:name w:val="normal0020table"/>
    <w:basedOn w:val="Normal"/>
    <w:rsid w:val="004976E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0020tablechar0">
    <w:name w:val="normal0020tablechar"/>
    <w:basedOn w:val="Zadanifontodlomka"/>
    <w:rsid w:val="004976E4"/>
  </w:style>
  <w:style w:type="character" w:customStyle="1" w:styleId="Naslov1Char">
    <w:name w:val="Naslov 1 Char"/>
    <w:basedOn w:val="Zadanifontodlomka"/>
    <w:link w:val="Naslov1"/>
    <w:uiPriority w:val="9"/>
    <w:rsid w:val="00C5315F"/>
    <w:rPr>
      <w:rFonts w:ascii="Arial" w:eastAsia="Times New Roman" w:hAnsi="Arial" w:cs="Times New Roman"/>
      <w:b/>
      <w:bCs/>
      <w:kern w:val="32"/>
      <w:sz w:val="32"/>
      <w:szCs w:val="32"/>
      <w:lang w:eastAsia="hr-HR"/>
    </w:rPr>
  </w:style>
  <w:style w:type="character" w:customStyle="1" w:styleId="Naslov3Char">
    <w:name w:val="Naslov 3 Char"/>
    <w:basedOn w:val="Zadanifontodlomka"/>
    <w:link w:val="Naslov3"/>
    <w:uiPriority w:val="9"/>
    <w:rsid w:val="00C5315F"/>
    <w:rPr>
      <w:rFonts w:ascii="Cambria" w:eastAsia="Times New Roman" w:hAnsi="Cambria" w:cs="Times New Roman"/>
      <w:b/>
      <w:bCs/>
      <w:sz w:val="26"/>
      <w:szCs w:val="26"/>
      <w:lang w:eastAsia="hr-HR"/>
    </w:rPr>
  </w:style>
  <w:style w:type="character" w:customStyle="1" w:styleId="Naslov4Char">
    <w:name w:val="Naslov 4 Char"/>
    <w:basedOn w:val="Zadanifontodlomka"/>
    <w:link w:val="Naslov4"/>
    <w:uiPriority w:val="9"/>
    <w:rsid w:val="00C5315F"/>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uiPriority w:val="9"/>
    <w:rsid w:val="00C5315F"/>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uiPriority w:val="9"/>
    <w:semiHidden/>
    <w:rsid w:val="00C5315F"/>
    <w:rPr>
      <w:rFonts w:ascii="Tahoma" w:eastAsia="Times New Roman" w:hAnsi="Tahoma" w:cs="Times New Roman"/>
      <w:b/>
      <w:color w:val="39617A"/>
      <w:sz w:val="18"/>
      <w:szCs w:val="26"/>
      <w:lang w:eastAsia="hr-HR"/>
    </w:rPr>
  </w:style>
  <w:style w:type="character" w:customStyle="1" w:styleId="Naslov7Char">
    <w:name w:val="Naslov 7 Char"/>
    <w:basedOn w:val="Zadanifontodlomka"/>
    <w:link w:val="Naslov7"/>
    <w:uiPriority w:val="9"/>
    <w:semiHidden/>
    <w:rsid w:val="00C5315F"/>
    <w:rPr>
      <w:rFonts w:ascii="Tahoma" w:eastAsia="Times New Roman" w:hAnsi="Tahoma" w:cs="Times New Roman"/>
      <w:i/>
      <w:iCs/>
      <w:color w:val="39617A"/>
      <w:sz w:val="18"/>
      <w:szCs w:val="26"/>
      <w:lang w:eastAsia="hr-HR"/>
    </w:rPr>
  </w:style>
  <w:style w:type="character" w:customStyle="1" w:styleId="Naslov8Char">
    <w:name w:val="Naslov 8 Char"/>
    <w:basedOn w:val="Zadanifontodlomka"/>
    <w:link w:val="Naslov8"/>
    <w:uiPriority w:val="9"/>
    <w:semiHidden/>
    <w:rsid w:val="00C5315F"/>
    <w:rPr>
      <w:rFonts w:ascii="Tahoma" w:eastAsia="Times New Roman" w:hAnsi="Tahoma" w:cs="Times New Roman"/>
      <w:iCs/>
      <w:color w:val="39617A"/>
      <w:sz w:val="18"/>
      <w:szCs w:val="20"/>
      <w:lang w:eastAsia="hr-HR"/>
    </w:rPr>
  </w:style>
  <w:style w:type="character" w:customStyle="1" w:styleId="Naslov9Char">
    <w:name w:val="Naslov 9 Char"/>
    <w:basedOn w:val="Zadanifontodlomka"/>
    <w:link w:val="Naslov9"/>
    <w:uiPriority w:val="9"/>
    <w:semiHidden/>
    <w:rsid w:val="00C5315F"/>
    <w:rPr>
      <w:rFonts w:ascii="Tahoma" w:eastAsia="Times New Roman" w:hAnsi="Tahoma" w:cs="Times New Roman"/>
      <w:color w:val="39617A"/>
      <w:sz w:val="18"/>
      <w:szCs w:val="20"/>
      <w:lang w:eastAsia="hr-HR"/>
    </w:rPr>
  </w:style>
  <w:style w:type="character" w:customStyle="1" w:styleId="BezproredaChar">
    <w:name w:val="Bez proreda Char"/>
    <w:link w:val="Bezproreda"/>
    <w:uiPriority w:val="1"/>
    <w:rsid w:val="00C5315F"/>
    <w:rPr>
      <w:rFonts w:ascii="Calibri" w:eastAsia="Times New Roman" w:hAnsi="Calibri" w:cs="Times New Roman"/>
    </w:rPr>
  </w:style>
  <w:style w:type="character" w:styleId="SlijeenaHiperveza">
    <w:name w:val="FollowedHyperlink"/>
    <w:uiPriority w:val="99"/>
    <w:semiHidden/>
    <w:unhideWhenUsed/>
    <w:rsid w:val="00C5315F"/>
    <w:rPr>
      <w:color w:val="800080"/>
      <w:u w:val="single"/>
    </w:rPr>
  </w:style>
  <w:style w:type="paragraph" w:customStyle="1" w:styleId="t-9-8">
    <w:name w:val="t-9-8"/>
    <w:basedOn w:val="Normal"/>
    <w:rsid w:val="00C5315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2">
    <w:name w:val="Pa2"/>
    <w:basedOn w:val="Normal"/>
    <w:next w:val="Normal"/>
    <w:rsid w:val="00C5315F"/>
    <w:pPr>
      <w:widowControl w:val="0"/>
      <w:autoSpaceDE w:val="0"/>
      <w:autoSpaceDN w:val="0"/>
      <w:adjustRightInd w:val="0"/>
      <w:spacing w:before="100" w:after="100" w:line="360" w:lineRule="atLeast"/>
    </w:pPr>
    <w:rPr>
      <w:rFonts w:ascii="IAZGUY+MinionPro-BoldCn" w:eastAsia="Times New Roman" w:hAnsi="IAZGUY+MinionPro-BoldCn" w:cs="Times New Roman"/>
      <w:sz w:val="24"/>
      <w:szCs w:val="24"/>
      <w:lang w:eastAsia="hr-HR"/>
    </w:rPr>
  </w:style>
  <w:style w:type="character" w:customStyle="1" w:styleId="FontStyle12">
    <w:name w:val="Font Style12"/>
    <w:rsid w:val="00C5315F"/>
    <w:rPr>
      <w:rFonts w:ascii="Arial" w:hAnsi="Arial" w:cs="Arial"/>
      <w:sz w:val="20"/>
      <w:szCs w:val="20"/>
    </w:rPr>
  </w:style>
  <w:style w:type="character" w:customStyle="1" w:styleId="CharChar5">
    <w:name w:val="Char Char5"/>
    <w:rsid w:val="00C5315F"/>
    <w:rPr>
      <w:rFonts w:ascii="Futura Hv AT" w:eastAsia="Times New Roman" w:hAnsi="Futura Hv AT" w:cs="Times New Roman"/>
      <w:b/>
      <w:bCs/>
      <w:sz w:val="28"/>
      <w:szCs w:val="28"/>
      <w:lang w:val="hr-HR" w:eastAsia="hr-HR"/>
    </w:rPr>
  </w:style>
  <w:style w:type="paragraph" w:customStyle="1" w:styleId="CharChar12CharCharCharChar">
    <w:name w:val="Char Char12 Char Char Char Char"/>
    <w:basedOn w:val="Normal"/>
    <w:rsid w:val="00C5315F"/>
    <w:pPr>
      <w:autoSpaceDN w:val="0"/>
      <w:spacing w:line="240" w:lineRule="exact"/>
      <w:jc w:val="both"/>
    </w:pPr>
    <w:rPr>
      <w:rFonts w:ascii="Arial" w:eastAsia="Times New Roman" w:hAnsi="Arial" w:cs="Verdana"/>
      <w:sz w:val="20"/>
      <w:szCs w:val="20"/>
    </w:rPr>
  </w:style>
  <w:style w:type="character" w:customStyle="1" w:styleId="CharChar6">
    <w:name w:val="Char Char6"/>
    <w:rsid w:val="00C5315F"/>
    <w:rPr>
      <w:rFonts w:ascii="Futura Hv AT" w:hAnsi="Futura Hv AT"/>
      <w:sz w:val="22"/>
      <w:szCs w:val="22"/>
      <w:lang w:val="hr-HR" w:eastAsia="hr-HR"/>
    </w:rPr>
  </w:style>
  <w:style w:type="paragraph" w:customStyle="1" w:styleId="astandard3520normal">
    <w:name w:val="a_standard__35__20_normal"/>
    <w:basedOn w:val="Normal"/>
    <w:rsid w:val="00C5315F"/>
    <w:pPr>
      <w:spacing w:before="100" w:beforeAutospacing="1" w:after="100" w:afterAutospacing="1" w:line="240" w:lineRule="auto"/>
    </w:pPr>
    <w:rPr>
      <w:rFonts w:ascii="Times New Roman" w:eastAsia="Calibri" w:hAnsi="Times New Roman" w:cs="Times New Roman"/>
      <w:sz w:val="24"/>
      <w:szCs w:val="24"/>
      <w:lang w:eastAsia="hr-HR"/>
    </w:rPr>
  </w:style>
  <w:style w:type="character" w:customStyle="1" w:styleId="CharChar7">
    <w:name w:val="Char Char7"/>
    <w:rsid w:val="00C5315F"/>
    <w:rPr>
      <w:rFonts w:ascii="Futura Hv AT" w:eastAsia="Times New Roman" w:hAnsi="Futura Hv AT" w:cs="Times New Roman"/>
      <w:b/>
      <w:bCs/>
      <w:sz w:val="28"/>
      <w:szCs w:val="28"/>
      <w:lang w:val="hr-HR" w:eastAsia="hr-HR"/>
    </w:rPr>
  </w:style>
  <w:style w:type="paragraph" w:styleId="Opisslike">
    <w:name w:val="caption"/>
    <w:basedOn w:val="Normal"/>
    <w:next w:val="Normal"/>
    <w:autoRedefine/>
    <w:qFormat/>
    <w:rsid w:val="00E2286C"/>
    <w:pPr>
      <w:keepNext/>
      <w:spacing w:before="120" w:after="0" w:line="240" w:lineRule="auto"/>
    </w:pPr>
    <w:rPr>
      <w:rFonts w:ascii="Arial" w:eastAsia="Times New Roman" w:hAnsi="Arial" w:cs="Arial"/>
      <w:sz w:val="20"/>
      <w:szCs w:val="20"/>
      <w:shd w:val="clear" w:color="auto" w:fill="FFFFFF"/>
    </w:rPr>
  </w:style>
  <w:style w:type="character" w:customStyle="1" w:styleId="CharChar8">
    <w:name w:val="Char Char8"/>
    <w:rsid w:val="00C5315F"/>
    <w:rPr>
      <w:rFonts w:ascii="Arial Unicode MS" w:eastAsia="Arial Unicode MS" w:hAnsi="Arial Unicode MS" w:cs="Arial Unicode MS"/>
      <w:color w:val="000000"/>
      <w:sz w:val="24"/>
      <w:szCs w:val="24"/>
      <w:lang w:val="en-GB"/>
    </w:rPr>
  </w:style>
  <w:style w:type="paragraph" w:customStyle="1" w:styleId="CharChar12CharCharCharCharCharChar">
    <w:name w:val="Char Char12 Char Char Char Char Char Char"/>
    <w:basedOn w:val="Normal"/>
    <w:rsid w:val="00C5315F"/>
    <w:pPr>
      <w:autoSpaceDN w:val="0"/>
      <w:spacing w:line="240" w:lineRule="exact"/>
      <w:jc w:val="both"/>
    </w:pPr>
    <w:rPr>
      <w:rFonts w:ascii="Arial" w:eastAsia="Times New Roman" w:hAnsi="Arial" w:cs="Verdana"/>
      <w:sz w:val="20"/>
      <w:szCs w:val="20"/>
    </w:rPr>
  </w:style>
  <w:style w:type="character" w:customStyle="1" w:styleId="FootnoteTextChar1">
    <w:name w:val="Footnote Text Char1"/>
    <w:locked/>
    <w:rsid w:val="00C5315F"/>
    <w:rPr>
      <w:rFonts w:ascii="Times New Roman" w:hAnsi="Times New Roman" w:cs="Times New Roman"/>
      <w:sz w:val="20"/>
      <w:szCs w:val="20"/>
      <w:lang w:val="hr-HR" w:eastAsia="hr-HR"/>
    </w:rPr>
  </w:style>
  <w:style w:type="character" w:customStyle="1" w:styleId="FooterChar1">
    <w:name w:val="Footer Char1"/>
    <w:uiPriority w:val="99"/>
    <w:semiHidden/>
    <w:locked/>
    <w:rsid w:val="00C5315F"/>
    <w:rPr>
      <w:rFonts w:ascii="Times New Roman" w:hAnsi="Times New Roman" w:cs="Times New Roman"/>
      <w:sz w:val="24"/>
      <w:szCs w:val="24"/>
      <w:lang w:val="hr-HR" w:eastAsia="hr-HR"/>
    </w:rPr>
  </w:style>
  <w:style w:type="character" w:customStyle="1" w:styleId="BodyTextChar1">
    <w:name w:val="Body Text Char1"/>
    <w:aliases w:val="Body Text1 Char1"/>
    <w:uiPriority w:val="99"/>
    <w:semiHidden/>
    <w:locked/>
    <w:rsid w:val="00C5315F"/>
    <w:rPr>
      <w:rFonts w:ascii="Times New Roman" w:hAnsi="Times New Roman" w:cs="Times New Roman"/>
      <w:sz w:val="24"/>
      <w:szCs w:val="24"/>
      <w:lang w:val="hr-HR" w:eastAsia="hr-HR"/>
    </w:rPr>
  </w:style>
  <w:style w:type="character" w:customStyle="1" w:styleId="BodyText2Char1">
    <w:name w:val="Body Text 2 Char1"/>
    <w:uiPriority w:val="99"/>
    <w:semiHidden/>
    <w:locked/>
    <w:rsid w:val="00C5315F"/>
    <w:rPr>
      <w:rFonts w:ascii="Times New Roman" w:hAnsi="Times New Roman" w:cs="Times New Roman"/>
      <w:sz w:val="24"/>
      <w:szCs w:val="24"/>
      <w:lang w:val="hr-HR" w:eastAsia="hr-HR"/>
    </w:rPr>
  </w:style>
  <w:style w:type="paragraph" w:customStyle="1" w:styleId="Tekst">
    <w:name w:val="Tekst"/>
    <w:rsid w:val="00C5315F"/>
    <w:pPr>
      <w:tabs>
        <w:tab w:val="left" w:pos="284"/>
      </w:tabs>
      <w:spacing w:before="120" w:after="200" w:line="260" w:lineRule="exact"/>
      <w:jc w:val="both"/>
    </w:pPr>
    <w:rPr>
      <w:rFonts w:ascii="CRO_Swiss" w:eastAsia="Times New Roman" w:hAnsi="CRO_Swiss" w:cs="Times New Roman"/>
      <w:lang w:val="en-US" w:eastAsia="hr-HR"/>
    </w:rPr>
  </w:style>
  <w:style w:type="character" w:customStyle="1" w:styleId="CharChar9">
    <w:name w:val="Char Char9"/>
    <w:uiPriority w:val="99"/>
    <w:rsid w:val="00C5315F"/>
    <w:rPr>
      <w:rFonts w:ascii="Futura Hv AT" w:hAnsi="Futura Hv AT" w:cs="Times New Roman"/>
      <w:b/>
      <w:bCs/>
      <w:sz w:val="28"/>
      <w:szCs w:val="28"/>
      <w:lang w:val="hr-HR" w:eastAsia="hr-HR" w:bidi="ar-SA"/>
    </w:rPr>
  </w:style>
  <w:style w:type="character" w:customStyle="1" w:styleId="CharChar60">
    <w:name w:val="Char Char6"/>
    <w:uiPriority w:val="99"/>
    <w:rsid w:val="00C5315F"/>
    <w:rPr>
      <w:rFonts w:ascii="Futura Hv AT" w:hAnsi="Futura Hv AT" w:cs="Times New Roman"/>
      <w:sz w:val="22"/>
      <w:szCs w:val="22"/>
      <w:lang w:val="hr-HR" w:eastAsia="hr-HR"/>
    </w:rPr>
  </w:style>
  <w:style w:type="character" w:styleId="Brojstranice">
    <w:name w:val="page number"/>
    <w:rsid w:val="00C5315F"/>
    <w:rPr>
      <w:rFonts w:cs="Times New Roman"/>
    </w:rPr>
  </w:style>
  <w:style w:type="character" w:customStyle="1" w:styleId="CharChar1">
    <w:name w:val="Char Char1"/>
    <w:uiPriority w:val="99"/>
    <w:locked/>
    <w:rsid w:val="00C5315F"/>
    <w:rPr>
      <w:rFonts w:ascii="Arial Unicode MS" w:hAnsi="Arial Unicode MS"/>
      <w:color w:val="000000"/>
      <w:sz w:val="24"/>
      <w:lang w:val="en-GB" w:eastAsia="en-US"/>
    </w:rPr>
  </w:style>
  <w:style w:type="character" w:customStyle="1" w:styleId="CharChar">
    <w:name w:val="Char Char"/>
    <w:aliases w:val="Caption Char"/>
    <w:locked/>
    <w:rsid w:val="00C5315F"/>
    <w:rPr>
      <w:rFonts w:ascii="Futura Hv AT" w:hAnsi="Futura Hv AT"/>
      <w:b/>
      <w:sz w:val="28"/>
      <w:lang w:val="hr-HR" w:eastAsia="hr-HR"/>
    </w:rPr>
  </w:style>
  <w:style w:type="character" w:customStyle="1" w:styleId="CommentTextChar1">
    <w:name w:val="Comment Text Char1"/>
    <w:uiPriority w:val="99"/>
    <w:locked/>
    <w:rsid w:val="00C5315F"/>
    <w:rPr>
      <w:rFonts w:ascii="Times New Roman" w:hAnsi="Times New Roman" w:cs="Times New Roman"/>
      <w:sz w:val="20"/>
      <w:szCs w:val="20"/>
      <w:lang w:val="hr-HR" w:eastAsia="hr-HR"/>
    </w:rPr>
  </w:style>
  <w:style w:type="character" w:customStyle="1" w:styleId="FootnoteTextChar2">
    <w:name w:val="Footnote Text Char2"/>
    <w:uiPriority w:val="99"/>
    <w:semiHidden/>
    <w:locked/>
    <w:rsid w:val="00C5315F"/>
    <w:rPr>
      <w:lang w:val="hr-HR"/>
    </w:rPr>
  </w:style>
  <w:style w:type="paragraph" w:styleId="Grafikeoznake">
    <w:name w:val="List Bullet"/>
    <w:aliases w:val="Char Char1 Char Char Char Char Char Char Char Char Char Char Char Char Char Char Char Char Char Char Char Char,Char Char1 Char Char Char Char Char Char Char Char Char Char Char Char Char Char Char Char Char"/>
    <w:basedOn w:val="Normal"/>
    <w:autoRedefine/>
    <w:uiPriority w:val="99"/>
    <w:rsid w:val="00C5315F"/>
    <w:pPr>
      <w:keepLines/>
      <w:snapToGrid w:val="0"/>
      <w:spacing w:after="240" w:line="240" w:lineRule="auto"/>
      <w:jc w:val="both"/>
    </w:pPr>
    <w:rPr>
      <w:rFonts w:ascii="Times New Roman" w:eastAsia="Times New Roman" w:hAnsi="Times New Roman" w:cs="Times New Roman"/>
      <w:sz w:val="24"/>
      <w:szCs w:val="24"/>
      <w:lang w:val="en-US"/>
    </w:rPr>
  </w:style>
  <w:style w:type="character" w:customStyle="1" w:styleId="CharChar80">
    <w:name w:val="Char Char8"/>
    <w:uiPriority w:val="99"/>
    <w:semiHidden/>
    <w:locked/>
    <w:rsid w:val="00C5315F"/>
    <w:rPr>
      <w:lang w:val="hr-HR"/>
    </w:rPr>
  </w:style>
  <w:style w:type="paragraph" w:styleId="Uvuenotijeloteksta">
    <w:name w:val="Body Text Indent"/>
    <w:basedOn w:val="Normal"/>
    <w:link w:val="UvuenotijelotekstaChar"/>
    <w:uiPriority w:val="99"/>
    <w:rsid w:val="00C5315F"/>
    <w:pPr>
      <w:spacing w:after="120" w:line="240" w:lineRule="auto"/>
      <w:ind w:left="283"/>
    </w:pPr>
    <w:rPr>
      <w:rFonts w:ascii="Times New Roman" w:eastAsia="Calibri" w:hAnsi="Times New Roman" w:cs="Times New Roman"/>
      <w:sz w:val="24"/>
      <w:szCs w:val="24"/>
      <w:lang w:eastAsia="hr-HR"/>
    </w:rPr>
  </w:style>
  <w:style w:type="character" w:customStyle="1" w:styleId="BodyTextIndentChar">
    <w:name w:val="Body Text Indent Char"/>
    <w:basedOn w:val="Zadanifontodlomka"/>
    <w:uiPriority w:val="99"/>
    <w:semiHidden/>
    <w:rsid w:val="00C5315F"/>
  </w:style>
  <w:style w:type="character" w:customStyle="1" w:styleId="UvuenotijelotekstaChar">
    <w:name w:val="Uvučeno tijelo teksta Char"/>
    <w:link w:val="Uvuenotijeloteksta"/>
    <w:uiPriority w:val="99"/>
    <w:locked/>
    <w:rsid w:val="00C5315F"/>
    <w:rPr>
      <w:rFonts w:ascii="Times New Roman" w:eastAsia="Calibri" w:hAnsi="Times New Roman" w:cs="Times New Roman"/>
      <w:sz w:val="24"/>
      <w:szCs w:val="24"/>
      <w:lang w:eastAsia="hr-HR"/>
    </w:rPr>
  </w:style>
  <w:style w:type="character" w:customStyle="1" w:styleId="CharChar61">
    <w:name w:val="Char Char61"/>
    <w:uiPriority w:val="99"/>
    <w:semiHidden/>
    <w:rsid w:val="00C5315F"/>
    <w:rPr>
      <w:rFonts w:ascii="Calibri" w:hAnsi="Calibri"/>
      <w:sz w:val="20"/>
      <w:lang w:eastAsia="hr-HR"/>
    </w:rPr>
  </w:style>
  <w:style w:type="character" w:customStyle="1" w:styleId="CharChar2">
    <w:name w:val="Char Char2"/>
    <w:uiPriority w:val="99"/>
    <w:rsid w:val="00C5315F"/>
    <w:rPr>
      <w:sz w:val="20"/>
      <w:lang w:eastAsia="en-US"/>
    </w:rPr>
  </w:style>
  <w:style w:type="character" w:customStyle="1" w:styleId="CharChar3">
    <w:name w:val="Char Char3"/>
    <w:uiPriority w:val="99"/>
    <w:rsid w:val="00C5315F"/>
    <w:rPr>
      <w:rFonts w:ascii="Arial Unicode MS" w:hAnsi="Arial Unicode MS"/>
      <w:color w:val="000000"/>
      <w:sz w:val="24"/>
      <w:lang w:val="en-GB" w:eastAsia="en-US"/>
    </w:rPr>
  </w:style>
  <w:style w:type="paragraph" w:styleId="Tijeloteksta-uvlaka2">
    <w:name w:val="Body Text Indent 2"/>
    <w:basedOn w:val="Normal"/>
    <w:link w:val="Tijeloteksta-uvlaka2Char"/>
    <w:semiHidden/>
    <w:rsid w:val="00C5315F"/>
    <w:pPr>
      <w:spacing w:after="120" w:line="480" w:lineRule="auto"/>
      <w:ind w:left="283"/>
    </w:pPr>
    <w:rPr>
      <w:rFonts w:ascii="Times New Roman" w:eastAsia="Times New Roman" w:hAnsi="Times New Roman" w:cs="Times New Roman"/>
      <w:sz w:val="24"/>
      <w:szCs w:val="24"/>
      <w:lang w:eastAsia="hr-HR"/>
    </w:rPr>
  </w:style>
  <w:style w:type="character" w:customStyle="1" w:styleId="Tijeloteksta-uvlaka2Char">
    <w:name w:val="Tijelo teksta - uvlaka 2 Char"/>
    <w:basedOn w:val="Zadanifontodlomka"/>
    <w:link w:val="Tijeloteksta-uvlaka2"/>
    <w:semiHidden/>
    <w:rsid w:val="00C5315F"/>
    <w:rPr>
      <w:rFonts w:ascii="Times New Roman" w:eastAsia="Times New Roman" w:hAnsi="Times New Roman" w:cs="Times New Roman"/>
      <w:sz w:val="24"/>
      <w:szCs w:val="24"/>
      <w:lang w:eastAsia="hr-HR"/>
    </w:rPr>
  </w:style>
  <w:style w:type="paragraph" w:customStyle="1" w:styleId="Char">
    <w:name w:val="Char"/>
    <w:basedOn w:val="Normal"/>
    <w:uiPriority w:val="99"/>
    <w:rsid w:val="00C5315F"/>
    <w:pPr>
      <w:autoSpaceDN w:val="0"/>
      <w:spacing w:line="240" w:lineRule="exact"/>
      <w:jc w:val="both"/>
    </w:pPr>
    <w:rPr>
      <w:rFonts w:ascii="Arial" w:eastAsia="Times New Roman" w:hAnsi="Arial" w:cs="Verdana"/>
      <w:sz w:val="20"/>
      <w:szCs w:val="20"/>
    </w:rPr>
  </w:style>
  <w:style w:type="paragraph" w:customStyle="1" w:styleId="Char2">
    <w:name w:val="Char2"/>
    <w:basedOn w:val="Normal"/>
    <w:uiPriority w:val="99"/>
    <w:rsid w:val="00C5315F"/>
    <w:pPr>
      <w:autoSpaceDN w:val="0"/>
      <w:spacing w:line="240" w:lineRule="exact"/>
      <w:jc w:val="both"/>
    </w:pPr>
    <w:rPr>
      <w:rFonts w:ascii="Arial" w:eastAsia="Times New Roman" w:hAnsi="Arial" w:cs="Verdana"/>
      <w:sz w:val="20"/>
      <w:szCs w:val="20"/>
    </w:rPr>
  </w:style>
  <w:style w:type="paragraph" w:styleId="Tijeloteksta-uvlaka3">
    <w:name w:val="Body Text Indent 3"/>
    <w:basedOn w:val="Normal"/>
    <w:link w:val="Tijeloteksta-uvlaka3Char"/>
    <w:rsid w:val="00C5315F"/>
    <w:pPr>
      <w:spacing w:after="120" w:line="240" w:lineRule="auto"/>
      <w:ind w:left="283"/>
    </w:pPr>
    <w:rPr>
      <w:rFonts w:ascii="Times New Roman" w:eastAsia="Times New Roman" w:hAnsi="Times New Roman" w:cs="Times New Roman"/>
      <w:sz w:val="16"/>
      <w:szCs w:val="16"/>
      <w:lang w:eastAsia="hr-HR"/>
    </w:rPr>
  </w:style>
  <w:style w:type="character" w:customStyle="1" w:styleId="Tijeloteksta-uvlaka3Char">
    <w:name w:val="Tijelo teksta - uvlaka 3 Char"/>
    <w:basedOn w:val="Zadanifontodlomka"/>
    <w:link w:val="Tijeloteksta-uvlaka3"/>
    <w:rsid w:val="00C5315F"/>
    <w:rPr>
      <w:rFonts w:ascii="Times New Roman" w:eastAsia="Times New Roman" w:hAnsi="Times New Roman" w:cs="Times New Roman"/>
      <w:sz w:val="16"/>
      <w:szCs w:val="16"/>
      <w:lang w:eastAsia="hr-HR"/>
    </w:rPr>
  </w:style>
  <w:style w:type="table" w:styleId="Reetkatablice">
    <w:name w:val="Table Grid"/>
    <w:basedOn w:val="Obinatablica"/>
    <w:uiPriority w:val="39"/>
    <w:rsid w:val="00C5315F"/>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3">
    <w:name w:val="Body Text 3"/>
    <w:basedOn w:val="Normal"/>
    <w:link w:val="Tijeloteksta3Char"/>
    <w:uiPriority w:val="99"/>
    <w:rsid w:val="00C5315F"/>
    <w:pPr>
      <w:spacing w:after="120" w:line="240" w:lineRule="auto"/>
    </w:pPr>
    <w:rPr>
      <w:rFonts w:ascii="Times New Roman" w:eastAsia="Times New Roman" w:hAnsi="Times New Roman" w:cs="Times New Roman"/>
      <w:sz w:val="16"/>
      <w:szCs w:val="16"/>
      <w:lang w:eastAsia="hr-HR"/>
    </w:rPr>
  </w:style>
  <w:style w:type="character" w:customStyle="1" w:styleId="Tijeloteksta3Char">
    <w:name w:val="Tijelo teksta 3 Char"/>
    <w:basedOn w:val="Zadanifontodlomka"/>
    <w:link w:val="Tijeloteksta3"/>
    <w:uiPriority w:val="99"/>
    <w:rsid w:val="00C5315F"/>
    <w:rPr>
      <w:rFonts w:ascii="Times New Roman" w:eastAsia="Times New Roman" w:hAnsi="Times New Roman" w:cs="Times New Roman"/>
      <w:sz w:val="16"/>
      <w:szCs w:val="16"/>
      <w:lang w:eastAsia="hr-HR"/>
    </w:rPr>
  </w:style>
  <w:style w:type="paragraph" w:customStyle="1" w:styleId="Char1">
    <w:name w:val="Char1"/>
    <w:basedOn w:val="Normal"/>
    <w:uiPriority w:val="99"/>
    <w:rsid w:val="00C5315F"/>
    <w:pPr>
      <w:autoSpaceDN w:val="0"/>
      <w:spacing w:line="240" w:lineRule="exact"/>
      <w:jc w:val="both"/>
    </w:pPr>
    <w:rPr>
      <w:rFonts w:ascii="Arial" w:eastAsia="Times New Roman" w:hAnsi="Arial" w:cs="Verdana"/>
      <w:sz w:val="20"/>
      <w:szCs w:val="20"/>
    </w:rPr>
  </w:style>
  <w:style w:type="paragraph" w:customStyle="1" w:styleId="Char3">
    <w:name w:val="Char3"/>
    <w:basedOn w:val="Normal"/>
    <w:uiPriority w:val="99"/>
    <w:rsid w:val="00C5315F"/>
    <w:pPr>
      <w:autoSpaceDN w:val="0"/>
      <w:spacing w:line="240" w:lineRule="exact"/>
      <w:jc w:val="both"/>
    </w:pPr>
    <w:rPr>
      <w:rFonts w:ascii="Arial" w:eastAsia="Calibri" w:hAnsi="Arial" w:cs="Verdana"/>
      <w:sz w:val="20"/>
      <w:szCs w:val="20"/>
    </w:rPr>
  </w:style>
  <w:style w:type="character" w:customStyle="1" w:styleId="CharChar11">
    <w:name w:val="Char Char11"/>
    <w:uiPriority w:val="99"/>
    <w:rsid w:val="00C5315F"/>
    <w:rPr>
      <w:rFonts w:ascii="Arial Unicode MS" w:eastAsia="Times New Roman" w:cs="Arial Unicode MS"/>
      <w:color w:val="000000"/>
      <w:sz w:val="24"/>
      <w:szCs w:val="24"/>
      <w:lang w:val="en-GB" w:eastAsia="en-US" w:bidi="ar-SA"/>
    </w:rPr>
  </w:style>
  <w:style w:type="paragraph" w:customStyle="1" w:styleId="T-98-2">
    <w:name w:val="T-9/8-2"/>
    <w:uiPriority w:val="99"/>
    <w:rsid w:val="00C5315F"/>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val="en-US" w:eastAsia="hr-HR"/>
    </w:rPr>
  </w:style>
  <w:style w:type="paragraph" w:customStyle="1" w:styleId="Pa0">
    <w:name w:val="Pa0"/>
    <w:basedOn w:val="Normal"/>
    <w:next w:val="Normal"/>
    <w:rsid w:val="00C5315F"/>
    <w:pPr>
      <w:widowControl w:val="0"/>
      <w:numPr>
        <w:numId w:val="27"/>
      </w:numPr>
      <w:tabs>
        <w:tab w:val="clear" w:pos="720"/>
      </w:tabs>
      <w:autoSpaceDE w:val="0"/>
      <w:autoSpaceDN w:val="0"/>
      <w:adjustRightInd w:val="0"/>
      <w:spacing w:after="0" w:line="240" w:lineRule="atLeast"/>
    </w:pPr>
    <w:rPr>
      <w:rFonts w:ascii="IAZGUY+MinionPro-BoldCn" w:eastAsia="Times New Roman" w:hAnsi="IAZGUY+MinionPro-BoldCn" w:cs="Times New Roman"/>
      <w:sz w:val="24"/>
      <w:szCs w:val="24"/>
      <w:lang w:eastAsia="hr-HR"/>
    </w:rPr>
  </w:style>
  <w:style w:type="paragraph" w:customStyle="1" w:styleId="PodnaslovDNZ">
    <w:name w:val="Podnaslov DNZ"/>
    <w:basedOn w:val="Normal"/>
    <w:rsid w:val="00C5315F"/>
    <w:pPr>
      <w:numPr>
        <w:numId w:val="8"/>
      </w:numPr>
      <w:spacing w:after="0" w:line="240" w:lineRule="auto"/>
      <w:jc w:val="both"/>
    </w:pPr>
    <w:rPr>
      <w:rFonts w:ascii="Times New Roman" w:eastAsia="Times New Roman" w:hAnsi="Times New Roman" w:cs="Arial Unicode MS"/>
      <w:b/>
      <w:sz w:val="24"/>
      <w:szCs w:val="20"/>
      <w:lang w:eastAsia="hr-HR"/>
    </w:rPr>
  </w:style>
  <w:style w:type="character" w:customStyle="1" w:styleId="Tijeloteksta1Char">
    <w:name w:val="Tijelo teksta1 Char"/>
    <w:aliases w:val="Tijelo teksta11 Char,Tijelo teksta111 Char,Tijelo teksta1111 Char,Tijelo teksta11111 Char,uvlaka 22 Char,uvlaka 32 Char,uvlaka 2 Char,uvlaka 3 Char,tab Char Char"/>
    <w:locked/>
    <w:rsid w:val="00C5315F"/>
    <w:rPr>
      <w:rFonts w:ascii="Arial" w:hAnsi="Arial"/>
      <w:sz w:val="24"/>
      <w:lang w:val="hr-HR" w:eastAsia="hr-HR" w:bidi="ar-SA"/>
    </w:rPr>
  </w:style>
  <w:style w:type="paragraph" w:styleId="Podnaslov">
    <w:name w:val="Subtitle"/>
    <w:basedOn w:val="Normal"/>
    <w:link w:val="PodnaslovChar"/>
    <w:qFormat/>
    <w:rsid w:val="00C5315F"/>
    <w:pPr>
      <w:spacing w:after="0" w:line="240" w:lineRule="auto"/>
    </w:pPr>
    <w:rPr>
      <w:rFonts w:ascii="Times New Roman" w:eastAsia="Times New Roman" w:hAnsi="Times New Roman" w:cs="Times New Roman"/>
      <w:sz w:val="24"/>
      <w:szCs w:val="20"/>
      <w:lang w:eastAsia="x-none"/>
    </w:rPr>
  </w:style>
  <w:style w:type="character" w:customStyle="1" w:styleId="PodnaslovChar">
    <w:name w:val="Podnaslov Char"/>
    <w:basedOn w:val="Zadanifontodlomka"/>
    <w:link w:val="Podnaslov"/>
    <w:rsid w:val="00C5315F"/>
    <w:rPr>
      <w:rFonts w:ascii="Times New Roman" w:eastAsia="Times New Roman" w:hAnsi="Times New Roman" w:cs="Times New Roman"/>
      <w:sz w:val="24"/>
      <w:szCs w:val="20"/>
      <w:lang w:eastAsia="x-none"/>
    </w:rPr>
  </w:style>
  <w:style w:type="paragraph" w:customStyle="1" w:styleId="aaCaptiontab">
    <w:name w:val="aaCaption tab"/>
    <w:basedOn w:val="Normal"/>
    <w:rsid w:val="00C5315F"/>
    <w:pPr>
      <w:spacing w:before="120" w:after="80" w:line="240" w:lineRule="auto"/>
      <w:jc w:val="both"/>
    </w:pPr>
    <w:rPr>
      <w:rFonts w:ascii="Times New Roman" w:eastAsia="Times New Roman" w:hAnsi="Times New Roman" w:cs="Times New Roman"/>
      <w:bCs/>
      <w:szCs w:val="20"/>
      <w:lang w:eastAsia="hr-HR"/>
    </w:rPr>
  </w:style>
  <w:style w:type="paragraph" w:customStyle="1" w:styleId="aaizvori">
    <w:name w:val="aaizvori"/>
    <w:basedOn w:val="Normal"/>
    <w:rsid w:val="00C5315F"/>
    <w:pPr>
      <w:spacing w:before="60" w:after="0" w:line="240" w:lineRule="auto"/>
      <w:ind w:right="142"/>
    </w:pPr>
    <w:rPr>
      <w:rFonts w:ascii="Times New Roman" w:eastAsia="Times New Roman" w:hAnsi="Times New Roman" w:cs="Times New Roman"/>
      <w:szCs w:val="20"/>
      <w:lang w:eastAsia="hr-HR"/>
    </w:rPr>
  </w:style>
  <w:style w:type="paragraph" w:customStyle="1" w:styleId="anapomene">
    <w:name w:val="anapomene"/>
    <w:basedOn w:val="Normal"/>
    <w:rsid w:val="00C5315F"/>
    <w:pPr>
      <w:spacing w:before="60" w:after="60" w:line="240" w:lineRule="auto"/>
      <w:jc w:val="both"/>
    </w:pPr>
    <w:rPr>
      <w:rFonts w:ascii="Times New Roman" w:eastAsia="Times New Roman" w:hAnsi="Times New Roman" w:cs="Times New Roman"/>
      <w:sz w:val="20"/>
      <w:szCs w:val="20"/>
      <w:lang w:eastAsia="hr-HR"/>
    </w:rPr>
  </w:style>
  <w:style w:type="paragraph" w:customStyle="1" w:styleId="Pa7">
    <w:name w:val="Pa7"/>
    <w:basedOn w:val="Normal"/>
    <w:next w:val="Normal"/>
    <w:rsid w:val="00C5315F"/>
    <w:pPr>
      <w:widowControl w:val="0"/>
      <w:autoSpaceDE w:val="0"/>
      <w:autoSpaceDN w:val="0"/>
      <w:adjustRightInd w:val="0"/>
      <w:spacing w:after="0" w:line="240" w:lineRule="atLeast"/>
    </w:pPr>
    <w:rPr>
      <w:rFonts w:ascii="IAZGUY+MinionPro-BoldCn" w:eastAsia="Times New Roman" w:hAnsi="IAZGUY+MinionPro-BoldCn" w:cs="Times New Roman"/>
      <w:sz w:val="24"/>
      <w:szCs w:val="24"/>
      <w:lang w:eastAsia="hr-HR"/>
    </w:rPr>
  </w:style>
  <w:style w:type="paragraph" w:customStyle="1" w:styleId="Pa1">
    <w:name w:val="Pa1"/>
    <w:basedOn w:val="Normal"/>
    <w:next w:val="Normal"/>
    <w:rsid w:val="00C5315F"/>
    <w:pPr>
      <w:widowControl w:val="0"/>
      <w:autoSpaceDE w:val="0"/>
      <w:autoSpaceDN w:val="0"/>
      <w:adjustRightInd w:val="0"/>
      <w:spacing w:after="0" w:line="240" w:lineRule="atLeast"/>
    </w:pPr>
    <w:rPr>
      <w:rFonts w:ascii="IAZGUY+MinionPro-BoldCn" w:eastAsia="Times New Roman" w:hAnsi="IAZGUY+MinionPro-BoldCn" w:cs="Times New Roman"/>
      <w:sz w:val="24"/>
      <w:szCs w:val="24"/>
      <w:lang w:eastAsia="hr-HR"/>
    </w:rPr>
  </w:style>
  <w:style w:type="paragraph" w:styleId="Sadraj2">
    <w:name w:val="toc 2"/>
    <w:basedOn w:val="Normal"/>
    <w:next w:val="Normal"/>
    <w:autoRedefine/>
    <w:uiPriority w:val="39"/>
    <w:rsid w:val="00C5315F"/>
    <w:pPr>
      <w:spacing w:after="200" w:line="276" w:lineRule="auto"/>
      <w:ind w:left="220"/>
    </w:pPr>
    <w:rPr>
      <w:rFonts w:ascii="Cambria" w:eastAsia="Times New Roman" w:hAnsi="Cambria" w:cs="Times New Roman"/>
      <w:lang w:val="en-US" w:bidi="en-US"/>
    </w:rPr>
  </w:style>
  <w:style w:type="paragraph" w:styleId="Sadraj3">
    <w:name w:val="toc 3"/>
    <w:basedOn w:val="Normal"/>
    <w:next w:val="Normal"/>
    <w:autoRedefine/>
    <w:uiPriority w:val="39"/>
    <w:rsid w:val="00C5315F"/>
    <w:pPr>
      <w:spacing w:after="200" w:line="276" w:lineRule="auto"/>
      <w:ind w:left="440"/>
    </w:pPr>
    <w:rPr>
      <w:rFonts w:ascii="Cambria" w:eastAsia="Times New Roman" w:hAnsi="Cambria" w:cs="Times New Roman"/>
      <w:lang w:val="en-US" w:bidi="en-US"/>
    </w:rPr>
  </w:style>
  <w:style w:type="paragraph" w:styleId="Sadraj4">
    <w:name w:val="toc 4"/>
    <w:basedOn w:val="Normal"/>
    <w:next w:val="Normal"/>
    <w:autoRedefine/>
    <w:uiPriority w:val="39"/>
    <w:rsid w:val="00C5315F"/>
    <w:pPr>
      <w:spacing w:after="200" w:line="276" w:lineRule="auto"/>
      <w:ind w:left="660"/>
    </w:pPr>
    <w:rPr>
      <w:rFonts w:ascii="Cambria" w:eastAsia="Times New Roman" w:hAnsi="Cambria" w:cs="Times New Roman"/>
      <w:lang w:val="en-US" w:bidi="en-US"/>
    </w:rPr>
  </w:style>
  <w:style w:type="character" w:customStyle="1" w:styleId="defaultparagraphfont-000009">
    <w:name w:val="defaultparagraphfont-000009"/>
    <w:rsid w:val="00C5315F"/>
    <w:rPr>
      <w:rFonts w:ascii="Calibri" w:hAnsi="Calibri" w:hint="default"/>
      <w:b w:val="0"/>
      <w:bCs w:val="0"/>
      <w:sz w:val="22"/>
      <w:szCs w:val="22"/>
    </w:rPr>
  </w:style>
  <w:style w:type="character" w:customStyle="1" w:styleId="Heading2">
    <w:name w:val="Heading #2_"/>
    <w:link w:val="Heading20"/>
    <w:uiPriority w:val="99"/>
    <w:rsid w:val="00C5315F"/>
    <w:rPr>
      <w:b/>
      <w:bCs/>
      <w:shd w:val="clear" w:color="auto" w:fill="FFFFFF"/>
    </w:rPr>
  </w:style>
  <w:style w:type="paragraph" w:customStyle="1" w:styleId="Heading20">
    <w:name w:val="Heading #2"/>
    <w:basedOn w:val="Normal"/>
    <w:link w:val="Heading2"/>
    <w:uiPriority w:val="99"/>
    <w:rsid w:val="00C5315F"/>
    <w:pPr>
      <w:widowControl w:val="0"/>
      <w:shd w:val="clear" w:color="auto" w:fill="FFFFFF"/>
      <w:spacing w:before="360" w:after="360" w:line="240" w:lineRule="atLeast"/>
      <w:ind w:hanging="354"/>
      <w:jc w:val="both"/>
      <w:outlineLvl w:val="1"/>
    </w:pPr>
    <w:rPr>
      <w:b/>
      <w:bCs/>
    </w:rPr>
  </w:style>
  <w:style w:type="character" w:customStyle="1" w:styleId="Bodytext2">
    <w:name w:val="Body text (2)_"/>
    <w:link w:val="Bodytext21"/>
    <w:uiPriority w:val="99"/>
    <w:rsid w:val="00C5315F"/>
    <w:rPr>
      <w:shd w:val="clear" w:color="auto" w:fill="FFFFFF"/>
    </w:rPr>
  </w:style>
  <w:style w:type="paragraph" w:customStyle="1" w:styleId="Bodytext21">
    <w:name w:val="Body text (2)1"/>
    <w:basedOn w:val="Normal"/>
    <w:link w:val="Bodytext2"/>
    <w:uiPriority w:val="99"/>
    <w:rsid w:val="00C5315F"/>
    <w:pPr>
      <w:widowControl w:val="0"/>
      <w:shd w:val="clear" w:color="auto" w:fill="FFFFFF"/>
      <w:spacing w:after="2880" w:line="240" w:lineRule="atLeast"/>
      <w:ind w:hanging="728"/>
      <w:jc w:val="center"/>
    </w:pPr>
  </w:style>
  <w:style w:type="character" w:customStyle="1" w:styleId="Bodytext3">
    <w:name w:val="Body text (3)_"/>
    <w:link w:val="Bodytext30"/>
    <w:uiPriority w:val="99"/>
    <w:rsid w:val="00C5315F"/>
    <w:rPr>
      <w:b/>
      <w:bCs/>
      <w:sz w:val="28"/>
      <w:szCs w:val="28"/>
      <w:shd w:val="clear" w:color="auto" w:fill="FFFFFF"/>
    </w:rPr>
  </w:style>
  <w:style w:type="paragraph" w:customStyle="1" w:styleId="Bodytext30">
    <w:name w:val="Body text (3)"/>
    <w:basedOn w:val="Normal"/>
    <w:link w:val="Bodytext3"/>
    <w:uiPriority w:val="99"/>
    <w:rsid w:val="00C5315F"/>
    <w:pPr>
      <w:widowControl w:val="0"/>
      <w:shd w:val="clear" w:color="auto" w:fill="FFFFFF"/>
      <w:spacing w:before="840" w:after="0" w:line="367" w:lineRule="exact"/>
      <w:jc w:val="center"/>
    </w:pPr>
    <w:rPr>
      <w:b/>
      <w:bCs/>
      <w:sz w:val="28"/>
      <w:szCs w:val="28"/>
    </w:rPr>
  </w:style>
  <w:style w:type="character" w:customStyle="1" w:styleId="hps">
    <w:name w:val="hps"/>
    <w:rsid w:val="00C5315F"/>
  </w:style>
  <w:style w:type="paragraph" w:styleId="Obinitekst">
    <w:name w:val="Plain Text"/>
    <w:basedOn w:val="Normal"/>
    <w:link w:val="ObinitekstChar"/>
    <w:rsid w:val="00C5315F"/>
    <w:pPr>
      <w:spacing w:after="0" w:line="240" w:lineRule="auto"/>
    </w:pPr>
    <w:rPr>
      <w:rFonts w:ascii="Courier New" w:eastAsia="Times New Roman" w:hAnsi="Courier New" w:cs="Times New Roman"/>
      <w:sz w:val="20"/>
      <w:szCs w:val="20"/>
      <w:lang w:val="x-none" w:eastAsia="x-none"/>
    </w:rPr>
  </w:style>
  <w:style w:type="character" w:customStyle="1" w:styleId="ObinitekstChar">
    <w:name w:val="Obični tekst Char"/>
    <w:basedOn w:val="Zadanifontodlomka"/>
    <w:link w:val="Obinitekst"/>
    <w:rsid w:val="00C5315F"/>
    <w:rPr>
      <w:rFonts w:ascii="Courier New" w:eastAsia="Times New Roman" w:hAnsi="Courier New" w:cs="Times New Roman"/>
      <w:sz w:val="20"/>
      <w:szCs w:val="20"/>
      <w:lang w:val="x-none" w:eastAsia="x-none"/>
    </w:rPr>
  </w:style>
  <w:style w:type="numbering" w:customStyle="1" w:styleId="Headings">
    <w:name w:val="Headings"/>
    <w:uiPriority w:val="99"/>
    <w:rsid w:val="00C5315F"/>
    <w:pPr>
      <w:numPr>
        <w:numId w:val="29"/>
      </w:numPr>
    </w:pPr>
  </w:style>
  <w:style w:type="paragraph" w:customStyle="1" w:styleId="xmsonormal">
    <w:name w:val="x_msonormal"/>
    <w:basedOn w:val="Normal"/>
    <w:rsid w:val="00C5315F"/>
    <w:pPr>
      <w:spacing w:after="0" w:line="240" w:lineRule="auto"/>
    </w:pPr>
    <w:rPr>
      <w:rFonts w:ascii="Calibri" w:eastAsia="Calibri" w:hAnsi="Calibri" w:cs="Calibri"/>
      <w:lang w:eastAsia="hr-HR"/>
    </w:rPr>
  </w:style>
  <w:style w:type="paragraph" w:styleId="Revizija">
    <w:name w:val="Revision"/>
    <w:hidden/>
    <w:uiPriority w:val="99"/>
    <w:semiHidden/>
    <w:rsid w:val="00C5315F"/>
    <w:pPr>
      <w:spacing w:after="0" w:line="240" w:lineRule="auto"/>
    </w:pPr>
    <w:rPr>
      <w:rFonts w:ascii="Calibri" w:eastAsia="Calibri" w:hAnsi="Calibri" w:cs="Times New Roman"/>
    </w:rPr>
  </w:style>
  <w:style w:type="paragraph" w:customStyle="1" w:styleId="Pa5">
    <w:name w:val="Pa5"/>
    <w:basedOn w:val="Default"/>
    <w:next w:val="Default"/>
    <w:uiPriority w:val="99"/>
    <w:rsid w:val="00C5315F"/>
    <w:pPr>
      <w:spacing w:line="221" w:lineRule="atLeast"/>
    </w:pPr>
    <w:rPr>
      <w:rFonts w:ascii="Gotham Light" w:eastAsia="Calibri" w:hAnsi="Gotham Light"/>
      <w:color w:val="auto"/>
      <w:lang w:eastAsia="hr-HR"/>
    </w:rPr>
  </w:style>
  <w:style w:type="character" w:customStyle="1" w:styleId="A3">
    <w:name w:val="A3"/>
    <w:uiPriority w:val="99"/>
    <w:rsid w:val="00C5315F"/>
    <w:rPr>
      <w:rFonts w:cs="Gotham Light"/>
      <w:color w:val="000000"/>
      <w:sz w:val="17"/>
      <w:szCs w:val="17"/>
    </w:rPr>
  </w:style>
  <w:style w:type="numbering" w:customStyle="1" w:styleId="Bezpopisa1">
    <w:name w:val="Bez popisa1"/>
    <w:next w:val="Bezpopisa"/>
    <w:uiPriority w:val="99"/>
    <w:semiHidden/>
    <w:unhideWhenUsed/>
    <w:rsid w:val="00072476"/>
  </w:style>
  <w:style w:type="table" w:styleId="Tematablice">
    <w:name w:val="Table Theme"/>
    <w:basedOn w:val="Obinatablica"/>
    <w:uiPriority w:val="99"/>
    <w:rsid w:val="00234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areferenca">
    <w:name w:val="Intense Reference"/>
    <w:basedOn w:val="Zadanifontodlomka"/>
    <w:uiPriority w:val="32"/>
    <w:qFormat/>
    <w:rsid w:val="000438CA"/>
    <w:rPr>
      <w:b/>
      <w:bCs/>
      <w:smallCaps/>
      <w:color w:val="4472C4" w:themeColor="accent1"/>
      <w:spacing w:val="5"/>
    </w:rPr>
  </w:style>
  <w:style w:type="paragraph" w:styleId="TOCNaslov">
    <w:name w:val="TOC Heading"/>
    <w:basedOn w:val="Naslov1"/>
    <w:next w:val="Normal"/>
    <w:uiPriority w:val="39"/>
    <w:unhideWhenUsed/>
    <w:qFormat/>
    <w:rsid w:val="009E1149"/>
    <w:pPr>
      <w:keepLines/>
      <w:spacing w:after="0" w:line="259" w:lineRule="auto"/>
      <w:outlineLvl w:val="9"/>
    </w:pPr>
    <w:rPr>
      <w:rFonts w:asciiTheme="majorHAnsi" w:eastAsiaTheme="majorEastAsia" w:hAnsiTheme="majorHAnsi" w:cstheme="majorBidi"/>
      <w:b w:val="0"/>
      <w:bCs w:val="0"/>
      <w:color w:val="2F5496" w:themeColor="accent1" w:themeShade="BF"/>
      <w:kern w:val="0"/>
      <w:lang w:val="en-GB" w:eastAsia="en-GB"/>
    </w:rPr>
  </w:style>
  <w:style w:type="paragraph" w:styleId="Sadraj1">
    <w:name w:val="toc 1"/>
    <w:basedOn w:val="Normal"/>
    <w:next w:val="Normal"/>
    <w:autoRedefine/>
    <w:uiPriority w:val="39"/>
    <w:unhideWhenUsed/>
    <w:rsid w:val="0032618E"/>
    <w:pPr>
      <w:tabs>
        <w:tab w:val="right" w:leader="dot" w:pos="9062"/>
      </w:tabs>
      <w:spacing w:after="100"/>
    </w:pPr>
  </w:style>
  <w:style w:type="paragraph" w:customStyle="1" w:styleId="Stil1">
    <w:name w:val="Stil1"/>
    <w:basedOn w:val="Naslov1"/>
    <w:link w:val="Stil1Char"/>
    <w:qFormat/>
    <w:rsid w:val="00CD14A3"/>
    <w:rPr>
      <w:rFonts w:ascii="Calibri" w:eastAsia="Calibri" w:hAnsi="Calibri"/>
      <w:color w:val="0070C0"/>
      <w:sz w:val="28"/>
      <w:szCs w:val="28"/>
    </w:rPr>
  </w:style>
  <w:style w:type="paragraph" w:customStyle="1" w:styleId="Stil2">
    <w:name w:val="Stil2"/>
    <w:basedOn w:val="Stil1"/>
    <w:link w:val="Stil2Char"/>
    <w:qFormat/>
    <w:rsid w:val="00BA4CA0"/>
    <w:rPr>
      <w:sz w:val="24"/>
    </w:rPr>
  </w:style>
  <w:style w:type="character" w:customStyle="1" w:styleId="Stil1Char">
    <w:name w:val="Stil1 Char"/>
    <w:basedOn w:val="Naslov1Char"/>
    <w:link w:val="Stil1"/>
    <w:rsid w:val="00CD14A3"/>
    <w:rPr>
      <w:rFonts w:ascii="Calibri" w:eastAsia="Calibri" w:hAnsi="Calibri" w:cs="Times New Roman"/>
      <w:b/>
      <w:bCs/>
      <w:color w:val="0070C0"/>
      <w:kern w:val="32"/>
      <w:sz w:val="28"/>
      <w:szCs w:val="28"/>
      <w:lang w:eastAsia="hr-HR"/>
    </w:rPr>
  </w:style>
  <w:style w:type="paragraph" w:styleId="Sadraj5">
    <w:name w:val="toc 5"/>
    <w:basedOn w:val="Normal"/>
    <w:next w:val="Normal"/>
    <w:autoRedefine/>
    <w:uiPriority w:val="39"/>
    <w:unhideWhenUsed/>
    <w:rsid w:val="006A0206"/>
    <w:pPr>
      <w:spacing w:after="100"/>
      <w:ind w:left="880"/>
    </w:pPr>
    <w:rPr>
      <w:rFonts w:eastAsiaTheme="minorEastAsia"/>
      <w:lang w:val="en-GB" w:eastAsia="en-GB"/>
    </w:rPr>
  </w:style>
  <w:style w:type="character" w:customStyle="1" w:styleId="Stil2Char">
    <w:name w:val="Stil2 Char"/>
    <w:basedOn w:val="Stil1Char"/>
    <w:link w:val="Stil2"/>
    <w:rsid w:val="00BA4CA0"/>
    <w:rPr>
      <w:rFonts w:ascii="Calibri" w:eastAsia="Calibri" w:hAnsi="Calibri" w:cs="Times New Roman"/>
      <w:b/>
      <w:bCs/>
      <w:color w:val="0070C0"/>
      <w:kern w:val="32"/>
      <w:sz w:val="24"/>
      <w:szCs w:val="28"/>
      <w:lang w:eastAsia="hr-HR"/>
    </w:rPr>
  </w:style>
  <w:style w:type="paragraph" w:styleId="Sadraj6">
    <w:name w:val="toc 6"/>
    <w:basedOn w:val="Normal"/>
    <w:next w:val="Normal"/>
    <w:autoRedefine/>
    <w:uiPriority w:val="39"/>
    <w:unhideWhenUsed/>
    <w:rsid w:val="006A0206"/>
    <w:pPr>
      <w:spacing w:after="100"/>
      <w:ind w:left="1100"/>
    </w:pPr>
    <w:rPr>
      <w:rFonts w:eastAsiaTheme="minorEastAsia"/>
      <w:lang w:val="en-GB" w:eastAsia="en-GB"/>
    </w:rPr>
  </w:style>
  <w:style w:type="paragraph" w:styleId="Sadraj7">
    <w:name w:val="toc 7"/>
    <w:basedOn w:val="Normal"/>
    <w:next w:val="Normal"/>
    <w:autoRedefine/>
    <w:uiPriority w:val="39"/>
    <w:unhideWhenUsed/>
    <w:rsid w:val="006A0206"/>
    <w:pPr>
      <w:spacing w:after="100"/>
      <w:ind w:left="1320"/>
    </w:pPr>
    <w:rPr>
      <w:rFonts w:eastAsiaTheme="minorEastAsia"/>
      <w:lang w:val="en-GB" w:eastAsia="en-GB"/>
    </w:rPr>
  </w:style>
  <w:style w:type="paragraph" w:styleId="Sadraj8">
    <w:name w:val="toc 8"/>
    <w:basedOn w:val="Normal"/>
    <w:next w:val="Normal"/>
    <w:autoRedefine/>
    <w:uiPriority w:val="39"/>
    <w:unhideWhenUsed/>
    <w:rsid w:val="006A0206"/>
    <w:pPr>
      <w:spacing w:after="100"/>
      <w:ind w:left="1540"/>
    </w:pPr>
    <w:rPr>
      <w:rFonts w:eastAsiaTheme="minorEastAsia"/>
      <w:lang w:val="en-GB" w:eastAsia="en-GB"/>
    </w:rPr>
  </w:style>
  <w:style w:type="paragraph" w:styleId="Sadraj9">
    <w:name w:val="toc 9"/>
    <w:basedOn w:val="Normal"/>
    <w:next w:val="Normal"/>
    <w:autoRedefine/>
    <w:uiPriority w:val="39"/>
    <w:unhideWhenUsed/>
    <w:rsid w:val="006A0206"/>
    <w:pPr>
      <w:spacing w:after="100"/>
      <w:ind w:left="1760"/>
    </w:pPr>
    <w:rPr>
      <w:rFonts w:eastAsiaTheme="minorEastAsia"/>
      <w:lang w:val="en-GB" w:eastAsia="en-GB"/>
    </w:rPr>
  </w:style>
  <w:style w:type="paragraph" w:styleId="Tablicaslika">
    <w:name w:val="table of figures"/>
    <w:basedOn w:val="Normal"/>
    <w:next w:val="Normal"/>
    <w:uiPriority w:val="99"/>
    <w:unhideWhenUsed/>
    <w:rsid w:val="00F9528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1015289">
      <w:bodyDiv w:val="1"/>
      <w:marLeft w:val="0"/>
      <w:marRight w:val="0"/>
      <w:marTop w:val="0"/>
      <w:marBottom w:val="0"/>
      <w:divBdr>
        <w:top w:val="none" w:sz="0" w:space="0" w:color="auto"/>
        <w:left w:val="none" w:sz="0" w:space="0" w:color="auto"/>
        <w:bottom w:val="none" w:sz="0" w:space="0" w:color="auto"/>
        <w:right w:val="none" w:sz="0" w:space="0" w:color="auto"/>
      </w:divBdr>
    </w:div>
    <w:div w:id="1140077153">
      <w:bodyDiv w:val="1"/>
      <w:marLeft w:val="0"/>
      <w:marRight w:val="0"/>
      <w:marTop w:val="0"/>
      <w:marBottom w:val="0"/>
      <w:divBdr>
        <w:top w:val="none" w:sz="0" w:space="0" w:color="auto"/>
        <w:left w:val="none" w:sz="0" w:space="0" w:color="auto"/>
        <w:bottom w:val="none" w:sz="0" w:space="0" w:color="auto"/>
        <w:right w:val="none" w:sz="0" w:space="0" w:color="auto"/>
      </w:divBdr>
    </w:div>
    <w:div w:id="163764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portal.hr" TargetMode="External"/><Relationship Id="rId18" Type="http://schemas.openxmlformats.org/officeDocument/2006/relationships/image" Target="media/image3.emf"/><Relationship Id="rId26" Type="http://schemas.openxmlformats.org/officeDocument/2006/relationships/header" Target="header3.xml"/><Relationship Id="rId39" Type="http://schemas.openxmlformats.org/officeDocument/2006/relationships/image" Target="media/image15.png"/><Relationship Id="rId21" Type="http://schemas.openxmlformats.org/officeDocument/2006/relationships/image" Target="media/image6.emf"/><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www.mzopu.hr/default.aspx?id=5420" TargetMode="External"/><Relationship Id="rId50" Type="http://schemas.openxmlformats.org/officeDocument/2006/relationships/hyperlink" Target="https://eko.zagreb.hr/propisi-i-akti-grada-zagreba/247" TargetMode="External"/><Relationship Id="rId55" Type="http://schemas.openxmlformats.org/officeDocument/2006/relationships/hyperlink" Target="http://www.meteo.h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https://www.zakon.hr/cms.htm?id=38733" TargetMode="External"/><Relationship Id="rId24" Type="http://schemas.openxmlformats.org/officeDocument/2006/relationships/footer" Target="footer2.xml"/><Relationship Id="rId32" Type="http://schemas.openxmlformats.org/officeDocument/2006/relationships/hyperlink" Target="http://www.mgipu.hr/default.aspx?id=36705"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hyperlink" Target="http://www.mzopu.hr/default.aspx?id=5420" TargetMode="External"/><Relationship Id="rId53" Type="http://schemas.openxmlformats.org/officeDocument/2006/relationships/image" Target="media/image23.emf"/><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yperlink" Target="http://www.park-maksimir.hr"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www.eko.zagreb.hr/UserDocsImages/dokumenti/Okoli%C5%A1/Zrak/2015/Izvje%C5%A1%C4%87e%20za%202015.%20o%20provedbi%20Akcijskog%20plana%20za%20pobolj%C5%A1anje%20KV%20zraka%20u%20GZ-u_2.pdf" TargetMode="External"/><Relationship Id="rId56" Type="http://schemas.openxmlformats.org/officeDocument/2006/relationships/hyperlink" Target="https://www.zagreb.hr/en/godisnji-podaci-o-intervencijama-snaga-civilne-zas/154618" TargetMode="External"/><Relationship Id="rId8" Type="http://schemas.openxmlformats.org/officeDocument/2006/relationships/footer" Target="foot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www.zakon.hr/cms.htm?id=42511" TargetMode="External"/><Relationship Id="rId17" Type="http://schemas.openxmlformats.org/officeDocument/2006/relationships/hyperlink" Target="https://www.hok.hr/gospodarstvo-i-savjetovanje/statistika/obrtnistvo-u-brojkama" TargetMode="External"/><Relationship Id="rId25" Type="http://schemas.openxmlformats.org/officeDocument/2006/relationships/footer" Target="footer3.xml"/><Relationship Id="rId33" Type="http://schemas.openxmlformats.org/officeDocument/2006/relationships/hyperlink" Target="http://www.zagreb.hr/UserDocsImages/arhiva/statistika/Zavrsene%20zgrade%20i%20stanovi%202015.docx" TargetMode="External"/><Relationship Id="rId38" Type="http://schemas.openxmlformats.org/officeDocument/2006/relationships/image" Target="media/image14.emf"/><Relationship Id="rId46" Type="http://schemas.openxmlformats.org/officeDocument/2006/relationships/hyperlink" Target="http://www1.zagreb.hr/kvzraka/index.htm" TargetMode="External"/><Relationship Id="rId59" Type="http://schemas.openxmlformats.org/officeDocument/2006/relationships/image" Target="media/image27.png"/><Relationship Id="rId20" Type="http://schemas.openxmlformats.org/officeDocument/2006/relationships/image" Target="media/image5.emf"/><Relationship Id="rId41" Type="http://schemas.openxmlformats.org/officeDocument/2006/relationships/image" Target="media/image17.png"/><Relationship Id="rId54" Type="http://schemas.openxmlformats.org/officeDocument/2006/relationships/image" Target="media/image24.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eader" Target="header2.xml"/><Relationship Id="rId28" Type="http://schemas.openxmlformats.org/officeDocument/2006/relationships/image" Target="media/image7.jpeg"/><Relationship Id="rId36" Type="http://schemas.openxmlformats.org/officeDocument/2006/relationships/hyperlink" Target="https://www.zagreb-airport.hr/poslovni/b2b-223/statistika/278" TargetMode="External"/><Relationship Id="rId49" Type="http://schemas.openxmlformats.org/officeDocument/2006/relationships/hyperlink" Target="https://eko.zagreb.hr/" TargetMode="External"/><Relationship Id="rId57" Type="http://schemas.openxmlformats.org/officeDocument/2006/relationships/image" Target="media/image25.png"/><Relationship Id="rId10" Type="http://schemas.openxmlformats.org/officeDocument/2006/relationships/hyperlink" Target="https://www.zakon.hr/cms.htm?id=27249" TargetMode="Externa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2.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ioportal.h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zz.hr" TargetMode="External"/><Relationship Id="rId2" Type="http://schemas.openxmlformats.org/officeDocument/2006/relationships/hyperlink" Target="http://www.hzz.hr" TargetMode="External"/><Relationship Id="rId1" Type="http://schemas.openxmlformats.org/officeDocument/2006/relationships/hyperlink" Target="http://www.dzs.hr" TargetMode="External"/><Relationship Id="rId4" Type="http://schemas.openxmlformats.org/officeDocument/2006/relationships/hyperlink" Target="http://www.konkurentnost.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939B0-0056-4C39-A610-49118E0A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85054</Words>
  <Characters>484811</Characters>
  <Application>Microsoft Office Word</Application>
  <DocSecurity>0</DocSecurity>
  <Lines>4040</Lines>
  <Paragraphs>1137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Odjel za stratesko</dc:creator>
  <cp:keywords/>
  <dc:description/>
  <cp:lastModifiedBy>Snježana Ivić Pavlovski</cp:lastModifiedBy>
  <cp:revision>3</cp:revision>
  <cp:lastPrinted>2022-03-01T14:03:00Z</cp:lastPrinted>
  <dcterms:created xsi:type="dcterms:W3CDTF">2022-04-14T13:20:00Z</dcterms:created>
  <dcterms:modified xsi:type="dcterms:W3CDTF">2022-04-14T13:20:00Z</dcterms:modified>
</cp:coreProperties>
</file>